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358140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181"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24" w:lineRule="exact"/>
        <w:rPr>
          <w:sz w:val="24"/>
          <w:szCs w:val="24"/>
          <w:color w:val="auto"/>
        </w:rPr>
      </w:pPr>
    </w:p>
    <w:p>
      <w:pPr>
        <w:ind w:left="2"/>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02" w:right="380" w:hanging="399"/>
        <w:spacing w:after="0" w:line="352" w:lineRule="auto"/>
        <w:tabs>
          <w:tab w:leader="none" w:pos="40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AND EXCHANGE ACT OF 1934 For the quarterly period ended September 30, 2019</w:t>
      </w:r>
    </w:p>
    <w:p>
      <w:pPr>
        <w:spacing w:after="0" w:line="1"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02" w:hanging="402"/>
        <w:spacing w:after="0"/>
        <w:tabs>
          <w:tab w:leader="none" w:pos="40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02"/>
        <w:spacing w:after="0"/>
        <w:tabs>
          <w:tab w:leader="none" w:pos="4062"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4"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595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1"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595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199" w:lineRule="exact"/>
        <w:rPr>
          <w:sz w:val="24"/>
          <w:szCs w:val="24"/>
          <w:color w:val="auto"/>
        </w:rPr>
      </w:pPr>
    </w:p>
    <w:tbl>
      <w:tblPr>
        <w:tblLayout w:type="fixed"/>
        <w:tblInd w:w="1402" w:type="dxa"/>
        <w:tblCellMar>
          <w:top w:w="0" w:type="dxa"/>
          <w:left w:w="0" w:type="dxa"/>
          <w:bottom w:w="0" w:type="dxa"/>
          <w:right w:w="0" w:type="dxa"/>
        </w:tblCellMar>
      </w:tblPr>
      <w:tr>
        <w:trPr>
          <w:trHeight w:val="220"/>
        </w:trPr>
        <w:tc>
          <w:tcPr>
            <w:tcW w:w="40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center"/>
              <w:ind w:left="163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4020" w:type="dxa"/>
            <w:vAlign w:val="bottom"/>
          </w:tcPr>
          <w:p>
            <w:pPr>
              <w:jc w:val="center"/>
              <w:ind w:right="165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120" w:type="dxa"/>
            <w:vAlign w:val="bottom"/>
          </w:tcPr>
          <w:p>
            <w:pPr>
              <w:jc w:val="center"/>
              <w:ind w:left="163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4020" w:type="dxa"/>
            <w:vAlign w:val="bottom"/>
          </w:tcPr>
          <w:p>
            <w:pPr>
              <w:jc w:val="center"/>
              <w:ind w:right="163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120" w:type="dxa"/>
            <w:vAlign w:val="bottom"/>
          </w:tcPr>
          <w:p>
            <w:pPr>
              <w:jc w:val="center"/>
              <w:ind w:left="165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ind w:left="3162"/>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3122"/>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12" w:type="dxa"/>
        <w:tblCellMar>
          <w:top w:w="0" w:type="dxa"/>
          <w:left w:w="0" w:type="dxa"/>
          <w:bottom w:w="0" w:type="dxa"/>
          <w:right w:w="0" w:type="dxa"/>
        </w:tblCellMar>
      </w:tblPr>
      <w:tr>
        <w:trPr>
          <w:trHeight w:val="162"/>
        </w:trPr>
        <w:tc>
          <w:tcPr>
            <w:tcW w:w="3820" w:type="dxa"/>
            <w:vAlign w:val="bottom"/>
            <w:tcBorders>
              <w:top w:val="single" w:sz="8" w:color="auto"/>
              <w:left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4"/>
                <w:szCs w:val="14"/>
                <w:b w:val="1"/>
                <w:bCs w:val="1"/>
                <w:color w:val="auto"/>
              </w:rPr>
              <w:t>Title of each class</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820" w:type="dxa"/>
            <w:vAlign w:val="bottom"/>
            <w:tcBorders>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Common Stock</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2" w:right="42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33775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ind w:left="2"/>
        <w:spacing w:after="0" w:line="188" w:lineRule="exact"/>
        <w:tabs>
          <w:tab w:leader="none" w:pos="5802"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4" w:lineRule="exact"/>
        <w:rPr>
          <w:sz w:val="24"/>
          <w:szCs w:val="24"/>
          <w:color w:val="auto"/>
        </w:rPr>
      </w:pPr>
    </w:p>
    <w:p>
      <w:pPr>
        <w:ind w:left="2"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2" w:right="660" w:firstLine="648"/>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0382"/>
          </w:cols>
          <w:pgMar w:left="758" w:top="665" w:right="759" w:bottom="1440" w:gutter="0" w:footer="0" w:header="0"/>
        </w:sectPr>
      </w:pPr>
    </w:p>
    <w:p>
      <w:pPr>
        <w:spacing w:after="0" w:line="57" w:lineRule="exact"/>
        <w:rPr>
          <w:sz w:val="24"/>
          <w:szCs w:val="24"/>
          <w:color w:val="auto"/>
        </w:rPr>
      </w:pPr>
    </w:p>
    <w:p>
      <w:pPr>
        <w:ind w:left="2"/>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7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02" w:space="180"/>
            <w:col w:w="5320" w:space="720"/>
            <w:col w:w="2080" w:space="220"/>
            <w:col w:w="160"/>
          </w:cols>
          <w:pgMar w:left="758" w:top="665" w:right="759" w:bottom="1440" w:gutter="0" w:footer="0" w:header="0"/>
          <w:type w:val="continuous"/>
        </w:sectPr>
      </w:pPr>
    </w:p>
    <w:p>
      <w:pPr>
        <w:ind w:left="2" w:right="5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42" w:right="26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November 1, 2019, was 48,225,070.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506730</wp:posOffset>
            </wp:positionV>
            <wp:extent cx="6595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43815</wp:posOffset>
            </wp:positionV>
            <wp:extent cx="65951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86360</wp:posOffset>
            </wp:positionV>
            <wp:extent cx="659511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2"/>
          </w:cols>
          <w:pgMar w:left="758" w:top="665"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4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640" w:type="dxa"/>
            <w:vAlign w:val="bottom"/>
            <w:gridSpan w:val="16"/>
            <w:vMerge w:val="continue"/>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480" w:type="dxa"/>
            <w:vAlign w:val="bottom"/>
            <w:gridSpan w:val="4"/>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Operations</w:t>
              </w:r>
            </w:hyperlink>
          </w:p>
        </w:tc>
        <w:tc>
          <w:tcPr>
            <w:tcW w:w="16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3 Quantitative and Qualitative Disclosures About Market Risk</w:t>
              </w:r>
            </w:hyperlink>
          </w:p>
        </w:tc>
        <w:tc>
          <w:tcPr>
            <w:tcW w:w="376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4 Controls and Procedures</w:t>
              </w:r>
            </w:hyperlink>
          </w:p>
        </w:tc>
        <w:tc>
          <w:tcPr>
            <w:tcW w:w="634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8640" w:type="dxa"/>
            <w:vAlign w:val="bottom"/>
            <w:gridSpan w:val="16"/>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 OTHER INFORMATION</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412"/>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5"/>
          </w:tcPr>
          <w:p>
            <w:pPr>
              <w:spacing w:after="0"/>
              <w:rPr>
                <w:sz w:val="24"/>
                <w:szCs w:val="24"/>
                <w:color w:val="auto"/>
              </w:rPr>
            </w:pPr>
          </w:p>
        </w:tc>
        <w:tc>
          <w:tcPr>
            <w:tcW w:w="5780" w:type="dxa"/>
            <w:vAlign w:val="bottom"/>
            <w:gridSpan w:val="5"/>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1A Risk Factors</w:t>
              </w:r>
            </w:hyperlink>
          </w:p>
        </w:tc>
        <w:tc>
          <w:tcPr>
            <w:tcW w:w="7080" w:type="dxa"/>
            <w:vAlign w:val="bottom"/>
            <w:gridSpan w:val="1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640" w:type="dxa"/>
            <w:vAlign w:val="bottom"/>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2 Unregistered Sales of Equity Securities and Use of Proceeds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Item 3</w:t>
              </w:r>
            </w:hyperlink>
          </w:p>
        </w:tc>
        <w:tc>
          <w:tcPr>
            <w:tcW w:w="436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3780" w:type="dxa"/>
            <w:vAlign w:val="bottom"/>
            <w:gridSpan w:val="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Item 4</w:t>
              </w:r>
            </w:hyperlink>
          </w:p>
        </w:tc>
        <w:tc>
          <w:tcPr>
            <w:tcW w:w="2340" w:type="dxa"/>
            <w:vAlign w:val="bottom"/>
            <w:tcBorders>
              <w:top w:val="single" w:sz="8" w:color="0000EE"/>
            </w:tcBorders>
            <w:gridSpan w:val="9"/>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5800" w:type="dxa"/>
            <w:vAlign w:val="bottom"/>
            <w:gridSpan w:val="6"/>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360" w:type="dxa"/>
            <w:vAlign w:val="bottom"/>
            <w:gridSpan w:val="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7520" w:type="dxa"/>
            <w:vAlign w:val="bottom"/>
            <w:gridSpan w:val="1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8640" w:type="dxa"/>
            <w:vAlign w:val="bottom"/>
            <w:gridSpan w:val="1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Service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193,289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155,454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565,396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University related revenue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512,499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193,289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155,454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565,396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667,953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163,641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109,033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University related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transaction</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133,555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126,034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382,237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489,953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183,159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223,258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182,506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0.70</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47,920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47,682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47,833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Diluted weighted average shares outstanding</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48,337</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48,422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48,317</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8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8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88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$ 58,151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$ 33,761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$ 182,506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Unrealized gains on available-for-sale securities, net of taxes of $44 for</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the three months ended September 30, 2018, and $6 for the nine months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ended September 30, 2018</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ind w:left="100"/>
              <w:spacing w:after="0" w:line="201" w:lineRule="exact"/>
              <w:rPr>
                <w:sz w:val="20"/>
                <w:szCs w:val="20"/>
                <w:color w:val="auto"/>
              </w:rPr>
            </w:pPr>
            <w:r>
              <w:rPr>
                <w:rFonts w:ascii="Arial" w:cs="Arial" w:eastAsia="Arial" w:hAnsi="Arial"/>
                <w:sz w:val="18"/>
                <w:szCs w:val="18"/>
                <w:color w:val="auto"/>
                <w:w w:val="90"/>
              </w:rPr>
              <w:t>Unrealized gains (losses) on hedging derivatives, net of taxes of $19 and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$2 for the three months ended September 30, 2019 and 2018,</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w w:val="91"/>
              </w:rPr>
              <w:t>respectively, and $89 and $81 for the nine months ended September 30,</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2019 and 2018, respectively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$ 58,093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$ 33,624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$ 182,177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2"/>
              </w:rPr>
              <w:t>(Unaudited)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0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119,709</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receivable on Secured Note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237,544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Right-of-use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Secured Note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1,009,912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Amortizable intangible assets,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204,236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1,760,672</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1,324,017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20,742</w:t>
            </w:r>
          </w:p>
        </w:tc>
        <w:tc>
          <w:tcPr>
            <w:tcW w:w="160" w:type="dxa"/>
            <w:vAlign w:val="bottom"/>
          </w:tcPr>
          <w:p>
            <w:pPr>
              <w:spacing w:after="0"/>
              <w:rPr>
                <w:sz w:val="18"/>
                <w:szCs w:val="18"/>
                <w:color w:val="auto"/>
              </w:rPr>
            </w:pPr>
          </w:p>
        </w:tc>
        <w:tc>
          <w:tcPr>
            <w:tcW w:w="140" w:type="dxa"/>
            <w:vAlign w:val="bottom"/>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lease liability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notes payable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Lease liability, less current portion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378,842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Preferred stock, $0.01 par value, 10,000 shares authorized; 0 shares issued and outstanding at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2019 and December 31, 2018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spacing w:after="0" w:line="201" w:lineRule="exact"/>
              <w:rPr>
                <w:sz w:val="20"/>
                <w:szCs w:val="20"/>
                <w:color w:val="auto"/>
              </w:rPr>
            </w:pPr>
            <w:r>
              <w:rPr>
                <w:rFonts w:ascii="Arial" w:cs="Arial" w:eastAsia="Arial" w:hAnsi="Arial"/>
                <w:sz w:val="18"/>
                <w:szCs w:val="18"/>
                <w:color w:val="auto"/>
                <w:w w:val="89"/>
              </w:rPr>
              <w:t>Common stock, $0.01 par value, 100,000 shares authorized; 53,050 and 52,690 shares issued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w w:val="92"/>
              </w:rPr>
              <w:t>and 48,303 and 48,201 shares outstanding at September 30, 2019 and December 31, 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Treasury stock, at cost, 4,747 and 4,489 shares of common stock at September 30, 2019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 respectively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(150,872)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268,279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1,264,675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1,082,169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1,381,830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1,213,597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1,760,672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1,324,017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Balance at December 31, 2018 Comprehensive income</w:t>
      </w:r>
    </w:p>
    <w:p>
      <w:pPr>
        <w:spacing w:after="0" w:line="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Common stock purchased for treasury</w:t>
      </w:r>
    </w:p>
    <w:p>
      <w:pPr>
        <w:spacing w:after="0" w:line="295" w:lineRule="auto"/>
        <w:rPr>
          <w:sz w:val="20"/>
          <w:szCs w:val="20"/>
          <w:color w:val="auto"/>
        </w:rPr>
      </w:pPr>
      <w:r>
        <w:rPr>
          <w:rFonts w:ascii="Arial" w:cs="Arial" w:eastAsia="Arial" w:hAnsi="Arial"/>
          <w:sz w:val="15"/>
          <w:szCs w:val="15"/>
          <w:color w:val="auto"/>
        </w:rPr>
        <w:t>Restricted shares forfeited Share-based compensation Exercise of stock options Balance at September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3080" w:type="dxa"/>
            <w:vAlign w:val="bottom"/>
            <w:gridSpan w:val="12"/>
          </w:tcPr>
          <w:p>
            <w:pPr>
              <w:jc w:val="right"/>
              <w:ind w:right="499"/>
              <w:spacing w:after="0"/>
              <w:rPr>
                <w:sz w:val="20"/>
                <w:szCs w:val="20"/>
                <w:color w:val="auto"/>
              </w:rPr>
            </w:pPr>
            <w:r>
              <w:rPr>
                <w:rFonts w:ascii="Arial" w:cs="Arial" w:eastAsia="Arial" w:hAnsi="Arial"/>
                <w:sz w:val="14"/>
                <w:szCs w:val="14"/>
                <w:b w:val="1"/>
                <w:bCs w:val="1"/>
                <w:color w:val="auto"/>
                <w:w w:val="93"/>
              </w:rPr>
              <w:t>Nine Months Ended September 30, 2019</w:t>
            </w: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8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gridSpan w:val="4"/>
            <w:vMerge w:val="restart"/>
          </w:tcPr>
          <w:p>
            <w:pPr>
              <w:jc w:val="right"/>
              <w:ind w:right="157"/>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gridSpan w:val="6"/>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9"/>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8"/>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52,690</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527</w:t>
            </w: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4,489</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(125,452)</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$ 256,806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1"/>
              </w:rPr>
              <w:t>$ 1,082,169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1,213,597</w:t>
            </w: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(329)</w:t>
            </w:r>
          </w:p>
        </w:tc>
        <w:tc>
          <w:tcPr>
            <w:tcW w:w="80" w:type="dxa"/>
            <w:vAlign w:val="bottom"/>
            <w:vMerge w:val="continue"/>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182,506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182,177</w:t>
            </w:r>
          </w:p>
        </w:tc>
        <w:tc>
          <w:tcPr>
            <w:tcW w:w="0" w:type="dxa"/>
            <w:vAlign w:val="bottom"/>
          </w:tcPr>
          <w:p>
            <w:pPr>
              <w:spacing w:after="0"/>
              <w:rPr>
                <w:sz w:val="1"/>
                <w:szCs w:val="1"/>
                <w:color w:val="auto"/>
              </w:rPr>
            </w:pPr>
          </w:p>
        </w:tc>
      </w:tr>
      <w:tr>
        <w:trPr>
          <w:trHeight w:val="374"/>
        </w:trPr>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175</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(17,293)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(17,293)</w:t>
            </w:r>
          </w:p>
        </w:tc>
        <w:tc>
          <w:tcPr>
            <w:tcW w:w="0" w:type="dxa"/>
            <w:vAlign w:val="bottom"/>
          </w:tcPr>
          <w:p>
            <w:pPr>
              <w:spacing w:after="0"/>
              <w:rPr>
                <w:sz w:val="1"/>
                <w:szCs w:val="1"/>
                <w:color w:val="auto"/>
              </w:rPr>
            </w:pPr>
          </w:p>
        </w:tc>
      </w:tr>
      <w:tr>
        <w:trPr>
          <w:trHeight w:val="203"/>
        </w:trPr>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40" w:type="dxa"/>
            <w:vAlign w:val="bottom"/>
          </w:tcPr>
          <w:p>
            <w:pPr>
              <w:jc w:val="right"/>
              <w:spacing w:after="0"/>
              <w:rPr>
                <w:sz w:val="20"/>
                <w:szCs w:val="20"/>
                <w:color w:val="auto"/>
              </w:rPr>
            </w:pPr>
            <w:r>
              <w:rPr>
                <w:rFonts w:ascii="Arial" w:cs="Arial" w:eastAsia="Arial" w:hAnsi="Arial"/>
                <w:sz w:val="17"/>
                <w:szCs w:val="17"/>
                <w:color w:val="auto"/>
              </w:rPr>
              <w:t>152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68</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(8,127)</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7,739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7"/>
                <w:szCs w:val="17"/>
                <w:color w:val="auto"/>
              </w:rPr>
              <w:t>208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3,734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3,736</w:t>
            </w:r>
          </w:p>
        </w:tc>
        <w:tc>
          <w:tcPr>
            <w:tcW w:w="0" w:type="dxa"/>
            <w:vAlign w:val="bottom"/>
          </w:tcPr>
          <w:p>
            <w:pPr>
              <w:spacing w:after="0"/>
              <w:rPr>
                <w:sz w:val="1"/>
                <w:szCs w:val="1"/>
                <w:color w:val="auto"/>
              </w:rPr>
            </w:pPr>
          </w:p>
        </w:tc>
      </w:tr>
      <w:tr>
        <w:trPr>
          <w:trHeight w:val="200"/>
        </w:trPr>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53,050</w:t>
            </w:r>
          </w:p>
        </w:tc>
        <w:tc>
          <w:tcPr>
            <w:tcW w:w="40" w:type="dxa"/>
            <w:vAlign w:val="bottom"/>
            <w:tcBorders>
              <w:top w:val="single" w:sz="8" w:color="auto"/>
            </w:tcBorders>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530</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4,747</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(150,872)</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268,279</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(782)</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1,264,675</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1,381,830</w:t>
            </w: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-1097280</wp:posOffset>
            </wp:positionV>
            <wp:extent cx="574611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6115" cy="14605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-805180</wp:posOffset>
            </wp:positionV>
            <wp:extent cx="574611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6115" cy="25717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-419735</wp:posOffset>
            </wp:positionV>
            <wp:extent cx="574611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611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-162560</wp:posOffset>
            </wp:positionV>
            <wp:extent cx="574611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300"/>
            <w:col w:w="6620"/>
          </w:cols>
          <w:pgMar w:left="1420" w:top="517" w:right="1419" w:bottom="1440" w:gutter="0" w:footer="0" w:header="0"/>
          <w:type w:val="continuous"/>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80" w:type="dxa"/>
            <w:vAlign w:val="bottom"/>
            <w:gridSpan w:val="12"/>
          </w:tcPr>
          <w:p>
            <w:pPr>
              <w:jc w:val="right"/>
              <w:ind w:right="498"/>
              <w:spacing w:after="0"/>
              <w:rPr>
                <w:sz w:val="20"/>
                <w:szCs w:val="20"/>
                <w:color w:val="auto"/>
              </w:rPr>
            </w:pPr>
            <w:r>
              <w:rPr>
                <w:rFonts w:ascii="Arial" w:cs="Arial" w:eastAsia="Arial" w:hAnsi="Arial"/>
                <w:sz w:val="14"/>
                <w:szCs w:val="14"/>
                <w:b w:val="1"/>
                <w:bCs w:val="1"/>
                <w:color w:val="auto"/>
                <w:w w:val="93"/>
              </w:rPr>
              <w:t>Nine Months Ended September 30, 2018</w:t>
            </w: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8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gridSpan w:val="4"/>
            <w:vMerge w:val="restart"/>
          </w:tcPr>
          <w:p>
            <w:pPr>
              <w:jc w:val="right"/>
              <w:ind w:right="156"/>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80" w:type="dxa"/>
            <w:vAlign w:val="bottom"/>
            <w:gridSpan w:val="6"/>
            <w:vMerge w:val="continue"/>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8"/>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52,277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4,152</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(100,694)</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232,670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854,176</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985,951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vMerge w:val="restart"/>
          </w:tcPr>
          <w:p>
            <w:pPr>
              <w:spacing w:after="0" w:line="178" w:lineRule="exact"/>
              <w:rPr>
                <w:sz w:val="20"/>
                <w:szCs w:val="20"/>
                <w:color w:val="auto"/>
              </w:rPr>
            </w:pPr>
            <w:r>
              <w:rPr>
                <w:rFonts w:ascii="Arial" w:cs="Arial" w:eastAsia="Arial" w:hAnsi="Arial"/>
                <w:sz w:val="17"/>
                <w:szCs w:val="17"/>
                <w:color w:val="auto"/>
              </w:rPr>
              <w:t>Cumulative effect from the</w:t>
            </w: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40" w:type="dxa"/>
            <w:vAlign w:val="bottom"/>
            <w:gridSpan w:val="2"/>
          </w:tcPr>
          <w:p>
            <w:pPr>
              <w:spacing w:after="0"/>
              <w:rPr>
                <w:sz w:val="20"/>
                <w:szCs w:val="20"/>
                <w:color w:val="auto"/>
              </w:rPr>
            </w:pPr>
            <w:r>
              <w:rPr>
                <w:rFonts w:ascii="Arial" w:cs="Arial" w:eastAsia="Arial" w:hAnsi="Arial"/>
                <w:sz w:val="17"/>
                <w:szCs w:val="17"/>
                <w:color w:val="auto"/>
              </w:rPr>
              <w:t>adoption of accounting</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7"/>
                <w:szCs w:val="17"/>
                <w:color w:val="auto"/>
              </w:rPr>
              <w:t>pronouncements, net of taxes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(1,174)</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(1,174)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153,480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153,708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7"/>
                <w:szCs w:val="17"/>
                <w:color w:val="auto"/>
                <w:w w:val="98"/>
              </w:rPr>
              <w:t>Adoption impact – ASU 2018-02</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(156)</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Common stock purchased for</w:t>
            </w: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treasury</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Restricted shares forfeited</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(15,153)</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17,064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7"/>
                <w:szCs w:val="17"/>
                <w:color w:val="auto"/>
              </w:rPr>
              <w:t>130</w:t>
            </w:r>
          </w:p>
        </w:tc>
        <w:tc>
          <w:tcPr>
            <w:tcW w:w="76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2,094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2,095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September 30, 2018</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52,570</w:t>
            </w: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4,436</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(119,982)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251,828</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1,006,638</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1,138,358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182,506</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153,480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7,740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bad debts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13,821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1,873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Loss on transaction, net of costs and asset impairment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(33,853)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(69,501)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(2,187)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Right-of-use assets and lease liabilities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1,485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00"/>
              <w:spacing w:after="0" w:line="149" w:lineRule="exact"/>
              <w:rPr>
                <w:sz w:val="20"/>
                <w:szCs w:val="20"/>
                <w:color w:val="auto"/>
              </w:rPr>
            </w:pPr>
            <w:r>
              <w:rPr>
                <w:rFonts w:ascii="Arial" w:cs="Arial" w:eastAsia="Arial" w:hAnsi="Arial"/>
                <w:sz w:val="14"/>
                <w:szCs w:val="14"/>
                <w:color w:val="auto"/>
              </w:rPr>
              <w:t>Income taxes receivable/payable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(5,597)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rent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9,156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Student deposits</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195,134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96,536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(15,178)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Acquisition, net of cash acquired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(361,184)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Disposition</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Funding to GCU at closing in excess of required capital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 of excess funds by GCU</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Funding to GCU for capital expenditures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(169,819)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 by GCU for capital expenditures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(1,695)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(31,455)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56,957</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(431,110)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(215,729)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(used in) financing activities: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(71,959)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Debt issuance costs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Proceeds from notes payable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243,750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borrowings from revolving line of credit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26,250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(25,420)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3,736</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173,972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(22,269)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decrease in cash and cash equivalents and restricted cash</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(62,004)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(141,462)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182,013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248,008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120,009</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106,546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7,751</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45,786</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69,161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Sale transaction to GCU through Secured Note financing</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870,097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Reclassification of capitalized costs – adoption of ASC 606</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Reclassification of deferred revenue – adoption of ASC 606</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Lease adoption - gross up of right of use assets and lease liabilities</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3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Reclassification of tax effect within accumulated other comprehensive income</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19" w:firstLine="648"/>
        <w:spacing w:after="0" w:line="270" w:lineRule="auto"/>
        <w:rPr>
          <w:sz w:val="20"/>
          <w:szCs w:val="20"/>
          <w:color w:val="auto"/>
        </w:rPr>
      </w:pPr>
      <w:r>
        <w:rPr>
          <w:rFonts w:ascii="Arial" w:cs="Arial" w:eastAsia="Arial" w:hAnsi="Arial"/>
          <w:sz w:val="17"/>
          <w:szCs w:val="17"/>
          <w:color w:val="auto"/>
        </w:rPr>
        <w:t>Grand Canyon Education, Inc. (together with its subsidiaries, the “Company” or “GCE”) is a publicly traded education services company. Prior to July 1, 2018, GCE owned and operated Grand Canyon University (the “University”), a comprehensive regionally accredited university that offers graduate and undergraduate degree programs, emphases and certificates across nine colleges both online and on ground at its campus in Phoenix, Arizona, at leased facilities and at facilities owned by third party employers of its students. On July 1, 2018, the Company sold the University to Grand Canyon University, an Arizona non-profit corporation formerly known as Gazelle University (“GCU”). As a result of this transaction (the “Transaction”), GCE became an educational services company focused on providing a full array of support services to institutions in the post-secondary education sector. GCE has developed significant technological solutions, infrastructure and operational processes to provide services to these institutions on a large scale. See Note 2 to our consolidated financial statements for a full description of the Transaction.</w:t>
      </w:r>
    </w:p>
    <w:p>
      <w:pPr>
        <w:spacing w:after="0" w:line="178" w:lineRule="exact"/>
        <w:rPr>
          <w:sz w:val="20"/>
          <w:szCs w:val="20"/>
          <w:color w:val="auto"/>
        </w:rPr>
      </w:pPr>
    </w:p>
    <w:p>
      <w:pPr>
        <w:ind w:right="39" w:firstLine="648"/>
        <w:spacing w:after="0" w:line="276" w:lineRule="auto"/>
        <w:rPr>
          <w:sz w:val="20"/>
          <w:szCs w:val="20"/>
          <w:color w:val="auto"/>
        </w:rPr>
      </w:pPr>
      <w:r>
        <w:rPr>
          <w:rFonts w:ascii="Arial" w:cs="Arial" w:eastAsia="Arial" w:hAnsi="Arial"/>
          <w:sz w:val="17"/>
          <w:szCs w:val="17"/>
          <w:color w:val="auto"/>
        </w:rPr>
        <w:t>On January 22, 2019, GCE acquired, by merger, all of the outstanding equity interest of Orbis Education Services, LLC (“Orbis Education”), an education services company that supports healthcare education programs for 21 university partners across the United States, for $361,184, net of cash acquired (the “Acquisition”). The Company financed a portion of the purchase price through a credit facility provided by a consortium of banks led by our existing bank group. See Note 3 to our consolidated financial statement for a full description of the Acquisition.</w:t>
      </w:r>
    </w:p>
    <w:p>
      <w:pPr>
        <w:spacing w:after="0" w:line="173" w:lineRule="exact"/>
        <w:rPr>
          <w:sz w:val="20"/>
          <w:szCs w:val="20"/>
          <w:color w:val="auto"/>
        </w:rPr>
      </w:pPr>
    </w:p>
    <w:p>
      <w:pPr>
        <w:ind w:right="219" w:firstLine="648"/>
        <w:spacing w:after="0" w:line="277" w:lineRule="auto"/>
        <w:rPr>
          <w:sz w:val="20"/>
          <w:szCs w:val="20"/>
          <w:color w:val="auto"/>
        </w:rPr>
      </w:pPr>
      <w:r>
        <w:rPr>
          <w:rFonts w:ascii="Arial" w:cs="Arial" w:eastAsia="Arial" w:hAnsi="Arial"/>
          <w:sz w:val="18"/>
          <w:szCs w:val="18"/>
          <w:color w:val="auto"/>
        </w:rPr>
        <w:t>As a result of the Transaction and Acquisition, the Company no longer owns and operates an institution of higher education, but instead provides a bundle of services in support of its 21 university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and Related Agreements</w:t>
      </w:r>
    </w:p>
    <w:p>
      <w:pPr>
        <w:spacing w:after="0" w:line="225" w:lineRule="exact"/>
        <w:rPr>
          <w:sz w:val="20"/>
          <w:szCs w:val="20"/>
          <w:color w:val="auto"/>
        </w:rPr>
      </w:pPr>
    </w:p>
    <w:p>
      <w:pPr>
        <w:ind w:right="19" w:firstLine="648"/>
        <w:spacing w:after="0" w:line="268" w:lineRule="auto"/>
        <w:rPr>
          <w:sz w:val="20"/>
          <w:szCs w:val="20"/>
          <w:color w:val="auto"/>
        </w:rPr>
      </w:pPr>
      <w:r>
        <w:rPr>
          <w:rFonts w:ascii="Arial" w:cs="Arial" w:eastAsia="Arial" w:hAnsi="Arial"/>
          <w:sz w:val="17"/>
          <w:szCs w:val="17"/>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$870,097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September 30, 2019, the Company had loaned $139,815 to GCU for capital expenditures, which is net of GCU’s repayment of $60,000 during the third quarter of 2019. 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w:t>
      </w:r>
    </w:p>
    <w:p>
      <w:pPr>
        <w:spacing w:after="0" w:line="188" w:lineRule="exact"/>
        <w:rPr>
          <w:sz w:val="20"/>
          <w:szCs w:val="20"/>
          <w:color w:val="auto"/>
        </w:rPr>
      </w:pPr>
    </w:p>
    <w:p>
      <w:pPr>
        <w:ind w:right="39" w:firstLine="648"/>
        <w:spacing w:after="0" w:line="257" w:lineRule="auto"/>
        <w:rPr>
          <w:sz w:val="20"/>
          <w:szCs w:val="20"/>
          <w:color w:val="auto"/>
        </w:rPr>
      </w:pPr>
      <w:r>
        <w:rPr>
          <w:rFonts w:ascii="Arial" w:cs="Arial" w:eastAsia="Arial" w:hAnsi="Arial"/>
          <w:sz w:val="18"/>
          <w:szCs w:val="18"/>
          <w:color w:val="auto"/>
        </w:rPr>
        <w:t>The Company was a party to a credit agreement with Bank of America, N.A. as Administrative Agent, and other lenders, dated December 21, 2012 and amended as of January 15, 2016. Effective July 1, 2018, the Company and the lenders amended the credit agreement (the “Amendment”) to release the assets pledged as collateral in order to enable GCE to sell them to GCU and complete the Transaction. In connection with the Amendment, GCE provided restricted cash collateral in the amount of $61,667 as of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Disposed Assets, previously Assets and Liabilities Held for Sale</w:t>
      </w:r>
    </w:p>
    <w:p>
      <w:pPr>
        <w:spacing w:after="0" w:line="225" w:lineRule="exact"/>
        <w:rPr>
          <w:sz w:val="20"/>
          <w:szCs w:val="20"/>
          <w:color w:val="auto"/>
        </w:rPr>
      </w:pPr>
    </w:p>
    <w:p>
      <w:pPr>
        <w:ind w:right="319" w:firstLine="648"/>
        <w:spacing w:after="0" w:line="342" w:lineRule="auto"/>
        <w:rPr>
          <w:sz w:val="20"/>
          <w:szCs w:val="20"/>
          <w:color w:val="auto"/>
        </w:rPr>
      </w:pPr>
      <w:r>
        <w:rPr>
          <w:rFonts w:ascii="Arial" w:cs="Arial" w:eastAsia="Arial" w:hAnsi="Arial"/>
          <w:sz w:val="16"/>
          <w:szCs w:val="16"/>
          <w:color w:val="auto"/>
        </w:rPr>
        <w:t>The Company received Board approval to consummate the Transaction on June 28, 2018, and completed the Transaction on July 1, 2018. As a result, the Company determined that it had met the accounting requirements to classify</w:t>
      </w:r>
    </w:p>
    <w:p>
      <w:pPr>
        <w:sectPr>
          <w:pgSz w:w="11900" w:h="16838" w:orient="portrait"/>
          <w:cols w:equalWidth="0" w:num="1">
            <w:col w:w="9039"/>
          </w:cols>
          <w:pgMar w:left="1420" w:top="517" w:right="1440" w:bottom="1440"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assets and liabilities to be transferred in the Transaction as assets and liabilities held for sale as of June 30, 2018. The assets and liabilities held for sale were sold as part of the Transaction on July 1, 2018. Accordingly, the following balances were transferred to GCU as of July 1,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97,443</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$6,093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9,780</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r>
      <w:tr>
        <w:trPr>
          <w:trHeight w:val="216"/>
        </w:trPr>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 of accumulated depreciation of $166,066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870,097</w:t>
            </w:r>
          </w:p>
        </w:tc>
      </w:tr>
      <w:tr>
        <w:trPr>
          <w:trHeight w:val="210"/>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held for sale, current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984,997</w:t>
            </w: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7"/>
        </w:trPr>
        <w:tc>
          <w:tcPr>
            <w:tcW w:w="8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Student deposits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88,010</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46,325</w:t>
            </w:r>
          </w:p>
        </w:tc>
      </w:tr>
      <w:tr>
        <w:trPr>
          <w:trHeight w:val="216"/>
        </w:trPr>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 payable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10"/>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held for sale, current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139,439</w:t>
            </w: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received the Secured Note for the Transferred Assets. The Company also transferred cash equal to $34,107 as part of the closing. Except for identified liabilities assumed by GCU, GCE retained responsibility for all liabilities of the business arising from pre-closing operations. For the nine months ended September 30, 2018 the Company had transaction expenses of $17,600, included in Loss on transaction, which included transaction costs of $4,995 and an asset impairment of $3,037 for the nine months ended September 30, 2018. In addition, the Company transferred to GCU cash of $9,568 to fund a deferred compensation plan for GCU employees who were formerly GCE employees (the “Transferred Employees”) and who held unvested restricted stock of GCE that was forfeited upon the Transaction. Included in the university related expense for the three months ended September 30, 2018 is $7,880 of share-based compensation expense resulting from the modification and vesting of previously issued restricted stock grants held by Transferred Employees, employer tax expense of $191 related to the share-based compensation modification, net of reversals of employee related liabilities that were not part of the Transferred Assets for the Transaction of $1,502.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January 22, 2019, GCE acquired Orbis Education for $361,184 (inclusive of closing date adjustments and net of cash acquired). Orbis Education is an education services company that supports healthcare education programs for 21 university partners across the United States. Concurrent with the closing of the Acquisition, GCE entered into an amended and restated credit agreement and used $191,000 from the amended and restated credit agreement and $171,034 of operating cash on hand to complete the purchase. See Note 11 of our consolidated financial statements for a description of the amended and restated credit agreement. The fair value of the assets acquired, less the liabilities assumed exceeded the purchase price by $157,930 which was recorded as goodwill. Transaction costs for the Acquisition for the year ended December 31, 2018 were $808 and for the nine months ended September 30, 2019 were $3,966, which are included in the Loss on transaction in our consolidated income statement.</w:t>
      </w:r>
    </w:p>
    <w:p>
      <w:pPr>
        <w:spacing w:after="0" w:line="1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Acquisition was accounted for in accordance with the acquisition method of accounting. Under this method the cost of the target is allocated to the identifiable assets acquired and liabilities assumed based on their estimated fair values at the date of acquisition. The following table provides a tabular depiction of the Company’s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allocation of the total purchase price to each of the assets acquired and liabilities assumed based on the Company’s fair value estimates.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 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 including $300 of pledged collateral</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 of $0</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i w:val="1"/>
                <w:iCs w:val="1"/>
                <w:color w:val="auto"/>
              </w:rPr>
              <w:t>Liabilities assumed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net asset or liability purchased and assumed</w:t>
            </w: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Purchase price</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365,977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Excess of fair value of net assets acquired over consideration given</w:t>
            </w:r>
          </w:p>
        </w:tc>
        <w:tc>
          <w:tcPr>
            <w:tcW w:w="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right="60" w:firstLine="648"/>
        <w:spacing w:after="0" w:line="257" w:lineRule="auto"/>
        <w:rPr>
          <w:sz w:val="20"/>
          <w:szCs w:val="20"/>
          <w:color w:val="auto"/>
        </w:rPr>
      </w:pPr>
      <w:r>
        <w:rPr>
          <w:rFonts w:ascii="Arial" w:cs="Arial" w:eastAsia="Arial" w:hAnsi="Arial"/>
          <w:sz w:val="18"/>
          <w:szCs w:val="18"/>
          <w:color w:val="auto"/>
        </w:rPr>
        <w:t>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w:t>
      </w:r>
    </w:p>
    <w:p>
      <w:pPr>
        <w:spacing w:after="0" w:line="188" w:lineRule="exact"/>
        <w:rPr>
          <w:sz w:val="20"/>
          <w:szCs w:val="20"/>
          <w:color w:val="auto"/>
        </w:rPr>
      </w:pPr>
    </w:p>
    <w:p>
      <w:pPr>
        <w:ind w:left="20" w:right="220" w:firstLine="648"/>
        <w:spacing w:after="0" w:line="302" w:lineRule="auto"/>
        <w:rPr>
          <w:sz w:val="20"/>
          <w:szCs w:val="20"/>
          <w:color w:val="auto"/>
        </w:rPr>
      </w:pPr>
      <w:r>
        <w:rPr>
          <w:rFonts w:ascii="Arial" w:cs="Arial" w:eastAsia="Arial" w:hAnsi="Arial"/>
          <w:sz w:val="16"/>
          <w:szCs w:val="16"/>
          <w:color w:val="auto"/>
        </w:rPr>
        <w:t>The amounts recorded related to the Acquisition are subject to adjustment as the Company has not yet completed the final allocation of the purchase price. The Company adjusted its allocation of the purchase price by $9,643 in the three months ended June 30, 2019, primarily as the result of the tax effect of a lower tax basis in the acquired assets. The Company has one year from the date of the Acquisition to complete the allocation of the purchase price.</w:t>
      </w:r>
    </w:p>
    <w:p>
      <w:pPr>
        <w:spacing w:after="0" w:line="154" w:lineRule="exact"/>
        <w:rPr>
          <w:sz w:val="20"/>
          <w:szCs w:val="20"/>
          <w:color w:val="auto"/>
        </w:rPr>
      </w:pPr>
    </w:p>
    <w:p>
      <w:pPr>
        <w:ind w:left="20" w:right="20" w:firstLine="648"/>
        <w:spacing w:after="0" w:line="257" w:lineRule="auto"/>
        <w:rPr>
          <w:sz w:val="20"/>
          <w:szCs w:val="20"/>
          <w:color w:val="auto"/>
        </w:rPr>
      </w:pPr>
      <w:r>
        <w:rPr>
          <w:rFonts w:ascii="Arial" w:cs="Arial" w:eastAsia="Arial" w:hAnsi="Arial"/>
          <w:sz w:val="18"/>
          <w:szCs w:val="18"/>
          <w:color w:val="auto"/>
        </w:rPr>
        <w:t>The Company has consolidated the results of operations for Orbis Education since its Acquisition on January 22, 2019. Consolidated net revenue and consolidated net income for the nine months ended September 30, 2019 include $62,289 of service revenue and a loss, net of taxes, of $1,297 from Orbis Education, which includes $6,044 of amortization of intangible assets. The following table reports pro forma information as if the Acquisition of Orbis Education had been completed at the beginning of the earliest period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22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Nine Months Ended September 30,</w:t>
            </w:r>
          </w:p>
        </w:tc>
        <w:tc>
          <w:tcPr>
            <w:tcW w:w="20" w:type="dxa"/>
            <w:vAlign w:val="bottom"/>
            <w:tcBorders>
              <w:bottom w:val="single" w:sz="8" w:color="auto"/>
            </w:tcBorders>
          </w:tcPr>
          <w:p>
            <w:pPr>
              <w:spacing w:after="0"/>
              <w:rPr>
                <w:sz w:val="14"/>
                <w:szCs w:val="14"/>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r>
      <w:tr>
        <w:trPr>
          <w:trHeight w:val="21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80"/>
              <w:spacing w:after="0"/>
              <w:rPr>
                <w:sz w:val="20"/>
                <w:szCs w:val="20"/>
                <w:color w:val="auto"/>
              </w:rPr>
            </w:pPr>
            <w:r>
              <w:rPr>
                <w:rFonts w:ascii="Arial" w:cs="Arial" w:eastAsia="Arial" w:hAnsi="Arial"/>
                <w:sz w:val="18"/>
                <w:szCs w:val="18"/>
                <w:color w:val="auto"/>
              </w:rPr>
              <w:t>As Reported</w:t>
            </w:r>
          </w:p>
        </w:tc>
        <w:tc>
          <w:tcPr>
            <w:tcW w:w="2020" w:type="dxa"/>
            <w:vAlign w:val="bottom"/>
            <w:gridSpan w:val="2"/>
          </w:tcPr>
          <w:p>
            <w:pPr>
              <w:jc w:val="center"/>
              <w:ind w:left="15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193,289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155,454</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140"/>
              <w:spacing w:after="0"/>
              <w:rPr>
                <w:sz w:val="20"/>
                <w:szCs w:val="20"/>
                <w:color w:val="auto"/>
              </w:rPr>
            </w:pPr>
            <w:r>
              <w:rPr>
                <w:rFonts w:ascii="Arial" w:cs="Arial" w:eastAsia="Arial" w:hAnsi="Arial"/>
                <w:sz w:val="18"/>
                <w:szCs w:val="18"/>
                <w:color w:val="auto"/>
                <w:w w:val="95"/>
              </w:rPr>
              <w:t>565,396</w:t>
            </w:r>
          </w:p>
        </w:tc>
        <w:tc>
          <w:tcPr>
            <w:tcW w:w="2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160"/>
              <w:spacing w:after="0"/>
              <w:rPr>
                <w:sz w:val="20"/>
                <w:szCs w:val="20"/>
                <w:color w:val="auto"/>
              </w:rPr>
            </w:pPr>
            <w:r>
              <w:rPr>
                <w:rFonts w:ascii="Arial" w:cs="Arial" w:eastAsia="Arial" w:hAnsi="Arial"/>
                <w:sz w:val="18"/>
                <w:szCs w:val="18"/>
                <w:color w:val="auto"/>
                <w:w w:val="92"/>
              </w:rPr>
              <w:t>667,953</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 forma</w:t>
            </w:r>
          </w:p>
        </w:tc>
        <w:tc>
          <w:tcPr>
            <w:tcW w:w="2020" w:type="dxa"/>
            <w:vAlign w:val="bottom"/>
            <w:gridSpan w:val="2"/>
            <w:shd w:val="clear" w:color="auto" w:fill="CCEEFF"/>
          </w:tcPr>
          <w:p>
            <w:pPr>
              <w:jc w:val="center"/>
              <w:ind w:left="15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171,265</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568,646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712,304</w:t>
            </w:r>
          </w:p>
        </w:tc>
        <w:tc>
          <w:tcPr>
            <w:tcW w:w="20" w:type="dxa"/>
            <w:vAlign w:val="bottom"/>
            <w:shd w:val="clear" w:color="auto" w:fill="CCEEFF"/>
          </w:tcPr>
          <w:p>
            <w:pPr>
              <w:spacing w:after="0"/>
              <w:rPr>
                <w:sz w:val="18"/>
                <w:szCs w:val="18"/>
                <w:color w:val="auto"/>
              </w:rPr>
            </w:pPr>
          </w:p>
        </w:tc>
      </w:tr>
      <w:tr>
        <w:trPr>
          <w:trHeight w:val="216"/>
        </w:trPr>
        <w:tc>
          <w:tcPr>
            <w:tcW w:w="274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80"/>
              <w:spacing w:after="0"/>
              <w:rPr>
                <w:sz w:val="20"/>
                <w:szCs w:val="20"/>
                <w:color w:val="auto"/>
              </w:rPr>
            </w:pPr>
            <w:r>
              <w:rPr>
                <w:rFonts w:ascii="Arial" w:cs="Arial" w:eastAsia="Arial" w:hAnsi="Arial"/>
                <w:sz w:val="18"/>
                <w:szCs w:val="18"/>
                <w:color w:val="auto"/>
              </w:rPr>
              <w:t>As Reported</w:t>
            </w:r>
          </w:p>
        </w:tc>
        <w:tc>
          <w:tcPr>
            <w:tcW w:w="2020" w:type="dxa"/>
            <w:vAlign w:val="bottom"/>
            <w:gridSpan w:val="2"/>
          </w:tcPr>
          <w:p>
            <w:pPr>
              <w:jc w:val="center"/>
              <w:ind w:left="15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58,151</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33,761</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140"/>
              <w:spacing w:after="0"/>
              <w:rPr>
                <w:sz w:val="20"/>
                <w:szCs w:val="20"/>
                <w:color w:val="auto"/>
              </w:rPr>
            </w:pPr>
            <w:r>
              <w:rPr>
                <w:rFonts w:ascii="Arial" w:cs="Arial" w:eastAsia="Arial" w:hAnsi="Arial"/>
                <w:sz w:val="18"/>
                <w:szCs w:val="18"/>
                <w:color w:val="auto"/>
                <w:w w:val="95"/>
              </w:rPr>
              <w:t>182,506</w:t>
            </w:r>
          </w:p>
        </w:tc>
        <w:tc>
          <w:tcPr>
            <w:tcW w:w="2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160"/>
              <w:spacing w:after="0"/>
              <w:rPr>
                <w:sz w:val="20"/>
                <w:szCs w:val="20"/>
                <w:color w:val="auto"/>
              </w:rPr>
            </w:pPr>
            <w:r>
              <w:rPr>
                <w:rFonts w:ascii="Arial" w:cs="Arial" w:eastAsia="Arial" w:hAnsi="Arial"/>
                <w:sz w:val="18"/>
                <w:szCs w:val="18"/>
                <w:color w:val="auto"/>
                <w:w w:val="92"/>
              </w:rPr>
              <w:t>153,480</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 forma</w:t>
            </w:r>
          </w:p>
        </w:tc>
        <w:tc>
          <w:tcPr>
            <w:tcW w:w="2020" w:type="dxa"/>
            <w:vAlign w:val="bottom"/>
            <w:gridSpan w:val="2"/>
            <w:shd w:val="clear" w:color="auto" w:fill="CCEEFF"/>
          </w:tcPr>
          <w:p>
            <w:pPr>
              <w:jc w:val="center"/>
              <w:ind w:left="15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171,261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130,713</w:t>
            </w:r>
          </w:p>
        </w:tc>
        <w:tc>
          <w:tcPr>
            <w:tcW w:w="20" w:type="dxa"/>
            <w:vAlign w:val="bottom"/>
            <w:shd w:val="clear" w:color="auto" w:fill="CCEEFF"/>
          </w:tcPr>
          <w:p>
            <w:pPr>
              <w:spacing w:after="0"/>
              <w:rPr>
                <w:sz w:val="18"/>
                <w:szCs w:val="18"/>
                <w:color w:val="auto"/>
              </w:rPr>
            </w:pPr>
          </w:p>
        </w:tc>
      </w:tr>
      <w:tr>
        <w:trPr>
          <w:trHeight w:val="86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20" w:type="dxa"/>
            <w:vAlign w:val="bottom"/>
            <w:gridSpan w:val="2"/>
          </w:tcPr>
          <w:p>
            <w:pPr>
              <w:jc w:val="center"/>
              <w:ind w:left="1510"/>
              <w:spacing w:after="0"/>
              <w:rPr>
                <w:sz w:val="20"/>
                <w:szCs w:val="20"/>
                <w:color w:val="auto"/>
              </w:rPr>
            </w:pPr>
            <w:r>
              <w:rPr>
                <w:rFonts w:ascii="Arial" w:cs="Arial" w:eastAsia="Arial" w:hAnsi="Arial"/>
                <w:sz w:val="18"/>
                <w:szCs w:val="18"/>
                <w:color w:val="auto"/>
                <w:w w:val="89"/>
              </w:rPr>
              <w:t>10</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100"/>
          </w:cols>
          <w:pgMar w:left="1400" w:top="517" w:right="13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The pro forma information above for the three and nine months ended September 30, 2019 and 2018 includes acquisition related costs in both periods, amortization of intangible assets as a result of the Acquisition, additional interest expense on the debt issued to finance the Acquisition, depreciation expense based on the estimated fair value of the assets acquired, and warrant expense and related tax effects. The pro forma financial information is not necessarily indicative of the results of operations that would have occurred had the transactions been consummated on January 1, 2019 and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consolidated financial statements include the accounts of the Company and its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2018.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2018 from which the December 31, 2018 balance sheet information was derived. For purposes hereof, the term “university related revenue” refer to the Company’s revenue from operations prior to the sale of the University to GCU, and the term “university related expenses” refers to the Company’s expenses related to the operation of the University prior to the sale of the University to GCU and that are now the responsibility of GCU.</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 significant portion of the Company’s university related revenue was received from students who participated in government financial aid and assistance programs. Prior to July 1, 2018, restricted cash and cash equivalents represented amounts received from the federal and state governments under various student aid grant and loan programs, such as Title IV. The Company received these funds subsequent to the completion of the authorization and disbursement process and held them for the benefit of the student. The Department of Education requires Title IV funds collected in advance of student billings to be restricted until the course begins. Prior to the Transaction, the Company recorded all of these amounts as a current asset in restricted cash and cash equivalents. The majority of these funds remained as restricted for an average of 60 to 90 days from the date of receipt. Restricted cash and cash equivalents at December 31, 2018 represents the cash collateral on the credit agreement, which was released as part of the amended and restated credit agreement on January 22, 2019. Restricted cash and cash equivalents at September 30, 2019 represents cash pledged for leased office space.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The Company considers its investments in municipal bonds, mutual funds, municipal securities, certificates of deposit and commercial paper as available-for-sale securities or trading securities based on the Company’s intent for the respective security. Available-for-sale securities are carried at fair value, determined using Level 1 and Level 2 of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 As of December 31, 2018, the Company transferred its investments from available-for-sale to trading, due to the Company's decision to liquidate all investments to fund a portion of the purchase price paid in the Acquisition. Trading securities are carried at fair value and unrealized holding gains and losses are included in earnings. See Note 3 of our consolidated financial statements for further discussion on the Acquisition.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February 27, 2013, the Company entered into an interest rate corridor to manage its 30-Day LIBOR interest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exposure related to its variable rate debt. The fair value of the interest rate corridor instrument as of September 30, 2019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was $79 and $600, respectively, which is included in other assets. The fair value of the derivative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 was determined using a hypothetical derivative transaction and Level 2 of the hierarchy of valuation inputs.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derivative instrument was originally designated as a cash flow hedge of variable rate debt obligations. The adjustment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($418) and $329 for the nine months ended September 30, 2019 and 2018, respectively, for the effective portion of the gains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losses on the derivatives is included as a component of other comprehensive income, net of taxes.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$55,000 as of September 30, 2019. The corridor instrument’s terms permit the Company to hedge its interest rate risk at several thresholds; the Company pays variable interest monthly based on the 30-Day LIBOR rates until that index reaches 1.5%. If 30-Day LIBOR is equal to 1.5% through 3.0%, the Company pays 1.5%. If 30-Day LIBOR exceeds 3.0%, the Company pays actual 30-Day LIBOR less 1.5%.</w:t>
      </w:r>
    </w:p>
    <w:p>
      <w:pPr>
        <w:spacing w:after="0" w:line="1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At September 30, 2019, the Company expects to reclassify gains or losses on derivative instruments from accumulated other comprehensive income (loss) into earnings during the next 3 months as the derivative instrument expires in December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The carrying value of cash and cash equivalents, investments, accounts receivable, accounts payable and accrued compensation and benefits and accrued liabilities expenses approximate their fair value based on the liquidity or the short-term maturities of these instruments. The carrying value of notes receivable, non-current approximates fair value as the Secured Note resulted from the Transaction and was negotiated at fair market value. The carrying value of notes payable approximates fair value as it is based on variable rate index. Derivative financial instruments are carried at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fair value, determined using Level 2 of the hierarchy of valuation inputs as defined in the FASB Accounting Standards Codification (“Codification”), with the use of inputs other than quoted prices that are observable for the asset or liability.</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fair value of investments, primarily municipal securities, was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University related revenue – prior to July 1, 2018</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January 1, 2018, the Company adopted “Revenue from Contracts with Customers” using the modified retrospective method applied to all contracts. Prior to the Transaction on July 1, 2018, net revenues consisted primarily of tuition, net of scholarships, and fees derived from courses taught by the University online, on ground, and at facilities it leased or those of employers, as well as from related educational resources that the University provided to its students, such as access to online materials. Tuition revenue was recognized pro-rata over the applicable period of instruction. A contract was entered into with a student and covered a course or semester. Revenue recognition occurred once a student started attending a course. The Company also charged online students an upfront learning management fee, which was deferred and recognized over the initial course. The Company had no costs that were capitalized to obtain or to fulfill a contract with a customer. Ancillary revenues included housing and fee revenues that were recognized over the period the services were provided and also included revenues from sales and services such as food and beverage, merchandise, hotel, golf and arena events that were recognized as sales occurred or services were performed as these services were transferred at a point in time. For the six months ended June 30, 2018, the Company’s revenue was reduced by approximately $101,176, as a result of scholarships that the Company offered to students. Sales tax collected from students is excluded from net revenues. Collected but unremitted sales tax is included as an accrued liability in our consolidated balance sheet.</w:t>
      </w:r>
    </w:p>
    <w:p>
      <w:pPr>
        <w:spacing w:after="0" w:line="17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presents our revenues disaggregated by the nature of transfer of services for the six months ended June 30, 2018:</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Tuition revenues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522,430</w:t>
            </w: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Ancillary revenues (housing, meals, fees, golf, hotel, arena, other)</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91,245</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613,675</w:t>
            </w:r>
          </w:p>
        </w:tc>
      </w:tr>
      <w:tr>
        <w:trPr>
          <w:trHeight w:val="210"/>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Scholarships</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(101,176)</w:t>
            </w:r>
          </w:p>
        </w:tc>
      </w:tr>
      <w:tr>
        <w:trPr>
          <w:trHeight w:val="21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512,499</w:t>
            </w:r>
          </w:p>
        </w:tc>
      </w:tr>
      <w:tr>
        <w:trPr>
          <w:trHeight w:val="20"/>
        </w:trPr>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receivables represented unconditional rights to consideration from its contracts with students; accordingly, students were not billed until they started attending a course and the revenue recognition process had commenced. Once a student had been invoiced, payment was due immediately. Included in each invoice to the student were all educational related items including tuition, net of scholarships, housing, educational materials, fees, etc. The Company did not have any contract assets. The Company’s contract liabilities were reported as deferred revenue and student deposits in the consolidated balance sheets. Deferred revenue and student deposits in any period represented the excess of tuition, fees, and other student payments received as compared to amounts recognized as revenue on the consolidated income statement and were reflected as current liabilities in the accompanying consolidated balance sheets. The Company’s education programs had starting and ending dates that differ from its fiscal quarters. Therefore, at the end of each fiscal quarter, a portion of revenue from these programs was not yet earned. The majority of the University’s traditional ground students did not attend courses during the summer months (May through August), which affected our results for our second and third fiscal quarters.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The Company had identified a performance obligation associated with the provision of its educational instruction and other educational services, housing services, and other academic related services and used the output measure for recognition as the period of time over which the services were provided to our students. The Company had identified performance obligations related to its hotel, golf course, restaurants, sale of branded promotional items and other ancillary activities and recognized revenue at the point in time goods or services were provided to its customers. The Company maintained an institutional tuition refund policy, which provided for all or a portion of tuition to be refunded if a student withdrew during stated refund periods. Certain states in which students reside impose separate, mandatory refund policies, which overrode the Company’s policy to the extent in conflict. If a student withdrew at a time when only a portion, or none of the tuition was refundable, then in accordance with its revenue recognition policy, the Company continued to recognize the tuition that was not refunded pro-rata over the applicable period of instruction. The Company did not record revenue on amounts that may be refunded. However, for students that had taken out financial aid to pay their tuition and for which a return of such money to the Department of Education under Title IV was required as a result of his or her withdrawal, the Company reassessed collectability for these students each quarter for the estimated revenue that will be returned and recognized the revenue in future periods when payment was received. The Company had elected the short-term contract exemption with respect to its performance obligations under its contracts with students as all such contracts had original terms of less than one year.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Service revenue commenced July 1, 2018</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Starting July 1, 2018, the Company generates all of its revenue through services agreements with its university partners (“Services Agreements”), pursuant to which the Company provides integrated technology and academic services, marketing and communication services, and back office services to its university partners in return for a percentage of tuition and fee revenue. Effective July 1, 2018, as an education services provider, the Company adopted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which it applies to its Services Agreements.</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considers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related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one year for all partners. There are no refunds or return rights under the Services Agreements.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Company’s receivables represent unconditional rights to consideration from our Services Agreements with our university partners. Accounts receivable, net is stated at net realizable value and contains billed and unbilled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 The Company utilizes the allowance method to provide for doubtful accounts based on its evaluation of the collectability of the amounts due. There have been no amounts written off and no reserves established as of September 30, 2019 given historical collection experience. The Company will continue to review and revise its allowance methodology based on its collection experience with its partners.</w:t>
      </w:r>
    </w:p>
    <w:p>
      <w:pPr>
        <w:spacing w:after="0" w:line="18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For our partners with unbilled revenue, revenue recognition occurs in advance of billings. Billings for some university partners do not occur until after the service period has commenced and final enrollment information is available. Our unbilled revenue of $5,059 as of September 30, 2019 represents contract assets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Developed Technology</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technology.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September 30, 2019, $1,094, net of amortization, of deferred content assets are included in other assets, long-term in the Company’s consolidated balance sheets and amortization is included in technical and academic services where the costs originated.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Amortizable Intangible Assets</w:t>
      </w:r>
    </w:p>
    <w:p>
      <w:pPr>
        <w:spacing w:after="0" w:line="225"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The Company capitalizes purchased intangible assets, such as university partner relationships (customer relationships), and tradenames, and amortizes them on a straight-line basis over their estimated useful lives.</w:t>
      </w:r>
    </w:p>
    <w:p>
      <w:pPr>
        <w:sectPr>
          <w:pgSz w:w="11900" w:h="16838" w:orient="portrait"/>
          <w:cols w:equalWidth="0" w:num="1">
            <w:col w:w="9040"/>
          </w:cols>
          <w:pgMar w:left="1420" w:top="517" w:right="14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purchase price of an acquisition is allocated to the assets acquired, including intangible assets, and liabilities assumed, based on their respective fair values at the acquisition date. Acquisition-related costs are expensed as incurred. The excess of the cost of an acquired entity, net of the amounts assigned to the assets acquired and liabilities assumed, is recognized as goodwill. The net assets and result of operations of an acquired entity are included on the Company's consolidated financial statements from the acquisition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Goodwill represents the excess of the cost over the fair market value of net assets acquired, including identified intangible assets. Goodwill is tested annually or more frequently if circumstances indicate potential impairment. The Financial Accounting Standards Board (“FASB”) has issued guidance that permits an entity to first assess qualitative factors to determine whether it is necessary to perform the two-step quantitative goodwill impairment test. The Company reviews goodwill at least annually or more frequently if an event occurs or circumstances change that would more likely than not reduce the fair value of the reporting unit below its carrying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support for faculty including training and development,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location.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location.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right="700" w:firstLine="648"/>
        <w:spacing w:after="0" w:line="312" w:lineRule="auto"/>
        <w:rPr>
          <w:sz w:val="20"/>
          <w:szCs w:val="20"/>
          <w:color w:val="auto"/>
        </w:rPr>
      </w:pPr>
      <w:r>
        <w:rPr>
          <w:rFonts w:ascii="Arial" w:cs="Arial" w:eastAsia="Arial" w:hAnsi="Arial"/>
          <w:sz w:val="16"/>
          <w:szCs w:val="16"/>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related expenses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University related expenses represent the costs that were transferred to GCU in the Transaction and that are no longer incurred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September 30, 2019 and December 31, 2018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The Company has not experienced any losses on receivables since July 1, 2018, the date the Company transitioned to an educational service provider. To manage accounts receivable risk, the Company maintains an allowance for doubtful accounts, if needed. Our dependence on our largest university partner subjects us to the risk that declines in our customer’s operations would result in a sustained reduction in revenues for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operates as a single educational services company using a core infrastructure that serves the curriculum and educational delivery needs of its 21 university partners. The Company’s Chief Executive Officer manages the Company’s operations as a whole and no expense or operating income information is generated or evaluated on any component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 in 2019</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February 2016, the FASB issued ASU No. 2016-02, Leases (Topic 842), which introduced a lessee model that requires the majority of leases to be recognized on the balance sheet. On January 1, 2019, the Company adopted the ASU using the modified retrospective transition approach and elected the transition option to recognize the adjustment in the period of adoption rather than in the earliest period presented. Adoption of the new guidance resulted in an immaterial amount of right-of-use (“ROU”) assets and lease liabilities of $498. Subsequent to adoption, the Company recognized ROU assets of $13,069 and lease liabilities of $13,069 acquired in the Acquisition. As part of the adoption process the Company made the following elections:</w:t>
      </w:r>
    </w:p>
    <w:p>
      <w:pPr>
        <w:spacing w:after="0" w:line="189" w:lineRule="exact"/>
        <w:rPr>
          <w:sz w:val="20"/>
          <w:szCs w:val="20"/>
          <w:color w:val="auto"/>
        </w:rPr>
      </w:pPr>
    </w:p>
    <w:p>
      <w:pPr>
        <w:ind w:left="680" w:hanging="32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hindsight practical expedient, for all leases.</w:t>
      </w:r>
    </w:p>
    <w:p>
      <w:pPr>
        <w:spacing w:after="0" w:line="23" w:lineRule="exact"/>
        <w:rPr>
          <w:rFonts w:ascii="Arial" w:cs="Arial" w:eastAsia="Arial" w:hAnsi="Arial"/>
          <w:sz w:val="18"/>
          <w:szCs w:val="18"/>
          <w:color w:val="auto"/>
        </w:rPr>
      </w:pPr>
    </w:p>
    <w:p>
      <w:pPr>
        <w:ind w:left="680" w:right="420" w:hanging="320"/>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package of practical expedients to not reassess prior conclusions related to contracts containing leases, lease classification and initial direct costs for all leases.</w:t>
      </w:r>
    </w:p>
    <w:p>
      <w:pPr>
        <w:ind w:left="680" w:right="420" w:hanging="320"/>
        <w:spacing w:after="0" w:line="261"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to make the accounting policy election for short-term leases resulting in lease payments being recorded as an expense on a straight-line basis over the lease term.</w:t>
      </w:r>
    </w:p>
    <w:p>
      <w:pPr>
        <w:spacing w:after="0" w:line="18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ROU assets and lease liabilities are recognized at commencement date based on the present value of lease payments over the lease term. The Company’s leases do not provide an implicit rate. The Company uses its incremental borrowing rate based on the information available at commencement date in determining the present value of lease payments. Refer to Note 10 to our consolidated financial statements for further disclosures regarding the impact of adopting this standard.</w:t>
      </w:r>
    </w:p>
    <w:p>
      <w:pPr>
        <w:spacing w:after="0" w:line="154"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In August 2017, the FASB issued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This standard targets improvements in the hedge relationship documentation, testing and disclosures for derivatives. This standard is effective for fiscal years and interim periods within those years, beginning after December 15, 2018. Accordingly, the standard was adopted by us as of January 1, 2019. The adoption of this guidance did not have a material impact on the Company’s financial condition, results of operations or statement of cash flows. The Company elected a qualitative approach starting in 2019 to assess its hedge effectiveness and included updated disclosures as required by the standard.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Test for Goodwill Impairment</w:t>
      </w:r>
      <w:r>
        <w:rPr>
          <w:rFonts w:ascii="Arial" w:cs="Arial" w:eastAsia="Arial" w:hAnsi="Arial"/>
          <w:sz w:val="17"/>
          <w:szCs w:val="17"/>
          <w:color w:val="auto"/>
        </w:rPr>
        <w:t>, which eliminated step two from the goodwill impairment test and requires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 impairment charge for the amount by which the carrying amount of a reporting unit exceeds its fair value, up to the amount of goodwill allocated to that reporting unit. The amendments in this standard are effective for fiscal years beginning after December 15, 2019, with early adoption permitted. The Company expects that the adoption of this standard will impact its consolidated financial statements and related disclosures only to the extent that a future goodwill impairment test results in the recognition of an impairment charge.</w:t>
      </w:r>
    </w:p>
    <w:p>
      <w:pPr>
        <w:spacing w:after="0" w:line="17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At December 31, 2018, the Company transferred its investments from available-for-sale classification to trading, due to the Company’s decision to liquidate all investments to complete the Acquisition in the first quarter of 2019. Prior to December 31, 2018, the Company considered all investments as available-for-sale. At September 30, 2019 and December 31, 2018, the Company had $14,152 and $69,002, respectively, of investments. These investments were held in municipal and corporate securities as of September 30, 2019 and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Common Share</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48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48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9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6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47,592</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 and restricted stock</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48,337</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48,422</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48,317</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Diluted weighted average shares outstanding excludes the incremental effect of unvested restricted stock and shares that would be issued upon the assumed exercise of stock options in accordance with the treasury stock method. For both the three- and nine-month periods ended September 30, 2019 and 2018, none of the Company’s stock options and restricted stock awards outstanding were excluded from the calculation of diluted earnings per share as their inclusion would have been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Allowance for Doubtful Accounts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Balance at</w:t>
            </w: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Charged to</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Deductions/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8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Transfers</w:t>
            </w:r>
            <w:r>
              <w:rPr>
                <w:rFonts w:ascii="Arial" w:cs="Arial" w:eastAsia="Arial" w:hAnsi="Arial"/>
                <w:sz w:val="10"/>
                <w:szCs w:val="10"/>
                <w:b w:val="1"/>
                <w:bCs w:val="1"/>
                <w:color w:val="auto"/>
                <w:w w:val="92"/>
              </w:rPr>
              <w:t>(2)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Period</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Expense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Transfers</w:t>
            </w:r>
            <w:r>
              <w:rPr>
                <w:rFonts w:ascii="Arial" w:cs="Arial" w:eastAsia="Arial" w:hAnsi="Arial"/>
                <w:sz w:val="10"/>
                <w:szCs w:val="10"/>
                <w:b w:val="1"/>
                <w:bCs w:val="1"/>
                <w:color w:val="auto"/>
                <w:w w:val="95"/>
              </w:rPr>
              <w:t>(1)(2)</w:t>
            </w: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Nine months ended September 30, 2019</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2018</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1"/>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3" w:lineRule="exact"/>
        <w:rPr>
          <w:rFonts w:ascii="Arial" w:cs="Arial" w:eastAsia="Arial" w:hAnsi="Arial"/>
          <w:sz w:val="18"/>
          <w:szCs w:val="18"/>
          <w:color w:val="auto"/>
        </w:rPr>
      </w:pPr>
    </w:p>
    <w:p>
      <w:pPr>
        <w:ind w:left="340" w:hanging="331"/>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Allowance was transferred to GCU with other educational assets and liabilities on July 1, 2018. See Note 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Land improvements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51,399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4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3,034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210,916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Less accumulated depreciation and amortization</w:t>
            </w:r>
          </w:p>
        </w:tc>
        <w:tc>
          <w:tcPr>
            <w:tcW w:w="14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(92,279)</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118,637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111,039</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Intangible Assets</w:t>
            </w: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40" w:type="dxa"/>
            <w:vAlign w:val="bottom"/>
            <w:gridSpan w:val="3"/>
          </w:tcPr>
          <w:p>
            <w:pPr>
              <w:ind w:left="640"/>
              <w:spacing w:after="0"/>
              <w:rPr>
                <w:sz w:val="20"/>
                <w:szCs w:val="20"/>
                <w:color w:val="auto"/>
              </w:rPr>
            </w:pPr>
            <w:r>
              <w:rPr>
                <w:rFonts w:ascii="Arial" w:cs="Arial" w:eastAsia="Arial" w:hAnsi="Arial"/>
                <w:sz w:val="18"/>
                <w:szCs w:val="18"/>
                <w:color w:val="auto"/>
              </w:rPr>
              <w:t>Amortizable intangible assets consist of the following as of:</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 2019</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Estimated</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Gross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14"/>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8"/>
              </w:rPr>
              <w:t>Carrying</w:t>
            </w:r>
          </w:p>
        </w:tc>
        <w:tc>
          <w:tcPr>
            <w:tcW w:w="12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14"/>
              <w:spacing w:after="0" w:line="149" w:lineRule="exact"/>
              <w:rPr>
                <w:sz w:val="20"/>
                <w:szCs w:val="20"/>
                <w:color w:val="auto"/>
              </w:rPr>
            </w:pPr>
            <w:r>
              <w:rPr>
                <w:rFonts w:ascii="Arial" w:cs="Arial" w:eastAsia="Arial" w:hAnsi="Arial"/>
                <w:sz w:val="14"/>
                <w:szCs w:val="14"/>
                <w:color w:val="auto"/>
                <w:w w:val="94"/>
              </w:rPr>
              <w:t>Carrying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Amount</w:t>
            </w:r>
          </w:p>
        </w:tc>
        <w:tc>
          <w:tcPr>
            <w:tcW w:w="1280" w:type="dxa"/>
            <w:vAlign w:val="bottom"/>
            <w:gridSpan w:val="4"/>
          </w:tcPr>
          <w:p>
            <w:pPr>
              <w:jc w:val="right"/>
              <w:ind w:right="320"/>
              <w:spacing w:after="0"/>
              <w:rPr>
                <w:sz w:val="20"/>
                <w:szCs w:val="20"/>
                <w:color w:val="auto"/>
              </w:rPr>
            </w:pPr>
            <w:r>
              <w:rPr>
                <w:rFonts w:ascii="Arial" w:cs="Arial" w:eastAsia="Arial" w:hAnsi="Arial"/>
                <w:sz w:val="14"/>
                <w:szCs w:val="14"/>
                <w:color w:val="auto"/>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14"/>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(5,838)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204,162</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168,381</w:t>
            </w:r>
          </w:p>
        </w:tc>
      </w:tr>
      <w:tr>
        <w:trPr>
          <w:trHeight w:val="210"/>
        </w:trPr>
        <w:tc>
          <w:tcPr>
            <w:tcW w:w="8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204,236</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Company has operating leases for classroom site locations, office space, office equipment, and optical fiber communication lines. These leases have terms that range from 3 months to 10 years. At lease inception, we determined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has operating lease costs of $2,681 and $827 for the nine-month period ended September 30, 2019 and 2018, respectively. The consolidated financial statements for years before January 1, 2019 are not presented on the same accounting basis with respect to leases. There was an immaterial amount of future lease obligations as of September 30,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2018. The majority of leases that existed for the nine months ended September 30, 2018 were assigned to GCU in the Transaction that occurred on July 1, 2018.</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September 30, 2019, the Company had $14,116 of non-cancelable operating lease commitments, primarily for classroom site locations and office space, that has not yet commenced. These operating leases will commence in 2019 or 2020 with a lease term of 10.5 years. The Company’s weighted-average remaining lease term relating to its operating leases is 8.46 years, with a weighted-average discount rate of 4.3%. As of September 30, 2019, the Company had no financing leases.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September 30, 2019, by year and in the aggregate,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80" w:type="dxa"/>
            <w:vAlign w:val="bottom"/>
            <w:gridSpan w:val="2"/>
          </w:tcPr>
          <w:p>
            <w:pPr>
              <w:spacing w:after="0"/>
              <w:rPr>
                <w:sz w:val="20"/>
                <w:szCs w:val="20"/>
                <w:color w:val="auto"/>
              </w:rPr>
            </w:pPr>
            <w:r>
              <w:rPr>
                <w:rFonts w:ascii="Arial" w:cs="Arial" w:eastAsia="Arial" w:hAnsi="Arial"/>
                <w:sz w:val="14"/>
                <w:szCs w:val="14"/>
                <w:color w:val="auto"/>
              </w:rPr>
              <w:t>Year Ending December 31,</w:t>
            </w:r>
          </w:p>
        </w:tc>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72"/>
              <w:spacing w:after="0"/>
              <w:rPr>
                <w:sz w:val="20"/>
                <w:szCs w:val="20"/>
                <w:color w:val="auto"/>
              </w:rPr>
            </w:pPr>
            <w:r>
              <w:rPr>
                <w:rFonts w:ascii="Arial" w:cs="Arial" w:eastAsia="Arial" w:hAnsi="Arial"/>
                <w:sz w:val="14"/>
                <w:szCs w:val="14"/>
                <w:color w:val="auto"/>
              </w:rPr>
              <w:t>Amount</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2020</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3,651</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2022</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4,302</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17,087</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6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34,137</w:t>
            </w: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6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5,988</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6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28,149</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Other Noncurrent Liabilities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entered into an amended and restated credit agreement dated January 22, 2019 and two related amendments dated January 31, 2019 and dated February 1, 2019, respectively, that together provide a credit facility of $325,000 comprised of a term loan facility of $243,750 and a revolving credit facility of $81,250, both with a five-year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$6,250 drawn under the revolver and operating cash on hand were used to complete the Acquisition. Concurrent with the amendment of the credit agreement and Acquisition, we repaid our existing term loan of $59,850 and our cash collateral of $61,667 was released. The amended and restated credit agreement contains standard covenants that, among other things, restrict the Company’s ability to incur additional debt or make certain investments, and require the Company to achieve certain financial ratios and maintain certain financial conditions. As of September 30, 2019, the Company is in compliance with its debt covenants. The Company concluded that the amended and restated credit agreement is considered a loan modification. Accordingly, the Company allocated the costs paid to the bank consortium based on the borrowing dollars and has recorded an asset of $596 and a contra liability of $1,639, which are related to our revolver and term loan, respectively, that is being amortized to interest expense over the five-year maturity date. Additionally, the Company expensed $150 of third-party costs in the first quarter related to this loan modification.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entered into a further amendment for the credit facility on October 31, 2019. This amendment increased the revolving commitment by $68,750 to $150,000, while reducing the term loan by the same $68,750 to $150,625. Our consolidated balance sheet was adjusted to reflect the classification of amounts owed per the terms of the credit facility. Subsequent to September 30, 2019, the Company elected to repay the $68,750 revolver on November 1,</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2019. Additionally, the Company elected to repay the outstanding revolver as of September 30, 2019 of $26,250 in October of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As of September 30,</w:t>
            </w:r>
          </w:p>
        </w:tc>
        <w:tc>
          <w:tcPr>
            <w:tcW w:w="140" w:type="dxa"/>
            <w:vAlign w:val="bottom"/>
          </w:tcPr>
          <w:p>
            <w:pPr>
              <w:spacing w:after="0"/>
              <w:rPr>
                <w:sz w:val="14"/>
                <w:szCs w:val="14"/>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spacing w:after="0" w:line="201" w:lineRule="exact"/>
              <w:rPr>
                <w:sz w:val="20"/>
                <w:szCs w:val="20"/>
                <w:color w:val="auto"/>
              </w:rPr>
            </w:pPr>
            <w:r>
              <w:rPr>
                <w:rFonts w:ascii="Arial" w:cs="Arial" w:eastAsia="Arial" w:hAnsi="Arial"/>
                <w:sz w:val="18"/>
                <w:szCs w:val="18"/>
                <w:color w:val="auto"/>
                <w:w w:val="94"/>
              </w:rPr>
              <w:t>Note payable, quarterly payment of $8,368 starting December 31, 2019; interest at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w w:val="92"/>
              </w:rPr>
              <w:t>30-Day LIBOR plus 2.00% (4.10% at September 30, 2019) through January 22, 2024</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161,392</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Revolving line of credit; interest at 30-Day LIBOR plus 2.0% (4.10% at September</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30, 2019)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256,392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211,060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640" w:type="dxa"/>
            <w:vAlign w:val="bottom"/>
            <w:gridSpan w:val="4"/>
          </w:tcPr>
          <w:p>
            <w:pPr>
              <w:ind w:left="640"/>
              <w:spacing w:after="0"/>
              <w:rPr>
                <w:sz w:val="20"/>
                <w:szCs w:val="20"/>
                <w:color w:val="auto"/>
              </w:rPr>
            </w:pPr>
            <w:r>
              <w:rPr>
                <w:rFonts w:ascii="Arial" w:cs="Arial" w:eastAsia="Arial" w:hAnsi="Arial"/>
                <w:sz w:val="18"/>
                <w:szCs w:val="18"/>
                <w:color w:val="auto"/>
                <w:w w:val="94"/>
              </w:rPr>
              <w:t>Payments due under the notes payable obligations are as follows as of September 30, 2019: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Income Tax Related</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During the first quarter of 2019, the Company reached an agreement with the Arizona Department of Revenue regarding previously filed refund claims related to income tax obligations for calendar year 2008 through calendar year 2013. As a result of the agreement, the Company received a refund of $7,500, inclusive of both tax and interest. Net of the federal tax benefit, the refund has a favorable tax impact of $5,925. The Company recorded the impact of this discrete tax item in its first quarter 2019 financials.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The Company reserve is not material for tax matters where its ultimate exposure is considered probable and the potential loss can be reasonably estimated.</w:t>
      </w:r>
    </w:p>
    <w:p>
      <w:pPr>
        <w:spacing w:after="0" w:line="191" w:lineRule="exact"/>
        <w:rPr>
          <w:sz w:val="20"/>
          <w:szCs w:val="20"/>
          <w:color w:val="auto"/>
        </w:rPr>
      </w:pPr>
    </w:p>
    <w:p>
      <w:pPr>
        <w:jc w:val="center"/>
        <w:ind w:right="6640"/>
        <w:spacing w:after="0"/>
        <w:rPr>
          <w:sz w:val="20"/>
          <w:szCs w:val="20"/>
          <w:color w:val="auto"/>
        </w:rPr>
      </w:pPr>
      <w:r>
        <w:rPr>
          <w:rFonts w:ascii="Arial" w:cs="Arial" w:eastAsia="Arial" w:hAnsi="Arial"/>
          <w:sz w:val="16"/>
          <w:szCs w:val="16"/>
          <w:b w:val="1"/>
          <w:bCs w:val="1"/>
          <w:color w:val="auto"/>
        </w:rPr>
        <w:t>13. Share-Based Compensation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Incentive Plan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Prior to June 2017, the Company made grants of restricted stock and stock options under its 2008 Equity Incentive Plan (the “2008 Plan”). In January 2017, the Board of Directors of the Company approved, and at the Company’s 2017 annual meeting of stockholders held on June 14, 2017, the Company’s stockholders adopted, a 2017 Equity Incentive Plan (the “2017 Plan”) under which a maximum of 3,000 shares may be granted. As of September 30, 2019, 1,762 shares were available for grants under the 2017 Plan. All grants of equity incentives made after June 2017 have been made from the 2017 Plan.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nine months ended September 30, 2019, the Company granted 149 shares of common stock with a service vesting condition to certain of its executives, officers and employees. The restricted shares have voting rights and vest in five annual installments of 20%, with the first installment vesting in March of the calendar year following the date of grant (the “first vesting date”) and subsequent installments vesting on each of the four anniversaries of the first vesting date. Upon vesting, shares will be held in lieu of taxes equivalent to the minimum statutory tax withholding required to be paid when the restricted stock vests. During the nine months ended September 30, 2019, the Company withheld 68 shares of common stock in lieu of taxes at a cost of $8,127 on the restricted stock vesting dates. In the nine months ended September 30, 2019, the Company granted 3 shares of common stock to the non-employee members of the Company’s Board of Directors. The restricted shares granted to these directors have voting rights and vest on the earlier of (a) the one-year anniversary of the date of grant or (b) immediately prior to the following year’s annual stockholders’ meeting. Included in this amount are the shares of common stock granted in August 2019 to two new non-employee members of the Company’s Board of Directors. The restricted shares granted to these directors have voting rights and vest on the one year anniversary of the date of grant. A summary of the activity related to restricted stock granted under the Company’s Incentive Plan since December 31, 2018 is as follows: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6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3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Granted</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93.62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400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2019</w:t>
            </w:r>
          </w:p>
        </w:tc>
        <w:tc>
          <w:tcPr>
            <w:tcW w:w="3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160" w:type="dxa"/>
            <w:vAlign w:val="bottom"/>
            <w:vMerge w:val="restart"/>
          </w:tcPr>
          <w:p>
            <w:pPr>
              <w:jc w:val="right"/>
              <w:ind w:right="2130"/>
              <w:spacing w:after="0"/>
              <w:rPr>
                <w:sz w:val="20"/>
                <w:szCs w:val="20"/>
                <w:color w:val="auto"/>
              </w:rPr>
            </w:pPr>
            <w:r>
              <w:rPr>
                <w:rFonts w:ascii="Arial" w:cs="Arial" w:eastAsia="Arial" w:hAnsi="Arial"/>
                <w:sz w:val="18"/>
                <w:szCs w:val="18"/>
                <w:color w:val="auto"/>
              </w:rPr>
              <w:t>23</w:t>
            </w: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nine months ended September 30, 2019, no options were granted. A summary of the activity since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related to stock options granted under the Company’s Incentive Plan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280" w:type="dxa"/>
            <w:vAlign w:val="bottom"/>
            <w:tcBorders>
              <w:bottom w:val="single" w:sz="8" w:color="auto"/>
            </w:tcBorders>
            <w:gridSpan w:val="8"/>
          </w:tcPr>
          <w:p>
            <w:pPr>
              <w:jc w:val="right"/>
              <w:ind w:right="321"/>
              <w:spacing w:after="0"/>
              <w:rPr>
                <w:sz w:val="20"/>
                <w:szCs w:val="20"/>
                <w:color w:val="auto"/>
              </w:rPr>
            </w:pPr>
            <w:r>
              <w:rPr>
                <w:rFonts w:ascii="Arial" w:cs="Arial" w:eastAsia="Arial" w:hAnsi="Arial"/>
                <w:sz w:val="14"/>
                <w:szCs w:val="14"/>
                <w:b w:val="1"/>
                <w:bCs w:val="1"/>
                <w:color w:val="auto"/>
              </w:rPr>
              <w:t>Summary of Stock Options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0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 per</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Term (Years)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r>
              <w:rPr>
                <w:rFonts w:ascii="Arial" w:cs="Arial" w:eastAsia="Arial" w:hAnsi="Arial"/>
                <w:sz w:val="10"/>
                <w:szCs w:val="10"/>
                <w:b w:val="1"/>
                <w:bCs w:val="1"/>
                <w:color w:val="auto"/>
                <w:w w:val="96"/>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Forfeited, canceled or expired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$ 19,438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Exercisable as of September 30, 2019</w:t>
            </w: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gridSpan w:val="3"/>
            <w:vMerge w:val="continue"/>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15.51</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$ 19,438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160" w:hanging="331"/>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Company’s closing stock price on September 30, 2019 ($98.20) in excess of the exercise price multiplied by the number of shares underlying options outstanding or exercisable, as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nine months ended September 30, 2019 and 2018 related to restricted stock and stock options granted: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Counseling support and services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3,707</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University related expenses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r>
      <w:tr>
        <w:trPr>
          <w:trHeight w:val="210"/>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17,066</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r>
      <w:tr>
        <w:trPr>
          <w:trHeight w:val="210"/>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9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12,799</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Treasury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has authorized the Company to repurchase up to $175,000 in aggregate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depending on market conditions and other considerations. The expiration date on the repurchase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authorization is December 31, 2020. Repurchases occur at the Company’s discretion. Repurchases may be made in the open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or in privately negotiated transactions, pursuant to the applicable Securities and Exchange Commission rules.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and timing of future share repurchases, if any, will be made as market and business conditions warrant.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2019 the Company repurchased 175 shares of common stock at an aggregate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$17,293. At September 30, 2019, there remained $70,809 available under its current share repurchase authorization.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repurchased in lieu of taxes are not included in the repurchase plan totals as they were approved in conjunction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restricted share awards. Subsequent to September 30, 2019, the Company repurchased 78 shares of common stock at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aggregate cost of $7,692.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78" w:lineRule="exact"/>
        <w:rPr>
          <w:sz w:val="20"/>
          <w:szCs w:val="20"/>
          <w:color w:val="auto"/>
        </w:rPr>
      </w:pPr>
    </w:p>
    <w:p>
      <w:pPr>
        <w:ind w:left="680" w:right="220" w:hanging="32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680" w:right="60" w:hanging="320"/>
        <w:spacing w:after="0" w:line="286"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65" w:lineRule="exact"/>
        <w:rPr>
          <w:rFonts w:ascii="Arial" w:cs="Arial" w:eastAsia="Arial" w:hAnsi="Arial"/>
          <w:sz w:val="17"/>
          <w:szCs w:val="17"/>
          <w:color w:val="auto"/>
        </w:rPr>
      </w:pPr>
    </w:p>
    <w:p>
      <w:pPr>
        <w:ind w:left="680" w:right="220" w:hanging="320"/>
        <w:spacing w:after="0" w:line="312"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46" w:lineRule="exact"/>
        <w:rPr>
          <w:rFonts w:ascii="Arial" w:cs="Arial" w:eastAsia="Arial" w:hAnsi="Arial"/>
          <w:sz w:val="16"/>
          <w:szCs w:val="16"/>
          <w:color w:val="auto"/>
        </w:rPr>
      </w:pPr>
    </w:p>
    <w:p>
      <w:pPr>
        <w:ind w:left="680" w:right="540" w:hanging="32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pacing w:after="0" w:line="170" w:lineRule="exact"/>
        <w:rPr>
          <w:rFonts w:ascii="Arial" w:cs="Arial" w:eastAsia="Arial" w:hAnsi="Arial"/>
          <w:sz w:val="18"/>
          <w:szCs w:val="18"/>
          <w:color w:val="auto"/>
        </w:rPr>
      </w:pPr>
    </w:p>
    <w:p>
      <w:pPr>
        <w:ind w:left="680" w:right="100" w:hanging="320"/>
        <w:spacing w:after="0" w:line="26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1" w:lineRule="exact"/>
        <w:rPr>
          <w:rFonts w:ascii="Arial" w:cs="Arial" w:eastAsia="Arial" w:hAnsi="Arial"/>
          <w:sz w:val="18"/>
          <w:szCs w:val="18"/>
          <w:color w:val="auto"/>
        </w:rPr>
      </w:pPr>
    </w:p>
    <w:p>
      <w:pPr>
        <w:ind w:left="680" w:right="380" w:hanging="320"/>
        <w:spacing w:after="0" w:line="26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client;</w:t>
      </w:r>
    </w:p>
    <w:p>
      <w:pPr>
        <w:spacing w:after="0" w:line="181" w:lineRule="exact"/>
        <w:rPr>
          <w:rFonts w:ascii="Arial" w:cs="Arial" w:eastAsia="Arial" w:hAnsi="Arial"/>
          <w:sz w:val="18"/>
          <w:szCs w:val="18"/>
          <w:color w:val="auto"/>
        </w:rPr>
      </w:pPr>
    </w:p>
    <w:p>
      <w:pPr>
        <w:ind w:left="680" w:right="680" w:hanging="32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tax payments and tax rate, including the effect of the Tax Cuts and Jobs Act of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hanging="32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680" w:right="260" w:hanging="320"/>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680" w:right="280" w:hanging="320"/>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the programs of our university partners;</w:t>
      </w:r>
    </w:p>
    <w:p>
      <w:pPr>
        <w:spacing w:after="0" w:line="225" w:lineRule="exact"/>
        <w:rPr>
          <w:rFonts w:ascii="Arial" w:cs="Arial" w:eastAsia="Arial" w:hAnsi="Arial"/>
          <w:sz w:val="18"/>
          <w:szCs w:val="18"/>
          <w:color w:val="auto"/>
        </w:rPr>
      </w:pPr>
    </w:p>
    <w:p>
      <w:pPr>
        <w:ind w:left="680" w:right="360" w:hanging="320"/>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680" w:right="140" w:hanging="320"/>
        <w:spacing w:after="0" w:line="26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181" w:lineRule="exact"/>
        <w:rPr>
          <w:rFonts w:ascii="Arial" w:cs="Arial" w:eastAsia="Arial" w:hAnsi="Arial"/>
          <w:sz w:val="18"/>
          <w:szCs w:val="18"/>
          <w:color w:val="auto"/>
        </w:rPr>
      </w:pPr>
    </w:p>
    <w:p>
      <w:pPr>
        <w:ind w:left="680" w:hanging="32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225" w:lineRule="exact"/>
        <w:rPr>
          <w:rFonts w:ascii="Arial" w:cs="Arial" w:eastAsia="Arial" w:hAnsi="Arial"/>
          <w:sz w:val="18"/>
          <w:szCs w:val="18"/>
          <w:color w:val="auto"/>
        </w:rPr>
      </w:pPr>
    </w:p>
    <w:p>
      <w:pPr>
        <w:ind w:left="680" w:right="80" w:hanging="320"/>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2018,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Prior to July 1, 2018, the Company, operated Grand Canyon University (the “University”), a comprehensive regionally accredited university that offers graduate and undergraduate degree programs, emphases and certificates across nine colleges both online and on ground at its campus in Phoenix, Arizona, at leased facilities and at facilities owned by third-party employers of its students. On July 1, 2018, the Company sold the University to Grand Canyon University (“GCU”), an independent Arizona non-profit corporation formerly known as Gazelle University, (the “Transaction”) pursuant to the terms of an Asset Purchase Agreement (the “Asset Purchase Agreement”) between the Company and GCU. As a result of this Transaction, GCE became an educational services company focused on providing a full array of support services to institutions in the post-secondary education sector. GCE has developed significant technological solutions, infrastructure and operational processes to provide services to these institutions on a large scale. See Note 2 to consolidated financial statement for a full description of the Transaction.</w:t>
      </w:r>
    </w:p>
    <w:p>
      <w:pPr>
        <w:spacing w:after="0" w:line="17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Beginning on July 1, 2018, GCE began providing services to GCU, its sole university partner during 2018, that included technology and academic services, counseling services and support, marketing and communication services, and back office services such as financial aid processing, accounting, reporting, tax, human resources, and procurement services.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Accordingly, the results of operations discussed herein for the nine-month period ended September 30, 2018 reflect the Company’s operations prior to July 1, 2018 which were made up exclusively of the operations of the University. For the period from July 1, 2018 to September 30, 2018 and for the three and nine months ended September 30, 2019, results of operations do not include the operations of GCU but rather reflect the operations of the Company as a service/technology provider.</w:t>
      </w:r>
    </w:p>
    <w:p>
      <w:pPr>
        <w:spacing w:after="0" w:line="18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Additionally, on January 22, 2019, GCE completed the acquisition of Orbis Education, an educational services company that supports healthcare education programs for 21 universities across the United States for $361.2 million, net of cash acquired (the “Acquisition”). See Note 3 to consolidated financial statements for a full description of the Acquisition. Therefore, the results of operations for the three- and nine-month periods ended September 30, 2019 include Orbis Education’s financial results for the period from January 22, 2019 to September 30, 2019.</w:t>
      </w:r>
    </w:p>
    <w:p>
      <w:pPr>
        <w:spacing w:after="0" w:line="16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Overview of Results</w:t>
      </w:r>
      <w:r>
        <w:rPr>
          <w:rFonts w:ascii="Arial" w:cs="Arial" w:eastAsia="Arial" w:hAnsi="Arial"/>
          <w:sz w:val="16"/>
          <w:szCs w:val="16"/>
          <w:color w:val="auto"/>
        </w:rPr>
        <w:t>. End-of-period enrollment in the programs at our university partners for which we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increased 10.2% between September 30, 2019 and September 30, 2018 to 108,821 from 98,715. This increase is due to partner enrollments in programs serviced by Orbis Education at September 30, 2019 of 3,975 and due to an increase in enrollments at GCU to 104,846, an increase of 6.2%. Ground enrollment at GCU, at September 30, 2019 and 2018 includes traditional-aged students that are taking Fall school classes and professional studies students. Partner enrollments in programs serviced by Orbis Education were 3,104 at September 30, 2018. The increase in Orbis Education partner enrollments between years is primarily due to the increase in university partners and site locations between years. We believe the increase in GCU enrollments between years is due to the continued increase in its brand recognition and the value proposition that it affords to traditional-aged students and their parents and to working adult students. The 22.1% increase year over year in comparable service fee revenue for the nine months ended September 30, 2019 and 2018 was primarily due to our Orbis Education acquisition on January 22, 2019 and the increase in GCU enrollments between years. The partnership agreements that were acquired as part of the Acquisition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2018. During the nine months ended September 30, 2019, there have been no significant changes in our critical accounting policies other than the Acquisition as discussed in Note 3 to the consolidated financial statements in Part I, Item 1, and the adoption of the new lease standard as discussed in Notes 4 and 10 to the consolidated financial statements in Part I, Item 1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following table sets forth certain income statement data as a percentage of net revenue for each of the periods indicated. University related expenses, amortization of intangible assets and the loss on transaction have been excluded from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540" w:type="dxa"/>
            <w:vAlign w:val="bottom"/>
          </w:tcPr>
          <w:p>
            <w:pPr>
              <w:jc w:val="right"/>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As reflected in the table above, the income statement data as a percentage of revenue is not comparable for the nine months ended September 30, 2019 and 2018. This is due to the reduction in revenues associated with the Company transitioning to an education service provider as of July 1, 2018. As a result, the Company has also provided two</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additional tables to enhance comparability between periods by showing, on a comparable basis, the types of levels of operating expenses the Company currently incurs as compared to prior to the Transaction. The Company has calculated 60% of university related revenue for periods prior to July 1, 2018, as adjusted “Non-GAAP” net revenue, which is the percentage of GCU’s tuition and fee revenue to which the Company is entitled under the long-term master services agreement with GCU (the “Services Agreement”). The percentages set forth below for periods prior to July 1, 2018 have been derived by dividing the indicated expense by adjusted “Non-GAAP” net revenue. University related expenses and the Loss on transaction have been excluded from the table below:</w:t>
      </w:r>
    </w:p>
    <w:p>
      <w:pPr>
        <w:spacing w:after="0" w:line="183"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Nine Months Ended</w:t>
      </w:r>
    </w:p>
    <w:p>
      <w:pPr>
        <w:ind w:left="76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1920"/>
              <w:spacing w:after="0"/>
              <w:rPr>
                <w:sz w:val="20"/>
                <w:szCs w:val="20"/>
                <w:color w:val="auto"/>
              </w:rPr>
            </w:pPr>
            <w:r>
              <w:rPr>
                <w:rFonts w:ascii="Arial" w:cs="Arial" w:eastAsia="Arial" w:hAnsi="Arial"/>
                <w:sz w:val="18"/>
                <w:szCs w:val="18"/>
                <w:b w:val="1"/>
                <w:bCs w:val="1"/>
                <w:color w:val="auto"/>
              </w:rPr>
              <w:t>As Adjusted “Non-GAAP” net revenue</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Service revenue</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565,396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155,454</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University related revenue</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512,499</w:t>
            </w: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revenue</w:t>
            </w:r>
          </w:p>
        </w:tc>
        <w:tc>
          <w:tcPr>
            <w:tcW w:w="9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565,396</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667,953</w:t>
            </w: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60% of university related revenue</w:t>
            </w:r>
          </w:p>
        </w:tc>
        <w:tc>
          <w:tcPr>
            <w:tcW w:w="9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307,499</w:t>
            </w: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Adjusted “Non-GAAP” net revenue</w:t>
            </w:r>
          </w:p>
        </w:tc>
        <w:tc>
          <w:tcPr>
            <w:tcW w:w="96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565,396</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462,953</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1740"/>
              <w:spacing w:after="0"/>
              <w:rPr>
                <w:sz w:val="20"/>
                <w:szCs w:val="20"/>
                <w:color w:val="auto"/>
              </w:rPr>
            </w:pPr>
            <w:r>
              <w:rPr>
                <w:rFonts w:ascii="Arial" w:cs="Arial" w:eastAsia="Arial" w:hAnsi="Arial"/>
                <w:sz w:val="18"/>
                <w:szCs w:val="18"/>
                <w:b w:val="1"/>
                <w:bCs w:val="1"/>
                <w:color w:val="auto"/>
              </w:rPr>
              <w:t>As % of As Adjusted "Non-GAAP" Revenue</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11.6 %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7.0 %</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three months ended September 30, 2019 was $193.3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$37.8 million, or 24.3%, as compared to service revenue of $155.5 million for the three months ended September 30, 2018. The increase year over year in service fee revenue was primarily due to our Orbis Education acquisition on January 22, 2019 and an increase in GCU enrollments between years of 6.2%. Partner enrollments in programs serviced by Orbis Education at September 30, 2019 was 3,975. The Orbis Education university partnership agreements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 We are also seeing an increase in revenue per student from our GCU partnership resulting from the increase in residential students.</w:t>
      </w:r>
    </w:p>
    <w:p>
      <w:pPr>
        <w:spacing w:after="0" w:line="16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were $24.2 million, an increase of $13.1 million, or 118.3%, as compared to technology and academic services expenses of $11.1 million for the three months ended September 30, 2018. This increase was primarily attributable to the Orbis Education university partnership agreements, which require certain technology and academic services including headcount, as well as the use of classroom facilities and equipment to be provided to each university partner. These costs along with the increased cost to service our primary university partner, GCU resulted in increases in employee compensation and related expenses including share-based compensation, in occupancy and depreciation including lease expenses, and in technology and academic supply costs of $10.3 million, $2.1 million, and $0.7 million, respectively. The increase in employee compensation and related expenses is primarily due to the increase in the number of staff needed to support our 21 university partners, and their increased enrollment growth, tenure based salary adjustments and an increase in benefit costs between years. Our technology and academic services expenses as a percentage of net revenue increased 5.4% to 12.5% for the three months ended September 30, 2019, from 7.1% for the</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three months ended September 30, 2018 primarily due to the Orbis Education university partnership agreements requiring a higher level of technology and academic services than our agreement with GCU.</w:t>
      </w:r>
    </w:p>
    <w:p>
      <w:pPr>
        <w:spacing w:after="0" w:line="170"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were $56.3 million, an increase of $5.2 million, or 10.0%, as compared to counseling services and support expenses of $51.1 million for the three months ended September 30, 2018. This increase was primarily attributable to the Orbis Education university partnership agreements, which require certain counseling services and support, principally headcount to be provided to each university partner. These costs along with the increased cost to service our primary university partner, GCU, resulted in increases in employee compensation and related expenses including share-based compensation, in depreciation, amortization and occupancy costs, and in other counseling services and support related expenses of $3.7 million, $0.9 million and $0.6 million, respectively. The increase in employee compensation and related expenses is primarily due to increased headcount to support our university partners, and their increased enrollment growth, tenure-based salary adjustments and an increase in benefit costs between years. The increase in other counseling services is primarily the result of increased travel costs to service our 22 university partners. Our counseling services and support expenses as a percentage of net revenue decreased 3.8% to 29.1% for the three months ended September 30, 2019, from</w:t>
      </w:r>
    </w:p>
    <w:p>
      <w:pPr>
        <w:spacing w:after="0" w:line="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32.9% for the three months ended September 30, 2018 primarily due to the counseling services and support costs to service the Orbis Education university partnership agreements being less as a percentage of revenue than the costs to service the GCU agreement and due to our ability to leverage our counseling services and support costs to service GCU across an increasing revenue base.</w:t>
      </w:r>
    </w:p>
    <w:p>
      <w:pPr>
        <w:spacing w:after="0" w:line="190"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2019 were $37.3 million, an increase of $5.8 million, or 18.4%, as compared to marketing and communication expenses of $31.5 million for the three months ended September 30, 2018. This increase was primarily attributable to the Orbis Education partnership agreements, which require marketing of the university partners’ programs. These costs along with the increased cost to market GCU’s programs resulted in the increased advertising of $5.2 million, employee compensation expenses and related expenses including share-based compensation of $0.8 million, and a reduction in other communication expenses of $0.2 million. Our marketing and communication expenses as a percentage of net revenue decreased by 1.0% to 19.3% for the three months ended September 30, 2019, from 20.3% for the three months ended September 30, 2018 primarily due to our ability to leverage our marketing and communication costs across an increasing revenue base.</w:t>
      </w:r>
    </w:p>
    <w:p>
      <w:pPr>
        <w:spacing w:after="0" w:line="16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for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were $13.6 million, an increase of $3.5 million, or 34.3%, as compared to general and administrative expenses of $10.1 million for the three months ended September 30, 2018. This increase was primarily due to increases in employee compensation and related expenses including share-based compensation, in other general and administrative costs including professional fees, and in occupancy and depreciation of $2.1 million, $0.7 million, and $0.3 million, respectively. In addition, there was an increase in contributions made in lieu of state income taxes to school sponsoring organizations from $3.7 million for the three months ended September 30, 2018 to $4.0 million for the three months ended September 30, 2019. Our increases in employee compensation, occupancy and depreciation, and other general and administrative costs are primarily related to the Acquisition, including additional headcount, and office space in Indianapolis, Indiana. Our general and administrative expenses as a percentage of net revenue increased by 0.5% to 7.0% for the three months ended September 30, 2019, from 6.5% for the three months ended September 30, 2018 due to the Orbis Education employee compensation and office space, partially offset by our ability to leverage our general and administrative expenses across an increasing revenue base.</w:t>
      </w:r>
    </w:p>
    <w:p>
      <w:pPr>
        <w:spacing w:after="0" w:line="18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The amortization of intangible assets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was $2.2 million and is related to the Acquisition of Orbis Education, which resulted in the creation of certain identifiable intangible assets that will be amortized over their expected lives.</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University related expenses</w:t>
      </w:r>
      <w:r>
        <w:rPr>
          <w:rFonts w:ascii="Arial" w:cs="Arial" w:eastAsia="Arial" w:hAnsi="Arial"/>
          <w:sz w:val="17"/>
          <w:szCs w:val="17"/>
          <w:color w:val="auto"/>
        </w:rPr>
        <w:t>. Our university related expenses for the three months ended September 30, 2018 were</w:t>
      </w:r>
      <w:r>
        <w:rPr>
          <w:rFonts w:ascii="Arial" w:cs="Arial" w:eastAsia="Arial" w:hAnsi="Arial"/>
          <w:sz w:val="17"/>
          <w:szCs w:val="17"/>
          <w:i w:val="1"/>
          <w:iCs w:val="1"/>
          <w:color w:val="auto"/>
        </w:rPr>
        <w:t xml:space="preserve"> </w:t>
      </w:r>
      <w:r>
        <w:rPr>
          <w:rFonts w:ascii="Arial" w:cs="Arial" w:eastAsia="Arial" w:hAnsi="Arial"/>
          <w:sz w:val="17"/>
          <w:szCs w:val="17"/>
          <w:color w:val="auto"/>
        </w:rPr>
        <w:t>$6.6 million. The expenses included in the three months ended September 30, 2018 are primarily due to the Company’s Board of Directors modifying the vesting condition for certain restricted stock awards for personnel that would be transferred to GCU, which resulted in $7.9 million of share-based compensation expense, and employer taxes</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of $0.2 million on such modification. This amount was partially offset by reversals of employee related liabilities of $1.5 million for employees that transferred to GCU that were not part of the transferred assets for the Transaction.</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Loss on transaction</w:t>
      </w:r>
      <w:r>
        <w:rPr>
          <w:rFonts w:ascii="Arial" w:cs="Arial" w:eastAsia="Arial" w:hAnsi="Arial"/>
          <w:sz w:val="18"/>
          <w:szCs w:val="18"/>
          <w:color w:val="auto"/>
        </w:rPr>
        <w:t>. The loss on transaction for the three months ended September 30, 2018 was $15.6 million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transaction costs of $3.0 million and an asset impairment of $3.0 million. In addition, the Company transferred to GCU cash of $9.6 million to fund a deferred compensation plan for GCU employees who were formerly GCE employees that held unvested restricted stock of GCE that was forfeited upon the Transaction.</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the Secured Note (as defined below)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was $16.2 million, an increase of $3.0 million, or 22.3%, as compared to $13.2 million for the three months ended September 30, 2018. As a result of the Transaction with GCU on July 1, 2018, the Company recognizes interest income on its Secured Note with GCU, earning interest at 6%, with monthly interest payments. The increase over the prior year is primarily due to an increase in the principal balance of the Secured Note for capital expenditure loans made to GCU.</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was $2.9 million for the three months ended September 30, 2019,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$2.3 million, as compared to interest expense of $0.6 million for the three months ended September 30, 2018. The increase in interest expense is primarily due to the Acquisition of Orbis Education, which resulted in a $190.1 million increase in our outstanding credit facility, a slightly higher interest rate on the credit facility, additional fees on the revolving credit facility, and lower capitalized interest as compared to the same period in the prior year.</w:t>
      </w:r>
    </w:p>
    <w:p>
      <w:pPr>
        <w:spacing w:after="0" w:line="173"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i w:val="1"/>
          <w:iCs w:val="1"/>
          <w:color w:val="auto"/>
        </w:rPr>
        <w:t>Investment interest and other</w:t>
      </w:r>
      <w:r>
        <w:rPr>
          <w:rFonts w:ascii="Arial" w:cs="Arial" w:eastAsia="Arial" w:hAnsi="Arial"/>
          <w:sz w:val="16"/>
          <w:szCs w:val="16"/>
          <w:color w:val="auto"/>
        </w:rPr>
        <w:t>. Investment interest and other for the three months ended September 30, 2019 was</w:t>
      </w:r>
      <w:r>
        <w:rPr>
          <w:rFonts w:ascii="Arial" w:cs="Arial" w:eastAsia="Arial" w:hAnsi="Arial"/>
          <w:sz w:val="16"/>
          <w:szCs w:val="16"/>
          <w:i w:val="1"/>
          <w:iCs w:val="1"/>
          <w:color w:val="auto"/>
        </w:rPr>
        <w:t xml:space="preserve"> </w:t>
      </w:r>
      <w:r>
        <w:rPr>
          <w:rFonts w:ascii="Arial" w:cs="Arial" w:eastAsia="Arial" w:hAnsi="Arial"/>
          <w:sz w:val="16"/>
          <w:szCs w:val="16"/>
          <w:color w:val="auto"/>
        </w:rPr>
        <w:t>$0.3 million, an decrease of $0.1 million, as compared to $0.4 million in the three months ended September 30, 2018.</w:t>
      </w:r>
    </w:p>
    <w:p>
      <w:pPr>
        <w:spacing w:after="0" w:line="1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three months ended September 30, 2019 was $15.2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$6.5 million, or 74.0%, as compared to income tax expense of $8.7 million for the three months ended September 30, 2018. This increase is the result of an increase in our taxable income between periods and a slight increase in our effective tax rate. Our effective tax rate was 20.7% during the third quarter of 2019 compared to 20.5% during the third quarter of 2018. The increase in the effective tax rate resulted from lower excess tax benefits of $0.4 million in the third quarter of 2019 as compared to $1.4 million in the same period in 2018.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 Our contributions made in lieu of state income taxes to school sponsoring organizations increased slightly from $3.7 million for the three months ended September 30, 2018 to $4.0 million for the three months ended September 30, 2019.</w:t>
      </w:r>
    </w:p>
    <w:p>
      <w:pPr>
        <w:spacing w:after="0" w:line="16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September 30, 2019 was $58.2 million, an increase of $24.4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72.3%, as compared to $33.8 million for the three months ended September 30, 2018, due to the factors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Service revenue and University related revenue</w:t>
      </w:r>
      <w:r>
        <w:rPr>
          <w:rFonts w:ascii="Arial" w:cs="Arial" w:eastAsia="Arial" w:hAnsi="Arial"/>
          <w:sz w:val="16"/>
          <w:szCs w:val="16"/>
          <w:color w:val="auto"/>
        </w:rPr>
        <w:t>. Our service revenue for the nine months ended September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was $565.4 million compared to service revenue and university related revenue of $155.5 million and $512.5 million, respectively, for the nine months ended September 30, 2018. Commencing July 1, 2018, the results of our operations no longer include the operations of the University but rather reflect the operations of the Company as a service/technology provider with 22 university partners. As a service provider to GCU, our largest university partner, the Company receives, as service revenue, 60% of GCU’s tuition and fee revenue and no longer has university related revenue, thus resulting in the decrease from the prior period. The sum of service revenue for the three months ended September 30, 2018 of $155.5 million and 60% of university related revenue for the six months ended June 30, 2018 of $307.5 million, totals $463.0 million. The 22.1% increase year over year in comparable service fee revenue was primarily due to our Orbis Education acquisition on January 22, 2019 and an increase in GCU enrollments between years</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of 6.2%. Partner enrollments in programs serviced by Orbis Education at September 30, 2019 was 3,975. The Orbis Education university partnership agreements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 We are also seeing an increase in revenue per student from our GCU partnership resulting from the increase in residential students.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were $65.4 million, an increase of $32.9 million, or 101.3%, as compared to technology and academic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expenses of $32.5 million for the nine months ended September 30, 2018. This increase was primarily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Orbis Education university partnership agreements, which require certain technology and academic services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headcount, as well as the use of classroom facilities and equipment to be provided to each university partner. These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increased cost to service GCU resulted in increases in employee compensation and related expenses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in occupancy and depreciation including lease expenses, and in technology and academic supply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costs of $26.0 million, $4.6 million, and $2.3 million, respectively. The increase in employee compensation and related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expenses is primarily due to the increase in the number of staff needed to support our 22 university partners, and their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increased enrollment growth, tenure based salary adjustments and an increase in benefit costs between years. Our technology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academic services expenses as a percentage of as adjusted non-GAAP net revenue increased 4.6% to 11.6%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2019, from 7.0% for the nine months ended September 30, 2018 primarily due to the Orbis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Education university partnership agreements acquired requiring a higher level of technology and academic services than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with GCU.</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were $163.6 million, an increase of $10.9 million, or 7.2%, as compared to counseling services and support expenses of $152.7 million for the nine months ended September 30, 2018. This increase was primarily attributable to the Orbis Education university partnership agreements, which require certain counseling services and support, principally headcount to be provided to each university partner. These costs along with the increased cost to service GCU resulted in increases in employee compensation and related expenses including share-based compensation, in other counseling services and support related expenses, and in depreciation, amortization and occupancy costs of $8.5 million, $1.8 million and $0.6 million, respectively. The increase in employee compensation and related expenses is primarily due to increased headcount to support our university partners, and their increased enrollment growth, tenure-based salary adjustments and an increase in benefit costs between years. The increase in other counseling services is primarily the result of increased travel costs to service our 22 university partners. Our counseling services and support expenses as a percentage of as adjusted non-GAAP net revenue decreased 4.1% to 28.9% for the nine months ended September 30, 2019, from 33.0% for the nine months ended September 30, 2018 primarily due to the counseling services and support costs to service the Orbis Education partnership agreements being less as a percentage of revenue than the costs to service the GCU agreement and due to our ability to leverage our counseling services and support costs to service GCU across an increasing revenue base.</w:t>
      </w:r>
    </w:p>
    <w:p>
      <w:pPr>
        <w:spacing w:after="0" w:line="16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nine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2019 were $109.0 million, an increase of $18.8 million, or 20.9%, as compared to marketing and communication expenses of $90.2 million for the nine months ended September 30, 2018. This increase was primarily attributable to the Orbis Education partnership agreements, which require marketing of the university partners’ programs. These costs along with the increased cost to market GCU’s programs resulted in increased advertising, and in employee compensation and related expenses including share-based compensation of $16.8 million and $2.0 million, respectively. Our marketing and communication expenses as a percentage of as adjusted non-GAAP net revenue decreased slightly by 0.2% to 19.3% for the nine months ended September 30, 2019, from 19.5% for the nine months ended September 30, 2018 primarily due to our ability to leverage our advertising costs across an increasing revenue base.</w:t>
      </w:r>
    </w:p>
    <w:p>
      <w:pPr>
        <w:spacing w:after="0" w:line="167"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were $34.2 million, an increase of $10.9 million, or 46.8%, as compared to general and administrative expenses of $23.3 million for the nine months ended September 30, 2018. This increase was primarily due to increases in employee compensation including share-based compensation, in professional fees, in other general and administrative costs, and in</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occupancy and depreciation of $5.2 million, $2.7 million, $2.1 million, and $0.9 million, respectively. Our increases in employee compensation, occupancy, depreciation, and other general and administrative costs are primarily related to the Acquisition, including additional headcount, and office space in Indianapolis, Indiana. Our increase in professional fees is primarily related to a payment made to an outside provider that assisted us in obtaining a state tax refund with a favorable tax impact of $5.9 million in the first quarter of 2019 and higher legal fees. Our increase in other general and administrative costs is primarily due to increases in travel costs and increases in contributions made in lieu of state income taxes to school sponsoring organizations from $3.7 million for the nine months ended September 30, 2018 to $4.0 million for the nine months ended in September 30, 2019. Our general and administrative expenses as a percentage of as adjusted non-GAAP net revenue increased by 1.0% to 6.0% for the nine months ended September 30, 2019, from 5.0% for the nine months ended September 30, 2018 due to the increase in professional fees, employee compensation, and office space for Orbis Education, partially offset by our ability to leverage our general and administrative expenses across an increasing revenue base.</w:t>
      </w:r>
    </w:p>
    <w:p>
      <w:pPr>
        <w:spacing w:after="0" w:line="17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The amortization of intangible assets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was $6.0 million and is related to the Acquisition of Orbis Education, which resulted in the creation of certain identifiable intangible assets that will be amortized over their expected lives.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University related expenses</w:t>
      </w:r>
      <w:r>
        <w:rPr>
          <w:rFonts w:ascii="Arial" w:cs="Arial" w:eastAsia="Arial" w:hAnsi="Arial"/>
          <w:sz w:val="18"/>
          <w:szCs w:val="18"/>
          <w:color w:val="auto"/>
        </w:rPr>
        <w:t>. Our university related expenses for the nine months ended September 30, 2018 were</w:t>
      </w:r>
      <w:r>
        <w:rPr>
          <w:rFonts w:ascii="Arial" w:cs="Arial" w:eastAsia="Arial" w:hAnsi="Arial"/>
          <w:sz w:val="18"/>
          <w:szCs w:val="18"/>
          <w:i w:val="1"/>
          <w:iCs w:val="1"/>
          <w:color w:val="auto"/>
        </w:rPr>
        <w:t xml:space="preserve"> </w:t>
      </w:r>
      <w:r>
        <w:rPr>
          <w:rFonts w:ascii="Arial" w:cs="Arial" w:eastAsia="Arial" w:hAnsi="Arial"/>
          <w:sz w:val="18"/>
          <w:szCs w:val="18"/>
          <w:color w:val="auto"/>
        </w:rPr>
        <w:t>$173.7 million. These expenses represent the costs transferred to the university for the six months ended June 30, 2018 and in the three months ended September 30, 2018 are primarily due to the Company’s Board of Directors modifying the vesting condition for certain restricted stock awards for personnel that would be transferred to GCU, which resulted in $7.9 million of share-based compensation expense, and employer taxes of $0.2 million on such modification. This amount was partially offset by reversals of employee related liabilities totaling $1.5 million that were not part of the transferred asset for the Transaction.</w:t>
      </w:r>
    </w:p>
    <w:p>
      <w:pPr>
        <w:spacing w:after="0" w:line="18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Loss on transaction</w:t>
      </w:r>
      <w:r>
        <w:rPr>
          <w:rFonts w:ascii="Arial" w:cs="Arial" w:eastAsia="Arial" w:hAnsi="Arial"/>
          <w:sz w:val="16"/>
          <w:szCs w:val="16"/>
          <w:color w:val="auto"/>
        </w:rPr>
        <w:t>. The loss on transaction for the nine months ended September 30, 2019 was $4.0 million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costs related to the Acquisition of Orbis Education. Our loss on transaction expenses for the nine months ended September 30, 2018 was $17.6 million due to transactions costs of $5.0 million and an asset impairment of $3.0 million. In addition, the Company transferred to GCU cash of $9.6 million to fund a deferred compensation plan for GCU employees who were formerly GCE employees and that held unvested restricted stock of GCE that was forfeited upon the Transaction.</w:t>
      </w:r>
    </w:p>
    <w:p>
      <w:pPr>
        <w:spacing w:after="0" w:line="15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Interest income on Secured Note</w:t>
      </w:r>
      <w:r>
        <w:rPr>
          <w:rFonts w:ascii="Arial" w:cs="Arial" w:eastAsia="Arial" w:hAnsi="Arial"/>
          <w:sz w:val="17"/>
          <w:szCs w:val="17"/>
          <w:color w:val="auto"/>
        </w:rPr>
        <w:t>. Interest income on the Secured Note (as defined below)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2019 was $44.4 million, an increase of $31.2 million, as compared to interest income on Secured Note of $13.2 million for the nine months ended September 30, 2018. This increased as a result of the Transaction with GCU that commenced on July 1, 2018, the Company recognizes interest income on its Secured Note with GCU including borrowings made for capital expenditures, earning interest at 6%, with monthly interest payments.</w:t>
      </w:r>
    </w:p>
    <w:p>
      <w:pPr>
        <w:spacing w:after="0" w:line="17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was $8.4 million for the nine months ended September 30, 2019,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$7.4 million, as compared to interest expense of $1.0 million for the nine months ended September 30, 2018. The increase in interest expense is primarily due to the Acquisition of Orbis Education, which resulted in a $190.1 million increase in our outstanding credit facility, a slightly higher interest rate on the credit facility, additional fees on the revolving credit facility, and lower capitalized interest as compared to the same period in the prior year.</w:t>
      </w:r>
    </w:p>
    <w:p>
      <w:pPr>
        <w:spacing w:after="0" w:line="173"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Investment interest and other</w:t>
      </w:r>
      <w:r>
        <w:rPr>
          <w:rFonts w:ascii="Arial" w:cs="Arial" w:eastAsia="Arial" w:hAnsi="Arial"/>
          <w:sz w:val="16"/>
          <w:szCs w:val="16"/>
          <w:color w:val="auto"/>
        </w:rPr>
        <w:t>. Investment interest and other for the nine months ended September 30, 2019 was $4.0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 increase of $1.1 million, as compared to $2.9 million in the nine months ended September 30, 2018.</w:t>
      </w:r>
    </w:p>
    <w:p>
      <w:pPr>
        <w:spacing w:after="0" w:line="12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nine months ended September 30, 2019 was $40.8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$1.1 million, or 2.6%, as compared to income tax expense of $39.7 million for the nine months ended September 30, 2018. This increase is the result of an increase in our taxable income between periods, offset by a decrease in our effective tax rate. Our effective tax rate was 18.3% during the nine months ended September 30, 2019 compared to 20.6% during the nine months ended September 30, 2018. The decrease in the effective tax rate resulted from an agreement with the Arizona Department of Revenue regarding previously filed refund claims related to income tax obligations for prior calendar years, which resulted in a favorable tax impact of $5.9 million recorded as a discrete</w:t>
      </w:r>
    </w:p>
    <w:p>
      <w:pPr>
        <w:sectPr>
          <w:pgSz w:w="11900" w:h="16838" w:orient="portrait"/>
          <w:cols w:equalWidth="0" w:num="1">
            <w:col w:w="9040"/>
          </w:cols>
          <w:pgMar w:left="1420" w:top="517" w:right="14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tax item in the first quarter of 2019. In addition, the effective tax rate was favorably impacted by a law change with respect to Arizona state taxes, partially offset by a slight decrease in excess tax benefits to $7.2 million from $7.9 million in the nine months ended September 30, 2019 and 2018, respectively.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6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nine months ended September 30, 2019 was $182.5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$29.0 million, or 18.9% as compared to $153.5 million for the nine months ended September 30, 2018, due to the factors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During 2019, we financed our Acquisition of Orbis Education for $361.2 million, net of cash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 increase in our credit facility of $190.1 million and the use of $171.1 million of operating cash on hand. Our unrestricted cash and cash equivalents and investments were $133.9 million at September 30, 2019. As of September 30, 2019, we had $300,000 of restricted cash and cash equivalents, for pledged collateral for a site lease.</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Concurrent with the closing of the Acquisition, we entered into an amended and restated credit agreement dated January 22, 2019 and two related amendments dated January 31, 2019 and February 1, 2019, respectively, that together provided a credit facility of $325.0 million comprised of a term loan facility of $243.8 million and a revolving credit facility of $81.3 million, both with a five-year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30-Day LIBOR plus an applicable margin of 2%. The proceeds of the term loan, together with $6.3 million drawn under the revolver and cash on hand, were used to pay the purchase price in the Acquisition. Concurrent with the entry into the amended and restated credit agreement and the completion of the Acquisition, we repaid our existing term loan of $59.9 million and our cash collateral of $61.7 million was released.</w:t>
      </w:r>
    </w:p>
    <w:p>
      <w:pPr>
        <w:spacing w:after="0" w:line="17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Company entered into a further amendment to the credit facility on October 31, 2019. This amendment increased the revolving commitment by $68.8 million to $150.0 million, while reducing the term loan by the same $68.8 million to $150.6 million. Our consolidated balance sheet at September 30, 2019 was adjusted to reflect the amounts owed per the terms of the credit facility. The Company elected to repay the $68.8 million revolver balance 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November 1, 2019. Additionally, the Company elected to repay the outstanding revolver as of September 30, 2019 of $26,250 in October of 2019.</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July 1, 2018, in consideration for the transfer of assets under the Asset Purchase Agreement, we received a secured note from GCU in the initial principal amount of $870.1 million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will loan additional amounts to GCU to fund approved capital expenditures during the first three years of the term. Funding for capital expenditures for GCU since July 1, 2018 totals $139.8 million as of September 30, 2019. GCU repaid $60.0 million during the third quarter of 2019 and another $40.0 million in October, further reducing total capital expenditure borrowings to GCU to $99.8 million as of October 31, 2019.</w:t>
      </w:r>
    </w:p>
    <w:p>
      <w:pPr>
        <w:spacing w:after="0" w:line="167"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Board of Directors has authorized the Company to repurchase up to an aggregate of $175.0 million of our common stock, from time to time, depending on market conditions and other considerations. The current expiration date on the repurchase authorization by our Board of Directors is December 31, 2020. Repurchases occur at the Company’s discretion.</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three months ended September 30, 2019, 64,335 shares of common stock were repurchased by the Company. At September 30, 2019, there remains $70.8 million available under our share repurchase authorization. Subsequent to September 30, 2019, the Company repurchased 77,622 shares of common stock at an aggregate cost of $7.7 million.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nine months ended September 30,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$195.1 million as compared to $96.5 million for the nine months ended September 30, 2018. The increase in cash generated from operating activities between the nine months ended September 30, 2018 and the nine months ended September 30, 2019 is primarily due to the increase in net income and changes in other working capital such as receivables from our university partners, accounts payable and accrued liabilities as a result of the change from being the owner-operator of GCU to being a service provider to 22 university partners. As a service provider, we generally receive our service fees from our university partners in arrears.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$431.1 million and $215.7 million for the nine months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2019 and 2018, respectively. Our cash used in investing activities was primarily related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Acquisition, the funding of capital expenditures to GCU, and the liquidation of short-term investments and capital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expenditures. We paid $361.2 million, net of cash acquired, to acquire Orbis Education on January 22, 2019. Funding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GCU for capital expenditures during the first nine months of 2019 totaled $109.8 million, net of repayments made by GCU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$60.0 million in the third quarter of 2019. Proceeds from investments, net of purchases of short-term investments,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$55.3 million and $19.1 million for the nine months ended September 30, 2019 and 2018, respectively. Capital expenditures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$15.2 million and $90.5 million for the nine months ended September 30, 2019 and 2018,</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respectively. During the nine-month period for 2019, capital expenditures primarily consisted of leasehold improvements and equipment for new partner locations, internally developed software, as well as purchases of computer equipment, other internal use software projects and furniture and equipment to support our increasing employee headcount. During the nine-month period for 2018, capital expenditures primarily consisted of the University’s ground campus construction projects as well as purchases of computer equipment, other internal use software projects and furniture and equipment to support our increasing employee headcount.</w:t>
      </w:r>
    </w:p>
    <w:p>
      <w:pPr>
        <w:spacing w:after="0" w:line="19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provided by financing activities was $174.0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Net cash used in financing activities was $22.3 million for the nine months ended September 30, 2018. During the nine-month period for 2019, $270.0 million of proceeds was drawn on the credit facility, and the term loan balance of the prior credit agreement of $59.9 million was repaid along with $12.1 million of principal payments on the new credit facility. In addition, $2.4 million of debt issuance costs were incurred on the new credit facility and $8.1 million was used to purchase common shares withheld in lieu of income taxes resulting from the vesting of restricted share awards and $17.3 million was used to purchase treasury stock in accordance with the Company’s share repurchase program. Proceeds from the exercise of stock options of $3.7 million were received in the nine months ended September 30, 2019. During the nine-month period for 2018, $15.2 million was used to purchase common shares withheld in lieu of income taxes resulting the vesting of restricted share awards and $4.1 million was used to purchase treasury stock in accordance with the Company’s share repurchase program. Principal payments on notes payable and capital leases totaled $5.1 million, partially offset by proceeds from the exercise of stock options of $2.1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following table sets forth, as of September 30, 2019, the aggregate amounts of GCE’s significant contractual obligations and commitments with definitive payment terms due in each of the periods presented (in millions). Less than one year amounts represent payments due from October 1, 2019 through December 31,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2-3 Years</w:t>
            </w:r>
          </w:p>
        </w:tc>
        <w:tc>
          <w:tcPr>
            <w:tcW w:w="18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2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Lease liabilities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5"/>
                <w:szCs w:val="25"/>
                <w:color w:val="auto"/>
                <w:vertAlign w:val="superscript"/>
              </w:rPr>
              <w:t>(1)</w:t>
            </w:r>
          </w:p>
        </w:tc>
        <w:tc>
          <w:tcPr>
            <w:tcW w:w="2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320" w:hanging="331"/>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for GCE that were in effect at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2019 or 2018. There can be no assurance that future inflation will not have an adverse impact on our operating results and financial condition.</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30-Day LIBOR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exposure from the variable rate debt, which debt matures in December of 2019. The corridor instrument, which hedges variable interest rate risk starting March 1, 2013 through December 20, 2019 with a notional amount of $55.0 million as of September 30, 2019, permits us to hedge our interest rate risk at several thresholds. Under this arrangement, in addition to the credit spread we will pay variable interest rates based on the 30-Day LIBOR rates monthly until that</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index reaches 1.5%. If 30-Day LIBOR is equal to 1.5% through 3.0%, we will continue to pay 1.5%. If 30-Day LIBOR exceeds 3.0%, we will pay actual 30-Day LIBOR less 1.5%.</w:t>
      </w:r>
    </w:p>
    <w:p>
      <w:pPr>
        <w:spacing w:after="0" w:line="17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through the instruments noted above and by investing excess funds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equivalents, such as municipal mutual funds tied to various market indices, commercial paper rated at A1 or higher, certificates of deposit, and municipal bonds with a BBB rating or higher bearing variable interest rates, or individual bond coupon rates. Our future interest income may fall short of expectations due to changes in interest rates or we may suffer losses in principal if we are forced to sell securities that have declined in market value due to changes in interest rates. At September 30, 2019, a 10% increase or decrease in interest rates would not have a material impact on our future earnings, fair values, or cash flows. For information regarding our variable rate debt, see “Market risk”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September 30, 2019,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Board of Directors has authorized the Company to repurchase up to an aggregate of $175.0 million of common stock, from time to time, depending on market conditions and other considerations. The current expiration date on the repurchase authorization is December 31, 2020.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September 30, 2019, we repurchased 64,335 shares of common stock. At September 30, 2019, there remains $70.8 million available under our share repurchase authorization.</w:t>
      </w:r>
    </w:p>
    <w:p>
      <w:pPr>
        <w:spacing w:after="0" w:line="16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third quarter of fiscal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4400" w:type="dxa"/>
            <w:vAlign w:val="bottom"/>
            <w:gridSpan w:val="3"/>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July 1, 2019 – July 31, 2019</w:t>
            </w: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116.25</w:t>
            </w:r>
          </w:p>
        </w:tc>
        <w:tc>
          <w:tcPr>
            <w:tcW w:w="140" w:type="dxa"/>
            <w:vAlign w:val="bottom"/>
          </w:tcPr>
          <w:p>
            <w:pPr>
              <w:spacing w:after="0"/>
              <w:rPr>
                <w:sz w:val="18"/>
                <w:szCs w:val="18"/>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76,600,000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2019 – August 31,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September 1, 2019 – September 30, 2019</w:t>
            </w:r>
          </w:p>
        </w:tc>
        <w:tc>
          <w:tcPr>
            <w:tcW w:w="1120" w:type="dxa"/>
            <w:vAlign w:val="bottom"/>
          </w:tcPr>
          <w:p>
            <w:pPr>
              <w:jc w:val="right"/>
              <w:spacing w:after="0"/>
              <w:rPr>
                <w:sz w:val="20"/>
                <w:szCs w:val="20"/>
                <w:color w:val="auto"/>
              </w:rPr>
            </w:pPr>
            <w:r>
              <w:rPr>
                <w:rFonts w:ascii="Arial" w:cs="Arial" w:eastAsia="Arial" w:hAnsi="Arial"/>
                <w:sz w:val="18"/>
                <w:szCs w:val="18"/>
                <w:color w:val="auto"/>
              </w:rPr>
              <w:t>54,335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106.56</w:t>
            </w:r>
          </w:p>
        </w:tc>
        <w:tc>
          <w:tcPr>
            <w:tcW w:w="140" w:type="dxa"/>
            <w:vAlign w:val="bottom"/>
          </w:tcPr>
          <w:p>
            <w:pPr>
              <w:spacing w:after="0"/>
              <w:rPr>
                <w:sz w:val="18"/>
                <w:szCs w:val="18"/>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70,800,000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108.07</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Tax Withholdings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 – July 31,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August 1, 2019 – August 31, 2019</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2019 – September 30,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60"/>
          </w:cols>
          <w:pgMar w:left="1420" w:top="517" w:right="141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200" w:lineRule="exact"/>
        <w:rPr>
          <w:sz w:val="20"/>
          <w:szCs w:val="20"/>
          <w:color w:val="auto"/>
        </w:rPr>
      </w:pPr>
    </w:p>
    <w:p>
      <w:pPr>
        <w:sectPr>
          <w:pgSz w:w="11900" w:h="16838" w:orient="portrait"/>
          <w:cols w:equalWidth="0" w:num="2">
            <w:col w:w="540" w:space="140"/>
            <w:col w:w="8380"/>
          </w:cols>
          <w:pgMar w:left="1420" w:top="517" w:right="141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9060"/>
          </w:cols>
          <w:pgMar w:left="1420" w:top="51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Exhibits</w:t>
      </w:r>
    </w:p>
    <w:p>
      <w:pPr>
        <w:spacing w:after="0" w:line="122" w:lineRule="exact"/>
        <w:rPr>
          <w:sz w:val="20"/>
          <w:szCs w:val="20"/>
          <w:color w:val="auto"/>
        </w:rPr>
      </w:pPr>
    </w:p>
    <w:p>
      <w:pPr>
        <w:ind w:left="20"/>
        <w:spacing w:after="0"/>
        <w:tabs>
          <w:tab w:leader="none" w:pos="840" w:val="left"/>
          <w:tab w:leader="none" w:pos="55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6350</wp:posOffset>
            </wp:positionV>
            <wp:extent cx="22040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60" w:type="dxa"/>
            <w:vAlign w:val="bottom"/>
            <w:tcBorders>
              <w:top w:val="single" w:sz="8" w:color="auto"/>
            </w:tcBorders>
          </w:tcPr>
          <w:p>
            <w:pPr>
              <w:jc w:val="right"/>
              <w:ind w:right="350"/>
              <w:spacing w:after="0" w:line="170" w:lineRule="exact"/>
              <w:rPr>
                <w:sz w:val="20"/>
                <w:szCs w:val="20"/>
                <w:color w:val="auto"/>
              </w:rPr>
            </w:pPr>
            <w:r>
              <w:rPr>
                <w:rFonts w:ascii="Arial" w:cs="Arial" w:eastAsia="Arial" w:hAnsi="Arial"/>
                <w:sz w:val="18"/>
                <w:szCs w:val="18"/>
                <w:color w:val="auto"/>
                <w:w w:val="79"/>
              </w:rPr>
              <w:t>3.1</w:t>
            </w:r>
          </w:p>
        </w:tc>
        <w:tc>
          <w:tcPr>
            <w:tcW w:w="180" w:type="dxa"/>
            <w:vAlign w:val="bottom"/>
          </w:tcPr>
          <w:p>
            <w:pPr>
              <w:spacing w:after="0"/>
              <w:rPr>
                <w:sz w:val="14"/>
                <w:szCs w:val="14"/>
                <w:color w:val="auto"/>
              </w:rPr>
            </w:pPr>
          </w:p>
        </w:tc>
        <w:tc>
          <w:tcPr>
            <w:tcW w:w="4560" w:type="dxa"/>
            <w:vAlign w:val="bottom"/>
            <w:tcBorders>
              <w:top w:val="single" w:sz="8" w:color="auto"/>
            </w:tcBorders>
            <w:gridSpan w:val="3"/>
          </w:tcPr>
          <w:p>
            <w:pPr>
              <w:spacing w:after="0" w:line="170" w:lineRule="exact"/>
              <w:rPr>
                <w:rFonts w:ascii="Arial" w:cs="Arial" w:eastAsia="Arial" w:hAnsi="Arial"/>
                <w:sz w:val="18"/>
                <w:szCs w:val="18"/>
                <w:color w:val="0000EE"/>
              </w:rPr>
            </w:pPr>
            <w:hyperlink r:id="rId57">
              <w:r>
                <w:rPr>
                  <w:rFonts w:ascii="Arial" w:cs="Arial" w:eastAsia="Arial" w:hAnsi="Arial"/>
                  <w:sz w:val="18"/>
                  <w:szCs w:val="18"/>
                  <w:color w:val="0000EE"/>
                </w:rPr>
                <w:t>Amended and Restated Certificate of Incorporation (as</w:t>
              </w:r>
            </w:hyperlink>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amended).</w:t>
              </w:r>
            </w:hyperlink>
          </w:p>
        </w:tc>
        <w:tc>
          <w:tcPr>
            <w:tcW w:w="6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ind w:right="79"/>
        <w:spacing w:after="0" w:line="286" w:lineRule="auto"/>
        <w:rPr>
          <w:sz w:val="20"/>
          <w:szCs w:val="20"/>
          <w:color w:val="auto"/>
        </w:rPr>
      </w:pPr>
      <w:r>
        <w:rPr>
          <w:rFonts w:ascii="Arial" w:cs="Arial" w:eastAsia="Arial" w:hAnsi="Arial"/>
          <w:sz w:val="17"/>
          <w:szCs w:val="17"/>
          <w:color w:val="auto"/>
        </w:rPr>
        <w:t>Incorporated by reference to Exhibit 3.1 to the Company’s Annual Report on Form 10-K filed with the SEC on February 20, 2019.</w:t>
      </w:r>
    </w:p>
    <w:p>
      <w:pPr>
        <w:spacing w:after="0" w:line="80" w:lineRule="exact"/>
        <w:rPr>
          <w:sz w:val="20"/>
          <w:szCs w:val="20"/>
          <w:color w:val="auto"/>
        </w:rPr>
      </w:pPr>
    </w:p>
    <w:p>
      <w:pPr>
        <w:sectPr>
          <w:pgSz w:w="11900" w:h="16838" w:orient="portrait"/>
          <w:cols w:equalWidth="0" w:num="2">
            <w:col w:w="5420" w:space="160"/>
            <w:col w:w="3459"/>
          </w:cols>
          <w:pgMar w:left="1420" w:top="517" w:right="1440"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4620" w:type="dxa"/>
            <w:vAlign w:val="bottom"/>
            <w:gridSpan w:val="14"/>
          </w:tcPr>
          <w:p>
            <w:pPr>
              <w:spacing w:after="0"/>
              <w:rPr>
                <w:rFonts w:ascii="Arial" w:cs="Arial" w:eastAsia="Arial" w:hAnsi="Arial"/>
                <w:sz w:val="18"/>
                <w:szCs w:val="18"/>
                <w:color w:val="0000EE"/>
              </w:rPr>
            </w:pPr>
            <w:hyperlink r:id="rId58">
              <w:r>
                <w:rPr>
                  <w:rFonts w:ascii="Arial" w:cs="Arial" w:eastAsia="Arial" w:hAnsi="Arial"/>
                  <w:sz w:val="18"/>
                  <w:szCs w:val="18"/>
                  <w:color w:val="0000EE"/>
                </w:rPr>
                <w:t>Third Amended and Restated Bylaws.</w:t>
              </w:r>
            </w:hyperlink>
          </w:p>
        </w:tc>
        <w:tc>
          <w:tcPr>
            <w:tcW w:w="3440" w:type="dxa"/>
            <w:vAlign w:val="bottom"/>
          </w:tcPr>
          <w:p>
            <w:pPr>
              <w:ind w:left="100"/>
              <w:spacing w:after="0"/>
              <w:rPr>
                <w:sz w:val="20"/>
                <w:szCs w:val="20"/>
                <w:color w:val="auto"/>
              </w:rPr>
            </w:pPr>
            <w:r>
              <w:rPr>
                <w:rFonts w:ascii="Arial" w:cs="Arial" w:eastAsia="Arial" w:hAnsi="Arial"/>
                <w:sz w:val="18"/>
                <w:szCs w:val="18"/>
                <w:color w:val="auto"/>
                <w:w w:val="90"/>
              </w:rPr>
              <w:t>Incorporated by reference to Exhibit 3.1 to the</w:t>
            </w:r>
          </w:p>
        </w:tc>
      </w:tr>
      <w:tr>
        <w:trPr>
          <w:trHeight w:val="222"/>
        </w:trPr>
        <w:tc>
          <w:tcPr>
            <w:tcW w:w="840" w:type="dxa"/>
            <w:vAlign w:val="bottom"/>
          </w:tcPr>
          <w:p>
            <w:pPr>
              <w:spacing w:after="0"/>
              <w:rPr>
                <w:sz w:val="19"/>
                <w:szCs w:val="19"/>
                <w:color w:val="auto"/>
              </w:rPr>
            </w:pPr>
          </w:p>
        </w:tc>
        <w:tc>
          <w:tcPr>
            <w:tcW w:w="22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w w:val="92"/>
              </w:rPr>
              <w:t>Company’s Current Report on Form 8-K filed</w:t>
            </w:r>
          </w:p>
        </w:tc>
      </w:tr>
      <w:tr>
        <w:trPr>
          <w:trHeight w:val="230"/>
        </w:trPr>
        <w:tc>
          <w:tcPr>
            <w:tcW w:w="8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with the SEC on October 29, 2014.</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4620" w:type="dxa"/>
            <w:vAlign w:val="bottom"/>
            <w:gridSpan w:val="14"/>
          </w:tcPr>
          <w:p>
            <w:pPr>
              <w:spacing w:after="0"/>
              <w:rPr>
                <w:rFonts w:ascii="Arial" w:cs="Arial" w:eastAsia="Arial" w:hAnsi="Arial"/>
                <w:sz w:val="18"/>
                <w:szCs w:val="18"/>
                <w:color w:val="0000EE"/>
              </w:rPr>
            </w:pPr>
            <w:hyperlink r:id="rId59">
              <w:r>
                <w:rPr>
                  <w:rFonts w:ascii="Arial" w:cs="Arial" w:eastAsia="Arial" w:hAnsi="Arial"/>
                  <w:sz w:val="18"/>
                  <w:szCs w:val="18"/>
                  <w:color w:val="0000EE"/>
                </w:rPr>
                <w:t>Specimen of Stock Certificate.</w:t>
              </w:r>
            </w:hyperlink>
          </w:p>
        </w:tc>
        <w:tc>
          <w:tcPr>
            <w:tcW w:w="3440" w:type="dxa"/>
            <w:vAlign w:val="bottom"/>
          </w:tcPr>
          <w:p>
            <w:pPr>
              <w:ind w:left="100"/>
              <w:spacing w:after="0"/>
              <w:rPr>
                <w:sz w:val="20"/>
                <w:szCs w:val="20"/>
                <w:color w:val="auto"/>
              </w:rPr>
            </w:pPr>
            <w:r>
              <w:rPr>
                <w:rFonts w:ascii="Arial" w:cs="Arial" w:eastAsia="Arial" w:hAnsi="Arial"/>
                <w:sz w:val="18"/>
                <w:szCs w:val="18"/>
                <w:color w:val="auto"/>
                <w:w w:val="99"/>
              </w:rPr>
              <w:t>Incorporated by reference to Exhibit 4.1 to</w:t>
            </w:r>
          </w:p>
        </w:tc>
      </w:tr>
      <w:tr>
        <w:trPr>
          <w:trHeight w:val="222"/>
        </w:trPr>
        <w:tc>
          <w:tcPr>
            <w:tcW w:w="840" w:type="dxa"/>
            <w:vAlign w:val="bottom"/>
          </w:tcPr>
          <w:p>
            <w:pPr>
              <w:spacing w:after="0"/>
              <w:rPr>
                <w:sz w:val="19"/>
                <w:szCs w:val="19"/>
                <w:color w:val="auto"/>
              </w:rPr>
            </w:pPr>
          </w:p>
        </w:tc>
        <w:tc>
          <w:tcPr>
            <w:tcW w:w="220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Amendment No. 2 to the Company’s</w:t>
            </w:r>
          </w:p>
        </w:tc>
      </w:tr>
      <w:tr>
        <w:trPr>
          <w:trHeight w:val="216"/>
        </w:trPr>
        <w:tc>
          <w:tcPr>
            <w:tcW w:w="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w w:val="91"/>
              </w:rPr>
              <w:t>Registration Statement on Form S-1 filed with</w:t>
            </w:r>
          </w:p>
        </w:tc>
      </w:tr>
      <w:tr>
        <w:trPr>
          <w:trHeight w:val="230"/>
        </w:trPr>
        <w:tc>
          <w:tcPr>
            <w:tcW w:w="8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the SEC on September 29, 2008.</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10.18</w:t>
            </w:r>
          </w:p>
        </w:tc>
        <w:tc>
          <w:tcPr>
            <w:tcW w:w="44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Second Amendment, dated October 31, 2019 to Amended and</w:t>
            </w:r>
          </w:p>
        </w:tc>
        <w:tc>
          <w:tcPr>
            <w:tcW w:w="140" w:type="dxa"/>
            <w:vAlign w:val="bottom"/>
            <w:gridSpan w:val="3"/>
          </w:tcPr>
          <w:p>
            <w:pPr>
              <w:spacing w:after="0"/>
              <w:rPr>
                <w:sz w:val="24"/>
                <w:szCs w:val="24"/>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196"/>
        </w:trPr>
        <w:tc>
          <w:tcPr>
            <w:tcW w:w="840" w:type="dxa"/>
            <w:vAlign w:val="bottom"/>
          </w:tcPr>
          <w:p>
            <w:pPr>
              <w:spacing w:after="0"/>
              <w:rPr>
                <w:sz w:val="17"/>
                <w:szCs w:val="17"/>
                <w:color w:val="auto"/>
              </w:rPr>
            </w:pPr>
          </w:p>
        </w:tc>
        <w:tc>
          <w:tcPr>
            <w:tcW w:w="4620" w:type="dxa"/>
            <w:vAlign w:val="bottom"/>
            <w:gridSpan w:val="14"/>
          </w:tcPr>
          <w:p>
            <w:pPr>
              <w:spacing w:after="0" w:line="196" w:lineRule="exact"/>
              <w:rPr>
                <w:sz w:val="20"/>
                <w:szCs w:val="20"/>
                <w:color w:val="auto"/>
              </w:rPr>
            </w:pPr>
            <w:r>
              <w:rPr>
                <w:rFonts w:ascii="Arial" w:cs="Arial" w:eastAsia="Arial" w:hAnsi="Arial"/>
                <w:sz w:val="18"/>
                <w:szCs w:val="18"/>
                <w:color w:val="0000EE"/>
                <w:w w:val="96"/>
              </w:rPr>
              <w:t>Restated Credit Agreement, dated January 22, 2019 by and</w:t>
            </w:r>
          </w:p>
        </w:tc>
        <w:tc>
          <w:tcPr>
            <w:tcW w:w="34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5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among Grand Canyon Education, Inc., Bank of America, N.A.,</w:t>
            </w:r>
          </w:p>
        </w:tc>
        <w:tc>
          <w:tcPr>
            <w:tcW w:w="6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and the other parties named therein.</w:t>
            </w:r>
          </w:p>
        </w:tc>
        <w:tc>
          <w:tcPr>
            <w:tcW w:w="2040" w:type="dxa"/>
            <w:vAlign w:val="bottom"/>
            <w:gridSpan w:val="11"/>
          </w:tcPr>
          <w:p>
            <w:pPr>
              <w:spacing w:after="0"/>
              <w:rPr>
                <w:sz w:val="17"/>
                <w:szCs w:val="17"/>
                <w:color w:val="auto"/>
              </w:rPr>
            </w:pPr>
          </w:p>
        </w:tc>
        <w:tc>
          <w:tcPr>
            <w:tcW w:w="3440" w:type="dxa"/>
            <w:vAlign w:val="bottom"/>
          </w:tcPr>
          <w:p>
            <w:pPr>
              <w:spacing w:after="0"/>
              <w:rPr>
                <w:sz w:val="17"/>
                <w:szCs w:val="17"/>
                <w:color w:val="auto"/>
              </w:rPr>
            </w:pPr>
          </w:p>
        </w:tc>
      </w:tr>
      <w:tr>
        <w:trPr>
          <w:trHeight w:val="345"/>
        </w:trPr>
        <w:tc>
          <w:tcPr>
            <w:tcW w:w="840" w:type="dxa"/>
            <w:vAlign w:val="bottom"/>
          </w:tcPr>
          <w:p>
            <w:pPr>
              <w:spacing w:after="0"/>
              <w:rPr>
                <w:sz w:val="24"/>
                <w:szCs w:val="24"/>
                <w:color w:val="auto"/>
              </w:rPr>
            </w:pPr>
          </w:p>
        </w:tc>
        <w:tc>
          <w:tcPr>
            <w:tcW w:w="4620" w:type="dxa"/>
            <w:vAlign w:val="bottom"/>
            <w:gridSpan w:val="14"/>
          </w:tcPr>
          <w:p>
            <w:pPr>
              <w:spacing w:after="0"/>
              <w:rPr>
                <w:sz w:val="20"/>
                <w:szCs w:val="20"/>
                <w:color w:val="auto"/>
              </w:rPr>
            </w:pPr>
            <w:r>
              <w:rPr>
                <w:rFonts w:ascii="Arial" w:cs="Arial" w:eastAsia="Arial" w:hAnsi="Arial"/>
                <w:sz w:val="18"/>
                <w:szCs w:val="18"/>
                <w:color w:val="0000EE"/>
              </w:rPr>
              <w:t>Certification of Principal Executive Officer pursuant to</w:t>
            </w:r>
          </w:p>
        </w:tc>
        <w:tc>
          <w:tcPr>
            <w:tcW w:w="3440" w:type="dxa"/>
            <w:vAlign w:val="bottom"/>
          </w:tcPr>
          <w:p>
            <w:pPr>
              <w:spacing w:after="0"/>
              <w:rPr>
                <w:sz w:val="24"/>
                <w:szCs w:val="24"/>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39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Rules 13a-14(a) and 15d-14(a), as adopted pursuant to</w:t>
            </w:r>
          </w:p>
        </w:tc>
        <w:tc>
          <w:tcPr>
            <w:tcW w:w="40" w:type="dxa"/>
            <w:vAlign w:val="bottom"/>
            <w:tcBorders>
              <w:top w:val="single" w:sz="8" w:color="0000EE"/>
            </w:tcBorders>
            <w:gridSpan w:val="2"/>
          </w:tcPr>
          <w:p>
            <w:pPr>
              <w:spacing w:after="0"/>
              <w:rPr>
                <w:sz w:val="17"/>
                <w:szCs w:val="17"/>
                <w:color w:val="auto"/>
              </w:rPr>
            </w:pPr>
          </w:p>
        </w:tc>
        <w:tc>
          <w:tcPr>
            <w:tcW w:w="660" w:type="dxa"/>
            <w:vAlign w:val="bottom"/>
            <w:gridSpan w:val="6"/>
          </w:tcPr>
          <w:p>
            <w:pPr>
              <w:spacing w:after="0"/>
              <w:rPr>
                <w:sz w:val="17"/>
                <w:szCs w:val="17"/>
                <w:color w:val="auto"/>
              </w:rPr>
            </w:pPr>
          </w:p>
        </w:tc>
        <w:tc>
          <w:tcPr>
            <w:tcW w:w="3440" w:type="dxa"/>
            <w:vAlign w:val="bottom"/>
          </w:tcPr>
          <w:p>
            <w:pPr>
              <w:ind w:left="10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84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Section 302 of the Sarbanes-Oxley Act of 2002.</w:t>
            </w:r>
          </w:p>
        </w:tc>
        <w:tc>
          <w:tcPr>
            <w:tcW w:w="1160" w:type="dxa"/>
            <w:vAlign w:val="bottom"/>
            <w:gridSpan w:val="9"/>
          </w:tcPr>
          <w:p>
            <w:pPr>
              <w:spacing w:after="0"/>
              <w:rPr>
                <w:sz w:val="17"/>
                <w:szCs w:val="17"/>
                <w:color w:val="auto"/>
              </w:rPr>
            </w:pPr>
          </w:p>
        </w:tc>
        <w:tc>
          <w:tcPr>
            <w:tcW w:w="3440" w:type="dxa"/>
            <w:vAlign w:val="bottom"/>
          </w:tcPr>
          <w:p>
            <w:pPr>
              <w:spacing w:after="0"/>
              <w:rPr>
                <w:sz w:val="17"/>
                <w:szCs w:val="17"/>
                <w:color w:val="auto"/>
              </w:rPr>
            </w:pPr>
          </w:p>
        </w:tc>
      </w:tr>
      <w:tr>
        <w:trPr>
          <w:trHeight w:val="345"/>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39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3"/>
              </w:rPr>
              <w:t>Certification of Principal Financial Officer pursuant to</w:t>
            </w:r>
          </w:p>
        </w:tc>
        <w:tc>
          <w:tcPr>
            <w:tcW w:w="680" w:type="dxa"/>
            <w:vAlign w:val="bottom"/>
            <w:gridSpan w:val="7"/>
          </w:tcPr>
          <w:p>
            <w:pPr>
              <w:spacing w:after="0"/>
              <w:rPr>
                <w:sz w:val="24"/>
                <w:szCs w:val="24"/>
                <w:color w:val="auto"/>
              </w:rPr>
            </w:pPr>
          </w:p>
        </w:tc>
        <w:tc>
          <w:tcPr>
            <w:tcW w:w="344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39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Rules 13a-14(a) and 15d-14(a), as adopted pursuant to</w:t>
            </w:r>
          </w:p>
        </w:tc>
        <w:tc>
          <w:tcPr>
            <w:tcW w:w="700" w:type="dxa"/>
            <w:vAlign w:val="bottom"/>
            <w:gridSpan w:val="8"/>
          </w:tcPr>
          <w:p>
            <w:pPr>
              <w:spacing w:after="0"/>
              <w:rPr>
                <w:sz w:val="17"/>
                <w:szCs w:val="17"/>
                <w:color w:val="auto"/>
              </w:rPr>
            </w:pPr>
          </w:p>
        </w:tc>
        <w:tc>
          <w:tcPr>
            <w:tcW w:w="34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Section 302 of the Sarbanes-Oxley Act of 2002.</w:t>
            </w:r>
          </w:p>
        </w:tc>
        <w:tc>
          <w:tcPr>
            <w:tcW w:w="1160" w:type="dxa"/>
            <w:vAlign w:val="bottom"/>
            <w:gridSpan w:val="9"/>
          </w:tcPr>
          <w:p>
            <w:pPr>
              <w:spacing w:after="0"/>
              <w:rPr>
                <w:sz w:val="17"/>
                <w:szCs w:val="17"/>
                <w:color w:val="auto"/>
              </w:rPr>
            </w:pPr>
          </w:p>
        </w:tc>
        <w:tc>
          <w:tcPr>
            <w:tcW w:w="3440" w:type="dxa"/>
            <w:vAlign w:val="bottom"/>
          </w:tcPr>
          <w:p>
            <w:pPr>
              <w:ind w:left="100"/>
              <w:spacing w:after="0" w:line="196" w:lineRule="exact"/>
              <w:rPr>
                <w:sz w:val="20"/>
                <w:szCs w:val="20"/>
                <w:color w:val="auto"/>
              </w:rPr>
            </w:pPr>
            <w:r>
              <w:rPr>
                <w:rFonts w:ascii="Arial" w:cs="Arial" w:eastAsia="Arial" w:hAnsi="Arial"/>
                <w:sz w:val="18"/>
                <w:szCs w:val="18"/>
                <w:color w:val="auto"/>
              </w:rPr>
              <w:t>Filed herewith.</w:t>
            </w:r>
          </w:p>
        </w:tc>
      </w:tr>
      <w:tr>
        <w:trPr>
          <w:trHeight w:val="345"/>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42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3"/>
              </w:rPr>
              <w:t>Certification of Principal Executive Officer pursuant to 18</w:t>
            </w:r>
          </w:p>
        </w:tc>
        <w:tc>
          <w:tcPr>
            <w:tcW w:w="380" w:type="dxa"/>
            <w:vAlign w:val="bottom"/>
            <w:gridSpan w:val="4"/>
          </w:tcPr>
          <w:p>
            <w:pPr>
              <w:spacing w:after="0"/>
              <w:rPr>
                <w:sz w:val="24"/>
                <w:szCs w:val="24"/>
                <w:color w:val="auto"/>
              </w:rPr>
            </w:pPr>
          </w:p>
        </w:tc>
        <w:tc>
          <w:tcPr>
            <w:tcW w:w="344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5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U.S.C. Section 1350, as adopted pursuant to Section 906 of the</w:t>
            </w:r>
          </w:p>
        </w:tc>
        <w:tc>
          <w:tcPr>
            <w:tcW w:w="80" w:type="dxa"/>
            <w:vAlign w:val="bottom"/>
            <w:gridSpan w:val="2"/>
          </w:tcPr>
          <w:p>
            <w:pPr>
              <w:spacing w:after="0"/>
              <w:rPr>
                <w:sz w:val="17"/>
                <w:szCs w:val="17"/>
                <w:color w:val="auto"/>
              </w:rPr>
            </w:pPr>
          </w:p>
        </w:tc>
        <w:tc>
          <w:tcPr>
            <w:tcW w:w="34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Sarbanes-Oxley Act of 2002. ††</w:t>
            </w:r>
          </w:p>
        </w:tc>
        <w:tc>
          <w:tcPr>
            <w:tcW w:w="2300" w:type="dxa"/>
            <w:vAlign w:val="bottom"/>
            <w:gridSpan w:val="12"/>
          </w:tcPr>
          <w:p>
            <w:pPr>
              <w:spacing w:after="0"/>
              <w:rPr>
                <w:sz w:val="17"/>
                <w:szCs w:val="17"/>
                <w:color w:val="auto"/>
              </w:rPr>
            </w:pPr>
          </w:p>
        </w:tc>
        <w:tc>
          <w:tcPr>
            <w:tcW w:w="3440" w:type="dxa"/>
            <w:vAlign w:val="bottom"/>
          </w:tcPr>
          <w:p>
            <w:pPr>
              <w:ind w:left="100"/>
              <w:spacing w:after="0" w:line="196" w:lineRule="exact"/>
              <w:rPr>
                <w:sz w:val="20"/>
                <w:szCs w:val="20"/>
                <w:color w:val="auto"/>
              </w:rPr>
            </w:pPr>
            <w:r>
              <w:rPr>
                <w:rFonts w:ascii="Arial" w:cs="Arial" w:eastAsia="Arial" w:hAnsi="Arial"/>
                <w:sz w:val="18"/>
                <w:szCs w:val="18"/>
                <w:color w:val="auto"/>
              </w:rPr>
              <w:t>Filed herewith.</w:t>
            </w:r>
          </w:p>
        </w:tc>
      </w:tr>
      <w:tr>
        <w:trPr>
          <w:trHeight w:val="345"/>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4620" w:type="dxa"/>
            <w:vAlign w:val="bottom"/>
            <w:gridSpan w:val="14"/>
          </w:tcPr>
          <w:p>
            <w:pPr>
              <w:spacing w:after="0"/>
              <w:rPr>
                <w:sz w:val="20"/>
                <w:szCs w:val="20"/>
                <w:color w:val="auto"/>
              </w:rPr>
            </w:pPr>
            <w:r>
              <w:rPr>
                <w:rFonts w:ascii="Arial" w:cs="Arial" w:eastAsia="Arial" w:hAnsi="Arial"/>
                <w:sz w:val="18"/>
                <w:szCs w:val="18"/>
                <w:color w:val="0000EE"/>
              </w:rPr>
              <w:t>Certification of Principal Financial Officer pursuant to 18</w:t>
            </w:r>
          </w:p>
        </w:tc>
        <w:tc>
          <w:tcPr>
            <w:tcW w:w="344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4140" w:type="dxa"/>
            <w:vAlign w:val="bottom"/>
            <w:gridSpan w:val="9"/>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5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U.S.C. Section 1350, as adopted pursuant to Section 906 of the</w:t>
            </w:r>
          </w:p>
        </w:tc>
        <w:tc>
          <w:tcPr>
            <w:tcW w:w="80" w:type="dxa"/>
            <w:vAlign w:val="bottom"/>
            <w:gridSpan w:val="2"/>
          </w:tcPr>
          <w:p>
            <w:pPr>
              <w:spacing w:after="0"/>
              <w:rPr>
                <w:sz w:val="17"/>
                <w:szCs w:val="17"/>
                <w:color w:val="auto"/>
              </w:rPr>
            </w:pPr>
          </w:p>
        </w:tc>
        <w:tc>
          <w:tcPr>
            <w:tcW w:w="344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3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Sarbanes-Oxley Act of 2002. ††</w:t>
            </w:r>
          </w:p>
        </w:tc>
        <w:tc>
          <w:tcPr>
            <w:tcW w:w="2300" w:type="dxa"/>
            <w:vAlign w:val="bottom"/>
            <w:gridSpan w:val="12"/>
          </w:tcPr>
          <w:p>
            <w:pPr>
              <w:spacing w:after="0"/>
              <w:rPr>
                <w:sz w:val="17"/>
                <w:szCs w:val="17"/>
                <w:color w:val="auto"/>
              </w:rPr>
            </w:pPr>
          </w:p>
        </w:tc>
        <w:tc>
          <w:tcPr>
            <w:tcW w:w="3440" w:type="dxa"/>
            <w:vAlign w:val="bottom"/>
          </w:tcPr>
          <w:p>
            <w:pPr>
              <w:ind w:left="100"/>
              <w:spacing w:after="0" w:line="196" w:lineRule="exact"/>
              <w:rPr>
                <w:sz w:val="20"/>
                <w:szCs w:val="20"/>
                <w:color w:val="auto"/>
              </w:rPr>
            </w:pPr>
            <w:r>
              <w:rPr>
                <w:rFonts w:ascii="Arial" w:cs="Arial" w:eastAsia="Arial" w:hAnsi="Arial"/>
                <w:sz w:val="18"/>
                <w:szCs w:val="18"/>
                <w:color w:val="auto"/>
              </w:rPr>
              <w:t>Filed herewith.</w:t>
            </w:r>
          </w:p>
        </w:tc>
      </w:tr>
    </w:tbl>
    <w:p>
      <w:pPr>
        <w:spacing w:after="0" w:line="161" w:lineRule="exact"/>
        <w:rPr>
          <w:sz w:val="20"/>
          <w:szCs w:val="20"/>
          <w:color w:val="auto"/>
        </w:rPr>
      </w:pPr>
    </w:p>
    <w:p>
      <w:pPr>
        <w:ind w:left="860" w:right="3679" w:hanging="843"/>
        <w:spacing w:after="0" w:line="285"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September 30, 2019, formatted in Inline XBRL: (i) Consolidated Income Statements, (ii) Consolidated Statements of Comprehensive Income, (iii) Consolidated Balance Sheets,</w:t>
      </w:r>
    </w:p>
    <w:p>
      <w:pPr>
        <w:spacing w:after="0" w:line="2" w:lineRule="exact"/>
        <w:rPr>
          <w:sz w:val="20"/>
          <w:szCs w:val="20"/>
          <w:color w:val="auto"/>
        </w:rPr>
      </w:pPr>
    </w:p>
    <w:p>
      <w:pPr>
        <w:jc w:val="both"/>
        <w:ind w:left="860" w:right="3639" w:hanging="6"/>
        <w:spacing w:after="0" w:line="281" w:lineRule="auto"/>
        <w:tabs>
          <w:tab w:leader="none" w:pos="11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Consolidated Statements of Stockholders’ Equity, (v) Consolidated Statements of Cash Flows, and (vi) Notes to Consolidated Financial Statements tagged as blocks of text and</w:t>
      </w:r>
    </w:p>
    <w:p>
      <w:pPr>
        <w:spacing w:after="0" w:line="2" w:lineRule="exact"/>
        <w:rPr>
          <w:sz w:val="20"/>
          <w:szCs w:val="20"/>
          <w:color w:val="auto"/>
        </w:rPr>
      </w:pPr>
    </w:p>
    <w:p>
      <w:pPr>
        <w:ind w:left="860"/>
        <w:spacing w:after="0"/>
        <w:tabs>
          <w:tab w:leader="none" w:pos="5560" w:val="left"/>
        </w:tabs>
        <w:rPr>
          <w:sz w:val="20"/>
          <w:szCs w:val="20"/>
          <w:color w:val="auto"/>
        </w:rPr>
      </w:pPr>
      <w:r>
        <w:rPr>
          <w:rFonts w:ascii="Arial" w:cs="Arial" w:eastAsia="Arial" w:hAnsi="Arial"/>
          <w:sz w:val="18"/>
          <w:szCs w:val="18"/>
          <w:color w:val="auto"/>
        </w:rPr>
        <w:t>including detailed tags.</w:t>
      </w:r>
      <w:r>
        <w:rPr>
          <w:sz w:val="20"/>
          <w:szCs w:val="20"/>
          <w:color w:val="auto"/>
        </w:rPr>
        <w:tab/>
      </w:r>
      <w:r>
        <w:rPr>
          <w:rFonts w:ascii="Arial" w:cs="Arial" w:eastAsia="Arial" w:hAnsi="Arial"/>
          <w:sz w:val="16"/>
          <w:szCs w:val="16"/>
          <w:color w:val="auto"/>
        </w:rPr>
        <w:t>Filed herewith.</w:t>
      </w:r>
    </w:p>
    <w:p>
      <w:pPr>
        <w:spacing w:after="0" w:line="143" w:lineRule="exact"/>
        <w:rPr>
          <w:sz w:val="20"/>
          <w:szCs w:val="20"/>
          <w:color w:val="auto"/>
        </w:rPr>
      </w:pPr>
    </w:p>
    <w:p>
      <w:pPr>
        <w:ind w:left="860" w:right="3619" w:hanging="843"/>
        <w:spacing w:after="0" w:line="291" w:lineRule="auto"/>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 ended September 30, 2019, formatted in</w:t>
      </w:r>
    </w:p>
    <w:p>
      <w:pPr>
        <w:ind w:left="860"/>
        <w:spacing w:after="0"/>
        <w:tabs>
          <w:tab w:leader="none" w:pos="5560" w:val="left"/>
        </w:tabs>
        <w:rPr>
          <w:sz w:val="20"/>
          <w:szCs w:val="20"/>
          <w:color w:val="auto"/>
        </w:rPr>
      </w:pPr>
      <w:r>
        <w:rPr>
          <w:rFonts w:ascii="Arial" w:cs="Arial" w:eastAsia="Arial" w:hAnsi="Arial"/>
          <w:sz w:val="18"/>
          <w:szCs w:val="18"/>
          <w:color w:val="auto"/>
        </w:rPr>
        <w:t>Inline XBRL (included as Exhibit 101).</w:t>
      </w:r>
      <w:r>
        <w:rPr>
          <w:sz w:val="20"/>
          <w:szCs w:val="20"/>
          <w:color w:val="auto"/>
        </w:rPr>
        <w:tab/>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14408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1" w:lineRule="exact"/>
        <w:rPr>
          <w:sz w:val="20"/>
          <w:szCs w:val="20"/>
          <w:color w:val="auto"/>
        </w:rPr>
      </w:pPr>
    </w:p>
    <w:p>
      <w:pPr>
        <w:ind w:left="340" w:right="19" w:hanging="331"/>
        <w:spacing w:after="0" w:line="312" w:lineRule="auto"/>
        <w:tabs>
          <w:tab w:leader="none" w:pos="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ectPr>
          <w:pgSz w:w="11900" w:h="16838" w:orient="portrait"/>
          <w:cols w:equalWidth="0" w:num="1">
            <w:col w:w="9039"/>
          </w:cols>
          <w:pgMar w:left="1420" w:top="517"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860" w:type="dxa"/>
            <w:vAlign w:val="bottom"/>
            <w:gridSpan w:val="2"/>
          </w:tcPr>
          <w:p>
            <w:pPr>
              <w:ind w:left="142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November 6, 2019</w:t>
            </w:r>
          </w:p>
        </w:tc>
        <w:tc>
          <w:tcPr>
            <w:tcW w:w="5860" w:type="dxa"/>
            <w:vAlign w:val="bottom"/>
            <w:gridSpan w:val="2"/>
          </w:tcPr>
          <w:p>
            <w:pPr>
              <w:ind w:left="1420"/>
              <w:spacing w:after="0"/>
              <w:rPr>
                <w:sz w:val="20"/>
                <w:szCs w:val="20"/>
                <w:color w:val="auto"/>
              </w:rPr>
            </w:pPr>
            <w:r>
              <w:rPr>
                <w:rFonts w:ascii="Arial" w:cs="Arial" w:eastAsia="Arial" w:hAnsi="Arial"/>
                <w:sz w:val="18"/>
                <w:szCs w:val="18"/>
                <w:color w:val="auto"/>
              </w:rPr>
              <w:t>By: /s/ Daniel E. Bachus</w:t>
            </w:r>
          </w:p>
        </w:tc>
      </w:tr>
      <w:tr>
        <w:trPr>
          <w:trHeight w:val="20"/>
        </w:trPr>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r>
        <w:trPr>
          <w:trHeight w:val="182"/>
        </w:trPr>
        <w:tc>
          <w:tcPr>
            <w:tcW w:w="3200" w:type="dxa"/>
            <w:vAlign w:val="bottom"/>
          </w:tcPr>
          <w:p>
            <w:pPr>
              <w:spacing w:after="0"/>
              <w:rPr>
                <w:sz w:val="15"/>
                <w:szCs w:val="15"/>
                <w:color w:val="auto"/>
              </w:rPr>
            </w:pPr>
          </w:p>
        </w:tc>
        <w:tc>
          <w:tcPr>
            <w:tcW w:w="5860" w:type="dxa"/>
            <w:vAlign w:val="bottom"/>
            <w:gridSpan w:val="2"/>
          </w:tcPr>
          <w:p>
            <w:pPr>
              <w:ind w:left="142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3200" w:type="dxa"/>
            <w:vAlign w:val="bottom"/>
          </w:tcPr>
          <w:p>
            <w:pPr>
              <w:spacing w:after="0"/>
              <w:rPr>
                <w:sz w:val="18"/>
                <w:szCs w:val="18"/>
                <w:color w:val="auto"/>
              </w:rPr>
            </w:pPr>
          </w:p>
        </w:tc>
        <w:tc>
          <w:tcPr>
            <w:tcW w:w="5860" w:type="dxa"/>
            <w:vAlign w:val="bottom"/>
            <w:gridSpan w:val="2"/>
          </w:tcPr>
          <w:p>
            <w:pPr>
              <w:ind w:left="1420"/>
              <w:spacing w:after="0"/>
              <w:rPr>
                <w:sz w:val="20"/>
                <w:szCs w:val="20"/>
                <w:color w:val="auto"/>
              </w:rPr>
            </w:pPr>
            <w:r>
              <w:rPr>
                <w:rFonts w:ascii="Arial" w:cs="Arial" w:eastAsia="Arial" w:hAnsi="Arial"/>
                <w:sz w:val="18"/>
                <w:szCs w:val="18"/>
                <w:color w:val="auto"/>
              </w:rPr>
              <w:t>Chief Financial Officer</w:t>
            </w:r>
          </w:p>
        </w:tc>
      </w:tr>
      <w:tr>
        <w:trPr>
          <w:trHeight w:val="230"/>
        </w:trPr>
        <w:tc>
          <w:tcPr>
            <w:tcW w:w="3200" w:type="dxa"/>
            <w:vAlign w:val="bottom"/>
          </w:tcPr>
          <w:p>
            <w:pPr>
              <w:spacing w:after="0"/>
              <w:rPr>
                <w:sz w:val="20"/>
                <w:szCs w:val="20"/>
                <w:color w:val="auto"/>
              </w:rPr>
            </w:pPr>
          </w:p>
        </w:tc>
        <w:tc>
          <w:tcPr>
            <w:tcW w:w="5860" w:type="dxa"/>
            <w:vAlign w:val="bottom"/>
            <w:gridSpan w:val="2"/>
          </w:tcPr>
          <w:p>
            <w:pPr>
              <w:ind w:left="14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Exhibit 10.18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AMENDMENT</w:t>
      </w:r>
    </w:p>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THIS SECOND AMENDMENT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October 31, 2019 to the Credit Agreement referenced below is by and among GRAND CANYON EDUCATION,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identified on the signature pages hereto, the Lenders identified on the signature pages hereto and BANK OF AMERICA, N.A., in its capacity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revolving credit and term loan facilities have been extended to the Borrower pursuant to the Amended and Restated Credit Agreement (as amended, modified, supplemented, increased and extended from time to time,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January 22, 2019 by and among the Borrower, the Guarantors identified therein, the Lenders identified therein and the Administrative Agent; and</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Borrower has requested certain modifications to the Credit Agreement and the Lenders have agreed to the requested modifications on the terms set forth herein.</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other good and valuable consideration, the receipt and sufficiency of which are hereby acknowledged, the parties hereto agree as follows:</w:t>
      </w:r>
    </w:p>
    <w:p>
      <w:pPr>
        <w:spacing w:after="0" w:line="190" w:lineRule="exact"/>
        <w:rPr>
          <w:sz w:val="20"/>
          <w:szCs w:val="20"/>
          <w:color w:val="auto"/>
        </w:rPr>
      </w:pPr>
    </w:p>
    <w:p>
      <w:pPr>
        <w:ind w:firstLine="648"/>
        <w:spacing w:after="0" w:line="260" w:lineRule="auto"/>
        <w:tabs>
          <w:tab w:leader="none" w:pos="1508"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w:t>
      </w:r>
    </w:p>
    <w:p>
      <w:pPr>
        <w:spacing w:after="0" w:line="190" w:lineRule="exact"/>
        <w:rPr>
          <w:rFonts w:ascii="Arial" w:cs="Arial" w:eastAsia="Arial" w:hAnsi="Arial"/>
          <w:sz w:val="20"/>
          <w:szCs w:val="20"/>
          <w:color w:val="auto"/>
        </w:rPr>
      </w:pPr>
    </w:p>
    <w:p>
      <w:pPr>
        <w:ind w:left="1300" w:hanging="652"/>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Conversion of a Portion of the Term Loan into Revolving Commitments</w:t>
      </w:r>
      <w:r>
        <w:rPr>
          <w:rFonts w:ascii="Arial" w:cs="Arial" w:eastAsia="Arial" w:hAnsi="Arial"/>
          <w:sz w:val="20"/>
          <w:szCs w:val="20"/>
          <w:color w:val="auto"/>
        </w:rPr>
        <w:t>.</w:t>
      </w:r>
    </w:p>
    <w:p>
      <w:pPr>
        <w:spacing w:after="0" w:line="229"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2.1 Immediately prior to the effectiveness of this Amendment, the Outstanding Amount of the Term Loan is $219,375,000.</w:t>
      </w:r>
    </w:p>
    <w:p>
      <w:pPr>
        <w:spacing w:after="0" w:line="177" w:lineRule="exact"/>
        <w:rPr>
          <w:sz w:val="20"/>
          <w:szCs w:val="20"/>
          <w:color w:val="auto"/>
        </w:rPr>
      </w:pPr>
    </w:p>
    <w:p>
      <w:pPr>
        <w:jc w:val="both"/>
        <w:ind w:left="640" w:firstLine="648"/>
        <w:spacing w:after="0" w:line="255" w:lineRule="auto"/>
        <w:rPr>
          <w:sz w:val="20"/>
          <w:szCs w:val="20"/>
          <w:color w:val="auto"/>
        </w:rPr>
      </w:pPr>
      <w:r>
        <w:rPr>
          <w:rFonts w:ascii="Arial" w:cs="Arial" w:eastAsia="Arial" w:hAnsi="Arial"/>
          <w:sz w:val="19"/>
          <w:szCs w:val="19"/>
          <w:color w:val="auto"/>
        </w:rPr>
        <w:t xml:space="preserve">2.2 Concurrent with the effectiveness of this Amendment, (a) the Aggregate Revolving Commitments shall be increased by $68,750,000 to $150,000,000, (b) the Revolving Commitment of each Lender set forth on Schedule 2.01 is amended to read as set forth opposite such Lender’s name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(c) $68,750,000 of the Outstanding Amount of the Term Loan shall be converted into Revolving Loans and shall be deemed to be outstanding as Revolving Loans for all purposes of the Credit Agreement and the other Loan Documents (with such conversion applied to the Outstanding Amount of Term Loan held by each Lender according to such Lender’s Applicable Percentage of the Outstanding Amount of the Term Loan), (d) such conversion of a portion of the Term Loan to Revolving Loans shall not constitute a repayment of the converted amount of the Term Loan, (e) for the avoidance of doubt, such conversion of a portion of the Term Loan to Revolving Loans shall not be subject to the requirements of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of the Credit Agreement and (f) the Outstanding Amount of the Term Loan after giving effect to such conversion shall be $150,625,000.</w:t>
      </w:r>
    </w:p>
    <w:p>
      <w:pPr>
        <w:spacing w:after="0" w:line="188" w:lineRule="exact"/>
        <w:rPr>
          <w:sz w:val="20"/>
          <w:szCs w:val="20"/>
          <w:color w:val="auto"/>
        </w:rPr>
      </w:pPr>
    </w:p>
    <w:p>
      <w:pPr>
        <w:ind w:firstLine="648"/>
        <w:spacing w:after="0" w:line="260" w:lineRule="auto"/>
        <w:tabs>
          <w:tab w:leader="none" w:pos="1508"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Amendments to Credit Agreement</w:t>
      </w:r>
      <w:r>
        <w:rPr>
          <w:rFonts w:ascii="Arial" w:cs="Arial" w:eastAsia="Arial" w:hAnsi="Arial"/>
          <w:sz w:val="20"/>
          <w:szCs w:val="20"/>
          <w:color w:val="auto"/>
        </w:rPr>
        <w:t>. Subject to the terms and conditions herein, the Credit Agreement is hereby amended as follows:</w:t>
      </w:r>
    </w:p>
    <w:p>
      <w:pPr>
        <w:spacing w:after="0" w:line="19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Section 1.01 is amended to add the following defined terms in their proper alphabetical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773430</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6" w:right="919" w:bottom="1440" w:gutter="0" w:footer="0" w:header="0"/>
        </w:sectPr>
      </w:pPr>
    </w:p>
    <w:bookmarkStart w:id="40" w:name="page41"/>
    <w:bookmarkEnd w:id="40"/>
    <w:p>
      <w:pPr>
        <w:jc w:val="both"/>
        <w:ind w:left="78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89" w:lineRule="exact"/>
        <w:rPr>
          <w:sz w:val="20"/>
          <w:szCs w:val="20"/>
          <w:color w:val="auto"/>
        </w:rPr>
      </w:pPr>
    </w:p>
    <w:p>
      <w:pPr>
        <w:jc w:val="both"/>
        <w:ind w:left="78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92"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“SOFR-Based Rate</w:t>
      </w:r>
      <w:r>
        <w:rPr>
          <w:rFonts w:ascii="Arial" w:cs="Arial" w:eastAsia="Arial" w:hAnsi="Arial"/>
          <w:sz w:val="20"/>
          <w:szCs w:val="20"/>
          <w:color w:val="auto"/>
        </w:rPr>
        <w:t>” means SOFR or Term SOFR.</w:t>
      </w:r>
    </w:p>
    <w:p>
      <w:pPr>
        <w:spacing w:after="0" w:line="216" w:lineRule="exact"/>
        <w:rPr>
          <w:sz w:val="20"/>
          <w:szCs w:val="20"/>
          <w:color w:val="auto"/>
        </w:rPr>
      </w:pPr>
    </w:p>
    <w:p>
      <w:pPr>
        <w:jc w:val="both"/>
        <w:ind w:left="78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195"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The definition of “Aggregate Revolving Commitments” in Section 1.01 is amended to read as follows:</w:t>
      </w:r>
    </w:p>
    <w:p>
      <w:pPr>
        <w:spacing w:after="0" w:line="216" w:lineRule="exact"/>
        <w:rPr>
          <w:sz w:val="20"/>
          <w:szCs w:val="20"/>
          <w:color w:val="auto"/>
        </w:rPr>
      </w:pPr>
    </w:p>
    <w:p>
      <w:pPr>
        <w:jc w:val="both"/>
        <w:ind w:left="78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Commitments</w:t>
      </w:r>
      <w:r>
        <w:rPr>
          <w:rFonts w:ascii="Arial" w:cs="Arial" w:eastAsia="Arial" w:hAnsi="Arial"/>
          <w:sz w:val="19"/>
          <w:szCs w:val="19"/>
          <w:color w:val="auto"/>
        </w:rPr>
        <w:t>” means the Revolving Commitments of all the Lenders. The amount of the Aggregate Revolving Commitments in effect on the effective date of the Second Amendment to this Agreement is ONE HUNDRED AND FIFTY MILLION DOLLARS ($150,000,000.00).</w:t>
      </w:r>
    </w:p>
    <w:p>
      <w:pPr>
        <w:spacing w:after="0" w:line="170" w:lineRule="exact"/>
        <w:rPr>
          <w:sz w:val="20"/>
          <w:szCs w:val="20"/>
          <w:color w:val="auto"/>
        </w:rPr>
      </w:pPr>
    </w:p>
    <w:p>
      <w:pPr>
        <w:ind w:left="120" w:firstLine="648"/>
        <w:spacing w:after="0" w:line="260" w:lineRule="auto"/>
        <w:rPr>
          <w:sz w:val="20"/>
          <w:szCs w:val="20"/>
          <w:color w:val="auto"/>
        </w:rPr>
      </w:pPr>
      <w:r>
        <w:rPr>
          <w:rFonts w:ascii="Arial" w:cs="Arial" w:eastAsia="Arial" w:hAnsi="Arial"/>
          <w:sz w:val="20"/>
          <w:szCs w:val="20"/>
          <w:color w:val="auto"/>
        </w:rPr>
        <w:t>3.3 The definition of “LIBOR Successor Rate Conforming Changes” in Section 1.01 is amended to read as follows:</w:t>
      </w:r>
    </w:p>
    <w:p>
      <w:pPr>
        <w:spacing w:after="0" w:line="177" w:lineRule="exact"/>
        <w:rPr>
          <w:sz w:val="20"/>
          <w:szCs w:val="20"/>
          <w:color w:val="auto"/>
        </w:rPr>
      </w:pPr>
    </w:p>
    <w:p>
      <w:pPr>
        <w:jc w:val="both"/>
        <w:ind w:left="78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 Conforming Changes</w:t>
      </w:r>
      <w:r>
        <w:rPr>
          <w:rFonts w:ascii="Arial" w:cs="Arial" w:eastAsia="Arial" w:hAnsi="Arial"/>
          <w:sz w:val="20"/>
          <w:szCs w:val="20"/>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discretion of the Administrative Agent,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is reasonably necessary in connection with the administration of this Agreement).</w:t>
      </w:r>
    </w:p>
    <w:p>
      <w:pPr>
        <w:spacing w:after="0" w:line="203"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color w:val="auto"/>
        </w:rPr>
        <w:t>In Section 2.06(b), the reference to “$125,000,000” is amended to read “$225,000,000”.</w:t>
      </w:r>
    </w:p>
    <w:p>
      <w:pPr>
        <w:spacing w:after="0" w:line="216"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6"/>
          <w:szCs w:val="16"/>
          <w:color w:val="auto"/>
        </w:rPr>
        <w:t>Section 2.07(c)(i) is amended to read as follows:</w:t>
      </w: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358140</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2" w:right="919" w:bottom="1440" w:gutter="0" w:footer="0" w:header="0"/>
        </w:sectPr>
      </w:pPr>
    </w:p>
    <w:bookmarkStart w:id="41" w:name="page42"/>
    <w:bookmarkEnd w:id="41"/>
    <w:p>
      <w:pPr>
        <w:ind w:left="780" w:hanging="4"/>
        <w:spacing w:after="0" w:line="262" w:lineRule="auto"/>
        <w:tabs>
          <w:tab w:leader="none" w:pos="1022" w:val="left"/>
        </w:tabs>
        <w:numPr>
          <w:ilvl w:val="0"/>
          <w:numId w:val="15"/>
        </w:numPr>
        <w:rPr>
          <w:rFonts w:ascii="Arial" w:cs="Arial" w:eastAsia="Arial" w:hAnsi="Arial"/>
          <w:sz w:val="20"/>
          <w:szCs w:val="20"/>
          <w:color w:val="auto"/>
        </w:rPr>
      </w:pPr>
      <w:r>
        <w:rPr>
          <w:rFonts w:ascii="Arial" w:cs="Arial" w:eastAsia="Arial" w:hAnsi="Arial"/>
          <w:sz w:val="20"/>
          <w:szCs w:val="20"/>
          <w:color w:val="auto"/>
        </w:rPr>
        <w:t>on the last day of each calendar quarter, commencing on December 31, 2019, the Borrower shall repay the principal amount of the Term Loan in an amount equal to $8,368,055.56 and</w:t>
      </w:r>
    </w:p>
    <w:p>
      <w:pPr>
        <w:spacing w:after="0" w:line="174"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6"/>
          <w:szCs w:val="16"/>
          <w:color w:val="auto"/>
        </w:rPr>
        <w:t>Clause (ii) of the first paragraph of Section 3.07 is amended to read as follows:</w:t>
      </w:r>
    </w:p>
    <w:p>
      <w:pPr>
        <w:spacing w:after="0" w:line="216" w:lineRule="exact"/>
        <w:rPr>
          <w:sz w:val="20"/>
          <w:szCs w:val="20"/>
          <w:color w:val="auto"/>
        </w:rPr>
      </w:pPr>
    </w:p>
    <w:p>
      <w:pPr>
        <w:jc w:val="both"/>
        <w:ind w:left="780" w:hanging="4"/>
        <w:spacing w:after="0" w:line="243" w:lineRule="auto"/>
        <w:tabs>
          <w:tab w:leader="none" w:pos="1467"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provided that, at the time of such statement, there is no successor administrator that is satisfactory to the Administrative Agent, that will continue to provide LIBOR after such specific date (such specific date, the “</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or</w:t>
      </w:r>
    </w:p>
    <w:p>
      <w:pPr>
        <w:spacing w:after="0" w:line="197"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6"/>
          <w:szCs w:val="16"/>
          <w:color w:val="auto"/>
        </w:rPr>
        <w:t>The second paragraph of Section 3.07 is amended to read as follows:</w:t>
      </w:r>
    </w:p>
    <w:p>
      <w:pPr>
        <w:spacing w:after="0" w:line="216" w:lineRule="exact"/>
        <w:rPr>
          <w:sz w:val="20"/>
          <w:szCs w:val="20"/>
          <w:color w:val="auto"/>
        </w:rPr>
      </w:pPr>
    </w:p>
    <w:p>
      <w:pPr>
        <w:jc w:val="both"/>
        <w:ind w:left="780"/>
        <w:spacing w:after="0" w:line="268"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 amend this Agreement to replace LIBOR with (x) one or more SOFR-Based Rates or (y) another alternate benchmark rate giving due consideration to any evolving or then existing convention for similar U.S. dollar denominated syndicated credit facilities for such alternative benchmarks and, in each case, including any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(the “</w:t>
      </w:r>
      <w:r>
        <w:rPr>
          <w:rFonts w:ascii="Arial" w:cs="Arial" w:eastAsia="Arial" w:hAnsi="Arial"/>
          <w:sz w:val="18"/>
          <w:szCs w:val="18"/>
          <w:u w:val="single" w:color="auto"/>
          <w:color w:val="auto"/>
        </w:rPr>
        <w:t>Adjustment</w:t>
      </w:r>
      <w:r>
        <w:rPr>
          <w:rFonts w:ascii="Arial" w:cs="Arial" w:eastAsia="Arial" w:hAnsi="Arial"/>
          <w:sz w:val="18"/>
          <w:szCs w:val="18"/>
          <w:color w:val="auto"/>
        </w:rPr>
        <w:t>;” and any such proposed rate, a “</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xml:space="preserve">”),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(A) in the case of an amendment to replace LIBOR with a rate described in clause (x), object to the Adjustment; or (B) in the case of an amendment to replace LIBOR with a rate described in clause (y), object to such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in the case of clause (A), the Required Lenders shall not be entitled to object to any SOFR-Based Rate contained in any such amendment. Such LIBOR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LIBOR Successor Rate shall be applied in a manner as otherwise reasonably determined by the Administrative Agent.</w:t>
      </w:r>
    </w:p>
    <w:p>
      <w:pPr>
        <w:spacing w:after="0" w:line="185"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8"/>
          <w:szCs w:val="18"/>
          <w:color w:val="auto"/>
        </w:rPr>
        <w:t>The following paragraph is added to the end of Section 3.07 and shall constitute a new fifth paragraph</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jc w:val="both"/>
        <w:ind w:left="780"/>
        <w:spacing w:after="0" w:line="244" w:lineRule="auto"/>
        <w:rPr>
          <w:sz w:val="20"/>
          <w:szCs w:val="20"/>
          <w:color w:val="auto"/>
        </w:rPr>
      </w:pPr>
      <w:r>
        <w:rPr>
          <w:rFonts w:ascii="Arial" w:cs="Arial" w:eastAsia="Arial" w:hAnsi="Arial"/>
          <w:sz w:val="20"/>
          <w:szCs w:val="20"/>
          <w:color w:val="auto"/>
        </w:rPr>
        <w:t>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w:t>
      </w:r>
    </w:p>
    <w:p>
      <w:pPr>
        <w:spacing w:after="0" w:line="200" w:lineRule="exact"/>
        <w:rPr>
          <w:sz w:val="20"/>
          <w:szCs w:val="20"/>
          <w:color w:val="auto"/>
        </w:rPr>
      </w:pP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358140</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2" w:right="919" w:bottom="1440" w:gutter="0" w:footer="0" w:header="0"/>
        </w:sectPr>
      </w:pPr>
    </w:p>
    <w:bookmarkStart w:id="42" w:name="page43"/>
    <w:bookmarkEnd w:id="42"/>
    <w:p>
      <w:pPr>
        <w:ind w:left="780"/>
        <w:spacing w:after="0"/>
        <w:tabs>
          <w:tab w:leader="none" w:pos="140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8"/>
          <w:szCs w:val="18"/>
          <w:color w:val="auto"/>
        </w:rPr>
        <w:t>In Section 8.02(o)(ii), the reference to “$200 million” is amended to read “$300 million”.</w:t>
      </w:r>
    </w:p>
    <w:p>
      <w:pPr>
        <w:spacing w:after="0" w:line="217" w:lineRule="exact"/>
        <w:rPr>
          <w:sz w:val="20"/>
          <w:szCs w:val="20"/>
          <w:color w:val="auto"/>
        </w:rPr>
      </w:pPr>
    </w:p>
    <w:p>
      <w:pPr>
        <w:ind w:left="780"/>
        <w:spacing w:after="0"/>
        <w:tabs>
          <w:tab w:leader="none" w:pos="138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6"/>
          <w:szCs w:val="16"/>
          <w:color w:val="auto"/>
        </w:rPr>
        <w:t>A new Section 11.22 is added to read as follows:</w:t>
      </w:r>
    </w:p>
    <w:p>
      <w:pPr>
        <w:spacing w:after="0" w:line="216"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w:t>
      </w:r>
    </w:p>
    <w:p>
      <w:pPr>
        <w:spacing w:after="0" w:line="216" w:lineRule="exact"/>
        <w:rPr>
          <w:sz w:val="20"/>
          <w:szCs w:val="20"/>
          <w:color w:val="auto"/>
        </w:rPr>
      </w:pPr>
    </w:p>
    <w:p>
      <w:pPr>
        <w:jc w:val="both"/>
        <w:ind w:left="780"/>
        <w:spacing w:after="0" w:line="256" w:lineRule="auto"/>
        <w:rPr>
          <w:sz w:val="20"/>
          <w:szCs w:val="20"/>
          <w:color w:val="auto"/>
        </w:rPr>
      </w:pPr>
      <w:r>
        <w:rPr>
          <w:rFonts w:ascii="Arial" w:cs="Arial" w:eastAsia="Arial" w:hAnsi="Arial"/>
          <w:sz w:val="19"/>
          <w:szCs w:val="19"/>
          <w:color w:val="auto"/>
        </w:rPr>
        <w:t>To the extent that the Loan Documents provide support, through a guarantee or otherwise, for any Swap Contract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jc w:val="both"/>
        <w:ind w:left="1420" w:firstLine="4"/>
        <w:spacing w:after="0" w:line="269" w:lineRule="auto"/>
        <w:tabs>
          <w:tab w:leader="none" w:pos="22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5" w:lineRule="exact"/>
        <w:rPr>
          <w:rFonts w:ascii="Arial" w:cs="Arial" w:eastAsia="Arial" w:hAnsi="Arial"/>
          <w:sz w:val="18"/>
          <w:szCs w:val="18"/>
          <w:color w:val="auto"/>
        </w:rPr>
      </w:pPr>
    </w:p>
    <w:p>
      <w:pPr>
        <w:ind w:left="2080" w:hanging="656"/>
        <w:spacing w:after="0"/>
        <w:tabs>
          <w:tab w:leader="none" w:pos="2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11.22</w:t>
      </w:r>
      <w:r>
        <w:rPr>
          <w:rFonts w:ascii="Arial" w:cs="Arial" w:eastAsia="Arial" w:hAnsi="Arial"/>
          <w:sz w:val="20"/>
          <w:szCs w:val="20"/>
          <w:color w:val="auto"/>
        </w:rPr>
        <w:t>, the following terms have the following meanings:</w:t>
      </w:r>
    </w:p>
    <w:p>
      <w:pPr>
        <w:spacing w:after="0" w:line="216" w:lineRule="exact"/>
        <w:rPr>
          <w:sz w:val="20"/>
          <w:szCs w:val="20"/>
          <w:color w:val="auto"/>
        </w:rPr>
      </w:pPr>
    </w:p>
    <w:p>
      <w:pPr>
        <w:jc w:val="both"/>
        <w:ind w:left="14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7" w:lineRule="exact"/>
        <w:rPr>
          <w:sz w:val="20"/>
          <w:szCs w:val="20"/>
          <w:color w:val="auto"/>
        </w:rPr>
      </w:pPr>
    </w:p>
    <w:p>
      <w:pPr>
        <w:jc w:val="both"/>
        <w:ind w:left="142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(i) a “covered entity” as that term is defined in, and interpreted in accordance with, 12 C.F.R. § 252.82(b); (ii) a “covered bank” as that term is defined in, and interpreted in accordance with, 12</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358140</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2" w:right="919" w:bottom="1440" w:gutter="0" w:footer="0" w:header="0"/>
        </w:sectPr>
      </w:pPr>
    </w:p>
    <w:bookmarkStart w:id="43" w:name="page44"/>
    <w:bookmarkEnd w:id="43"/>
    <w:p>
      <w:pPr>
        <w:ind w:left="1940"/>
        <w:spacing w:after="0" w:line="262" w:lineRule="auto"/>
        <w:rPr>
          <w:sz w:val="20"/>
          <w:szCs w:val="20"/>
          <w:color w:val="auto"/>
        </w:rPr>
      </w:pPr>
      <w:r>
        <w:rPr>
          <w:rFonts w:ascii="Arial" w:cs="Arial" w:eastAsia="Arial" w:hAnsi="Arial"/>
          <w:sz w:val="20"/>
          <w:szCs w:val="20"/>
          <w:color w:val="auto"/>
        </w:rPr>
        <w:t>C.F.R. § 47.3(b); or (iii) a “covered FSI” as that term is defined in, and interpreted in accordance with, 12 C.F.R. § 382.2(b).</w:t>
      </w:r>
    </w:p>
    <w:p>
      <w:pPr>
        <w:spacing w:after="0" w:line="174" w:lineRule="exact"/>
        <w:rPr>
          <w:sz w:val="20"/>
          <w:szCs w:val="20"/>
          <w:color w:val="auto"/>
        </w:rPr>
      </w:pPr>
    </w:p>
    <w:p>
      <w:pPr>
        <w:ind w:left="19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ind w:left="19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77" w:lineRule="exact"/>
        <w:rPr>
          <w:sz w:val="20"/>
          <w:szCs w:val="20"/>
          <w:color w:val="auto"/>
        </w:rPr>
      </w:pPr>
    </w:p>
    <w:p>
      <w:pPr>
        <w:ind w:left="1300" w:hanging="65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Amendment to Security Agreement</w:t>
      </w:r>
      <w:r>
        <w:rPr>
          <w:rFonts w:ascii="Arial" w:cs="Arial" w:eastAsia="Arial" w:hAnsi="Arial"/>
          <w:sz w:val="18"/>
          <w:szCs w:val="18"/>
          <w:color w:val="auto"/>
        </w:rPr>
        <w:t>. Section 16 of the Security Agreement is amended to read as follows:</w:t>
      </w:r>
    </w:p>
    <w:p>
      <w:pPr>
        <w:spacing w:after="0" w:line="238" w:lineRule="exact"/>
        <w:rPr>
          <w:rFonts w:ascii="Arial" w:cs="Arial" w:eastAsia="Arial" w:hAnsi="Arial"/>
          <w:sz w:val="18"/>
          <w:szCs w:val="18"/>
          <w:color w:val="auto"/>
        </w:rPr>
      </w:pPr>
    </w:p>
    <w:p>
      <w:pPr>
        <w:jc w:val="both"/>
        <w:ind w:left="1300" w:hanging="4"/>
        <w:spacing w:after="0" w:line="244" w:lineRule="auto"/>
        <w:tabs>
          <w:tab w:leader="none" w:pos="1997" w:val="left"/>
        </w:tabs>
        <w:numPr>
          <w:ilvl w:val="1"/>
          <w:numId w:val="18"/>
        </w:numPr>
        <w:rPr>
          <w:rFonts w:ascii="Arial" w:cs="Arial" w:eastAsia="Arial" w:hAnsi="Arial"/>
          <w:sz w:val="20"/>
          <w:szCs w:val="20"/>
          <w:color w:val="auto"/>
        </w:rPr>
      </w:pPr>
      <w:r>
        <w:rPr>
          <w:rFonts w:ascii="Arial" w:cs="Arial" w:eastAsia="Arial" w:hAnsi="Arial"/>
          <w:sz w:val="20"/>
          <w:szCs w:val="20"/>
          <w:u w:val="single" w:color="auto"/>
          <w:color w:val="auto"/>
        </w:rPr>
        <w:t>Governing Law; Submission to Jurisdiction; Venue; WAIVER OF JURY TRIAL; Acknowledgement Regarding any Supported QFCs</w:t>
      </w:r>
      <w:r>
        <w:rPr>
          <w:rFonts w:ascii="Arial" w:cs="Arial" w:eastAsia="Arial" w:hAnsi="Arial"/>
          <w:sz w:val="20"/>
          <w:szCs w:val="20"/>
          <w:color w:val="auto"/>
        </w:rPr>
        <w:t xml:space="preserve">. The terms of Sections 11.14, 11.15 and 11.22 of the Credit Agreement with respect to governing law, submission to jurisdiction, venue, waiver of jury trial and acknowledgement regarding any Supported QFCs are incorporated herein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 and the parties hereto agree to such terms.</w:t>
      </w:r>
    </w:p>
    <w:p>
      <w:pPr>
        <w:spacing w:after="0" w:line="194" w:lineRule="exact"/>
        <w:rPr>
          <w:rFonts w:ascii="Arial" w:cs="Arial" w:eastAsia="Arial" w:hAnsi="Arial"/>
          <w:sz w:val="20"/>
          <w:szCs w:val="20"/>
          <w:color w:val="auto"/>
        </w:rPr>
      </w:pPr>
    </w:p>
    <w:p>
      <w:pPr>
        <w:ind w:firstLine="648"/>
        <w:spacing w:after="0" w:line="260" w:lineRule="auto"/>
        <w:tabs>
          <w:tab w:leader="none" w:pos="1305"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Amendment shall become effective as of the date hereof upon satisfaction of each of the following conditions precedent:</w:t>
      </w:r>
    </w:p>
    <w:p>
      <w:pPr>
        <w:spacing w:after="0" w:line="177" w:lineRule="exact"/>
        <w:rPr>
          <w:sz w:val="20"/>
          <w:szCs w:val="20"/>
          <w:color w:val="auto"/>
        </w:rPr>
      </w:pPr>
    </w:p>
    <w:p>
      <w:pPr>
        <w:jc w:val="both"/>
        <w:ind w:left="640" w:firstLine="648"/>
        <w:spacing w:after="0" w:line="25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Amendment</w:t>
      </w:r>
      <w:r>
        <w:rPr>
          <w:rFonts w:ascii="Arial" w:cs="Arial" w:eastAsia="Arial" w:hAnsi="Arial"/>
          <w:sz w:val="20"/>
          <w:szCs w:val="20"/>
          <w:color w:val="auto"/>
        </w:rPr>
        <w:t>. Receipt by the Administrative Agent of executed counterparts of this Amendment properly executed by a Responsible Officer of the Borrower, the Guarantors, each Lender and the Administrative Agent.</w:t>
      </w:r>
    </w:p>
    <w:p>
      <w:pPr>
        <w:spacing w:after="0" w:line="186" w:lineRule="exact"/>
        <w:rPr>
          <w:sz w:val="20"/>
          <w:szCs w:val="20"/>
          <w:color w:val="auto"/>
        </w:rPr>
      </w:pPr>
    </w:p>
    <w:p>
      <w:pPr>
        <w:jc w:val="both"/>
        <w:ind w:left="640" w:firstLine="648"/>
        <w:spacing w:after="0" w:line="246"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Authorization</w:t>
      </w:r>
      <w:r>
        <w:rPr>
          <w:rFonts w:ascii="Arial" w:cs="Arial" w:eastAsia="Arial" w:hAnsi="Arial"/>
          <w:sz w:val="20"/>
          <w:szCs w:val="20"/>
          <w:color w:val="auto"/>
        </w:rPr>
        <w:t>. Receipt by the Administrative Agent of a certificate of each Loan Party signed by a Responsible Officer of such Loan Party certifying and attaching resolutions adopted by the board of directors (or equivalent governing body) of each Loan Party approving this Amendment and the transactions contemplated hereby, in form and substance satisfactory to the Administrative Agent.</w:t>
      </w:r>
    </w:p>
    <w:p>
      <w:pPr>
        <w:spacing w:after="0" w:line="192" w:lineRule="exact"/>
        <w:rPr>
          <w:sz w:val="20"/>
          <w:szCs w:val="20"/>
          <w:color w:val="auto"/>
        </w:rPr>
      </w:pPr>
    </w:p>
    <w:p>
      <w:pPr>
        <w:jc w:val="both"/>
        <w:ind w:left="640" w:firstLine="648"/>
        <w:spacing w:after="0" w:line="25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Loan Notice</w:t>
      </w:r>
      <w:r>
        <w:rPr>
          <w:rFonts w:ascii="Arial" w:cs="Arial" w:eastAsia="Arial" w:hAnsi="Arial"/>
          <w:sz w:val="20"/>
          <w:szCs w:val="20"/>
          <w:color w:val="auto"/>
        </w:rPr>
        <w:t>. Receipt by the Administrative Agent of a Loan Notice for Revolving Loans in an amount equal to the converted amount of the Term Loan in accordance with the requirements of Section 2.02(a) of the Credit Agreement.</w:t>
      </w:r>
    </w:p>
    <w:p>
      <w:pPr>
        <w:spacing w:after="0" w:line="186" w:lineRule="exact"/>
        <w:rPr>
          <w:sz w:val="20"/>
          <w:szCs w:val="20"/>
          <w:color w:val="auto"/>
        </w:rPr>
      </w:pPr>
    </w:p>
    <w:p>
      <w:pPr>
        <w:jc w:val="both"/>
        <w:ind w:firstLine="648"/>
        <w:spacing w:after="0" w:line="291" w:lineRule="auto"/>
        <w:tabs>
          <w:tab w:leader="none" w:pos="145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Amendment is a “Loan Document”</w:t>
      </w:r>
      <w:r>
        <w:rPr>
          <w:rFonts w:ascii="Arial" w:cs="Arial" w:eastAsia="Arial" w:hAnsi="Arial"/>
          <w:sz w:val="18"/>
          <w:szCs w:val="18"/>
          <w:color w:val="auto"/>
        </w:rPr>
        <w:t>. This Amendment is a Loan Document and all references to a “Loan Document” in the Credit Agreement and the other Loan Documents (including all such references in the representations and warranties in the Credit Agreement and the other Loan Documents) shall be deemed to include this Amendment.</w:t>
      </w:r>
    </w:p>
    <w:p>
      <w:pPr>
        <w:spacing w:after="0" w:line="165" w:lineRule="exact"/>
        <w:rPr>
          <w:rFonts w:ascii="Arial" w:cs="Arial" w:eastAsia="Arial" w:hAnsi="Arial"/>
          <w:sz w:val="18"/>
          <w:szCs w:val="18"/>
          <w:color w:val="auto"/>
        </w:rPr>
      </w:pPr>
    </w:p>
    <w:p>
      <w:pPr>
        <w:jc w:val="both"/>
        <w:ind w:firstLine="648"/>
        <w:spacing w:after="0" w:line="258" w:lineRule="auto"/>
        <w:tabs>
          <w:tab w:leader="none" w:pos="1359"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No Default</w:t>
      </w:r>
      <w:r>
        <w:rPr>
          <w:rFonts w:ascii="Arial" w:cs="Arial" w:eastAsia="Arial" w:hAnsi="Arial"/>
          <w:sz w:val="19"/>
          <w:szCs w:val="19"/>
          <w:color w:val="auto"/>
        </w:rPr>
        <w:t>. Each Loan Party represents and warrants to the Administrative Agent and each Lender that after giving effect to this Amendment (a) the representations and warranties of each Loan Party contained in Article VI of the Credit Agreement and in each other Loan Document are true and correct all material respects, except for any representation and warranty that is qualified by materiality or reference to Material Adverse Effect which such representation and warranty shall be true and correct in all respects, as of the date hereof, except to the extent that such representations and warranties specifically refer to an earlier date, in which case they shall be true and correct as of such earlier date and (b) no Default exists as of the date hereof.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44" w:name="page45"/>
    <w:bookmarkEnd w:id="44"/>
    <w:p>
      <w:pPr>
        <w:jc w:val="both"/>
        <w:ind w:firstLine="648"/>
        <w:spacing w:after="0" w:line="270" w:lineRule="auto"/>
        <w:tabs>
          <w:tab w:leader="none" w:pos="1562"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Reaffirmation of Obligations</w:t>
      </w:r>
      <w:r>
        <w:rPr>
          <w:rFonts w:ascii="Arial" w:cs="Arial" w:eastAsia="Arial" w:hAnsi="Arial"/>
          <w:sz w:val="19"/>
          <w:szCs w:val="19"/>
          <w:color w:val="auto"/>
        </w:rPr>
        <w:t>. Each Loan Party (a) acknowledges and consents to all of the terms and conditions of this Amendment, (b) affirms all of its obligations under the Loan Documents and (c) agrees that this Amendment does not operate to reduce or discharge such Loan Party’s obligations under the Loan Documents.</w:t>
      </w:r>
    </w:p>
    <w:p>
      <w:pPr>
        <w:spacing w:after="0" w:line="182" w:lineRule="exact"/>
        <w:rPr>
          <w:rFonts w:ascii="Arial" w:cs="Arial" w:eastAsia="Arial" w:hAnsi="Arial"/>
          <w:sz w:val="19"/>
          <w:szCs w:val="19"/>
          <w:color w:val="auto"/>
        </w:rPr>
      </w:pPr>
    </w:p>
    <w:p>
      <w:pPr>
        <w:jc w:val="both"/>
        <w:ind w:firstLine="648"/>
        <w:spacing w:after="0" w:line="250" w:lineRule="auto"/>
        <w:tabs>
          <w:tab w:leader="none" w:pos="1332"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Reaffirmation of Security Interests</w:t>
      </w:r>
      <w:r>
        <w:rPr>
          <w:rFonts w:ascii="Arial" w:cs="Arial" w:eastAsia="Arial" w:hAnsi="Arial"/>
          <w:sz w:val="20"/>
          <w:szCs w:val="20"/>
          <w:color w:val="auto"/>
        </w:rPr>
        <w:t>. Each Loan Party (a) affirms that each of the Liens granted in or pursuant to the Loan Documents are valid and subsisting and (b) agrees that this Amendment does not in any manner impair or otherwise adversely affect any of the Liens granted in or pursuant to the Loan Documents.</w:t>
      </w:r>
    </w:p>
    <w:p>
      <w:pPr>
        <w:spacing w:after="0" w:line="199" w:lineRule="exact"/>
        <w:rPr>
          <w:rFonts w:ascii="Arial" w:cs="Arial" w:eastAsia="Arial" w:hAnsi="Arial"/>
          <w:sz w:val="20"/>
          <w:szCs w:val="20"/>
          <w:color w:val="auto"/>
        </w:rPr>
      </w:pPr>
    </w:p>
    <w:p>
      <w:pPr>
        <w:ind w:firstLine="648"/>
        <w:spacing w:after="0" w:line="260" w:lineRule="auto"/>
        <w:tabs>
          <w:tab w:leader="none" w:pos="1346"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No Other Changes</w:t>
      </w:r>
      <w:r>
        <w:rPr>
          <w:rFonts w:ascii="Arial" w:cs="Arial" w:eastAsia="Arial" w:hAnsi="Arial"/>
          <w:sz w:val="20"/>
          <w:szCs w:val="20"/>
          <w:color w:val="auto"/>
        </w:rPr>
        <w:t>. Except as modified hereby, all of the terms and provisions of the Loan Documents shall remain in full force and effect.</w:t>
      </w:r>
    </w:p>
    <w:p>
      <w:pPr>
        <w:spacing w:after="0" w:line="190" w:lineRule="exact"/>
        <w:rPr>
          <w:rFonts w:ascii="Arial" w:cs="Arial" w:eastAsia="Arial" w:hAnsi="Arial"/>
          <w:sz w:val="20"/>
          <w:szCs w:val="20"/>
          <w:color w:val="auto"/>
        </w:rPr>
      </w:pPr>
    </w:p>
    <w:p>
      <w:pPr>
        <w:jc w:val="both"/>
        <w:ind w:firstLine="648"/>
        <w:spacing w:after="0" w:line="263" w:lineRule="auto"/>
        <w:tabs>
          <w:tab w:leader="none" w:pos="1325"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Counterparts; Delivery</w:t>
      </w:r>
      <w:r>
        <w:rPr>
          <w:rFonts w:ascii="Arial" w:cs="Arial" w:eastAsia="Arial" w:hAnsi="Arial"/>
          <w:sz w:val="19"/>
          <w:szCs w:val="19"/>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this Amendment by fax transmission or e-mail transmission (e.g., “pdf” or “tif”) shall be effective as delivery of a manually executed counterpart of this Amendment.</w:t>
      </w:r>
    </w:p>
    <w:p>
      <w:pPr>
        <w:spacing w:after="0" w:line="190" w:lineRule="exact"/>
        <w:rPr>
          <w:rFonts w:ascii="Arial" w:cs="Arial" w:eastAsia="Arial" w:hAnsi="Arial"/>
          <w:sz w:val="19"/>
          <w:szCs w:val="19"/>
          <w:color w:val="auto"/>
        </w:rPr>
      </w:pPr>
    </w:p>
    <w:p>
      <w:pPr>
        <w:ind w:firstLine="648"/>
        <w:spacing w:after="0" w:line="260" w:lineRule="auto"/>
        <w:tabs>
          <w:tab w:leader="none" w:pos="1319"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deemed to be a contract made under, and for all purposes shall be construed in accordance with, the laws of the State of New York.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5" w:name="page46"/>
    <w:bookmarkEnd w:id="45"/>
    <w:p>
      <w:pPr>
        <w:ind w:right="180" w:firstLine="648"/>
        <w:spacing w:after="0" w:line="262" w:lineRule="auto"/>
        <w:rPr>
          <w:sz w:val="20"/>
          <w:szCs w:val="20"/>
          <w:color w:val="auto"/>
        </w:rPr>
      </w:pPr>
      <w:r>
        <w:rPr>
          <w:rFonts w:ascii="Arial" w:cs="Arial" w:eastAsia="Arial" w:hAnsi="Arial"/>
          <w:sz w:val="20"/>
          <w:szCs w:val="20"/>
          <w:color w:val="auto"/>
        </w:rPr>
        <w:t>IN WITNESS WHEREOF, each of the parties hereto has caused a counterpart of this Second Amendment to be duly executed and delivered as of the date first above written.</w:t>
      </w:r>
    </w:p>
    <w:p>
      <w:pPr>
        <w:spacing w:after="0" w:line="188" w:lineRule="exact"/>
        <w:rPr>
          <w:sz w:val="20"/>
          <w:szCs w:val="20"/>
          <w:color w:val="auto"/>
        </w:rPr>
      </w:pPr>
    </w:p>
    <w:p>
      <w:pPr>
        <w:spacing w:after="0"/>
        <w:tabs>
          <w:tab w:leader="none" w:pos="1900" w:val="left"/>
        </w:tabs>
        <w:rPr>
          <w:sz w:val="20"/>
          <w:szCs w:val="20"/>
          <w:color w:val="auto"/>
        </w:rPr>
      </w:pPr>
      <w:r>
        <w:rPr>
          <w:rFonts w:ascii="Arial" w:cs="Arial" w:eastAsia="Arial" w:hAnsi="Arial"/>
          <w:sz w:val="20"/>
          <w:szCs w:val="20"/>
          <w:color w:val="auto"/>
        </w:rPr>
        <w:t>BORROWER:</w:t>
      </w:r>
      <w:r>
        <w:rPr>
          <w:sz w:val="20"/>
          <w:szCs w:val="20"/>
          <w:color w:val="auto"/>
        </w:rPr>
        <w:tab/>
      </w:r>
      <w:r>
        <w:rPr>
          <w:rFonts w:ascii="Arial" w:cs="Arial" w:eastAsia="Arial" w:hAnsi="Arial"/>
          <w:sz w:val="20"/>
          <w:szCs w:val="20"/>
          <w:color w:val="auto"/>
        </w:rPr>
        <w:t>GRAND CANYON EDUCATION, INC., a Delaware corporation</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By: /s/ Daniel E. Bachus</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Name: Daniel E. Bachus</w:t>
      </w:r>
    </w:p>
    <w:p>
      <w:pPr>
        <w:ind w:left="1940"/>
        <w:spacing w:after="0"/>
        <w:rPr>
          <w:sz w:val="20"/>
          <w:szCs w:val="20"/>
          <w:color w:val="auto"/>
        </w:rPr>
      </w:pPr>
      <w:r>
        <w:rPr>
          <w:rFonts w:ascii="Arial" w:cs="Arial" w:eastAsia="Arial" w:hAnsi="Arial"/>
          <w:sz w:val="20"/>
          <w:szCs w:val="20"/>
          <w:color w:val="auto"/>
        </w:rPr>
        <w:t>Title: Chief Financial Officer</w:t>
      </w:r>
    </w:p>
    <w:p>
      <w:pPr>
        <w:spacing w:after="0" w:line="213" w:lineRule="exact"/>
        <w:rPr>
          <w:sz w:val="20"/>
          <w:szCs w:val="20"/>
          <w:color w:val="auto"/>
        </w:rPr>
      </w:pPr>
    </w:p>
    <w:p>
      <w:pPr>
        <w:spacing w:after="0"/>
        <w:tabs>
          <w:tab w:leader="none" w:pos="1860" w:val="left"/>
        </w:tabs>
        <w:rPr>
          <w:sz w:val="20"/>
          <w:szCs w:val="20"/>
          <w:color w:val="auto"/>
        </w:rPr>
      </w:pPr>
      <w:r>
        <w:rPr>
          <w:rFonts w:ascii="Arial" w:cs="Arial" w:eastAsia="Arial" w:hAnsi="Arial"/>
          <w:sz w:val="20"/>
          <w:szCs w:val="20"/>
          <w:color w:val="auto"/>
        </w:rPr>
        <w:t>GUARANTOR:</w:t>
      </w:r>
      <w:r>
        <w:rPr>
          <w:sz w:val="20"/>
          <w:szCs w:val="20"/>
          <w:color w:val="auto"/>
        </w:rPr>
        <w:tab/>
      </w:r>
      <w:r>
        <w:rPr>
          <w:rFonts w:ascii="Arial" w:cs="Arial" w:eastAsia="Arial" w:hAnsi="Arial"/>
          <w:sz w:val="20"/>
          <w:szCs w:val="20"/>
          <w:color w:val="auto"/>
        </w:rPr>
        <w:t>ORBIS EDUCATION SERVICES, LLC, a Delaware limited liability company</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By: /s/ Daniel E. Bachus</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Name: Daniel E. Bachus</w:t>
      </w:r>
    </w:p>
    <w:p>
      <w:pPr>
        <w:ind w:left="1940"/>
        <w:spacing w:after="0"/>
        <w:rPr>
          <w:sz w:val="20"/>
          <w:szCs w:val="20"/>
          <w:color w:val="auto"/>
        </w:rPr>
      </w:pPr>
      <w:r>
        <w:rPr>
          <w:rFonts w:ascii="Arial" w:cs="Arial" w:eastAsia="Arial" w:hAnsi="Arial"/>
          <w:sz w:val="20"/>
          <w:szCs w:val="20"/>
          <w:color w:val="auto"/>
        </w:rPr>
        <w:t>Title: Secretary and Treasurer</w:t>
      </w:r>
    </w:p>
    <w:p>
      <w:pPr>
        <w:spacing w:after="0" w:line="21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[SIGNATURE PAGES CONTINUE]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CREDIT AGREEMENT</w:t>
      </w:r>
    </w:p>
    <w:p>
      <w:pPr>
        <w:jc w:val="right"/>
        <w:spacing w:after="0"/>
        <w:rPr>
          <w:sz w:val="20"/>
          <w:szCs w:val="20"/>
          <w:color w:val="auto"/>
        </w:rPr>
      </w:pPr>
      <w:r>
        <w:rPr>
          <w:rFonts w:ascii="Arial" w:cs="Arial" w:eastAsia="Arial" w:hAnsi="Arial"/>
          <w:sz w:val="14"/>
          <w:szCs w:val="14"/>
          <w:color w:val="auto"/>
        </w:rPr>
        <w:t>GRAND CANYON EDUCATION,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46" w:name="page47"/>
    <w:bookmarkEnd w:id="46"/>
    <w:p>
      <w:pPr>
        <w:spacing w:after="0" w:line="260" w:lineRule="auto"/>
        <w:rPr>
          <w:sz w:val="20"/>
          <w:szCs w:val="20"/>
          <w:color w:val="auto"/>
        </w:rPr>
      </w:pPr>
      <w:r>
        <w:rPr>
          <w:rFonts w:ascii="Arial" w:cs="Arial" w:eastAsia="Arial" w:hAnsi="Arial"/>
          <w:sz w:val="20"/>
          <w:szCs w:val="20"/>
          <w:color w:val="auto"/>
        </w:rPr>
        <w:t>ADMINISTRATIVE AGENT: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BANK OF AMERICA, N.A., as Administrative Agent</w:t>
      </w:r>
    </w:p>
    <w:p>
      <w:pPr>
        <w:spacing w:after="0" w:line="240" w:lineRule="exact"/>
        <w:rPr>
          <w:sz w:val="20"/>
          <w:szCs w:val="20"/>
          <w:color w:val="auto"/>
        </w:rPr>
      </w:pPr>
    </w:p>
    <w:p>
      <w:pPr>
        <w:sectPr>
          <w:pgSz w:w="11900" w:h="16838" w:orient="portrait"/>
          <w:cols w:equalWidth="0" w:num="2">
            <w:col w:w="1680" w:space="220"/>
            <w:col w:w="8160"/>
          </w:cols>
          <w:pgMar w:left="920" w:top="352" w:right="919" w:bottom="1440" w:gutter="0" w:footer="0" w:header="0"/>
        </w:sectPr>
      </w:pPr>
    </w:p>
    <w:p>
      <w:pPr>
        <w:ind w:left="1940"/>
        <w:spacing w:after="0"/>
        <w:rPr>
          <w:sz w:val="20"/>
          <w:szCs w:val="20"/>
          <w:color w:val="auto"/>
        </w:rPr>
      </w:pPr>
      <w:r>
        <w:rPr>
          <w:rFonts w:ascii="Arial" w:cs="Arial" w:eastAsia="Arial" w:hAnsi="Arial"/>
          <w:sz w:val="20"/>
          <w:szCs w:val="20"/>
          <w:color w:val="auto"/>
        </w:rPr>
        <w:t>By: /s/ Linda Lov</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Name: Linda Lov</w:t>
      </w:r>
    </w:p>
    <w:p>
      <w:pPr>
        <w:ind w:left="1940"/>
        <w:spacing w:after="0"/>
        <w:rPr>
          <w:sz w:val="20"/>
          <w:szCs w:val="20"/>
          <w:color w:val="auto"/>
        </w:rPr>
      </w:pPr>
      <w:r>
        <w:rPr>
          <w:rFonts w:ascii="Arial" w:cs="Arial" w:eastAsia="Arial" w:hAnsi="Arial"/>
          <w:sz w:val="18"/>
          <w:szCs w:val="18"/>
          <w:color w:val="auto"/>
        </w:rPr>
        <w:t>Title: Assistant Vice President</w:t>
      </w:r>
    </w:p>
    <w:p>
      <w:pPr>
        <w:sectPr>
          <w:pgSz w:w="11900" w:h="16838" w:orient="portrait"/>
          <w:cols w:equalWidth="0" w:num="1">
            <w:col w:w="10060"/>
          </w:cols>
          <w:pgMar w:left="920" w:top="352" w:right="919" w:bottom="1440" w:gutter="0" w:footer="0" w:header="0"/>
          <w:type w:val="continuous"/>
        </w:sect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 Lender, L/C Issuer and Swing Line Lender</w:t>
      </w:r>
    </w:p>
    <w:p>
      <w:pPr>
        <w:spacing w:after="0" w:line="200" w:lineRule="exact"/>
        <w:rPr>
          <w:sz w:val="20"/>
          <w:szCs w:val="20"/>
          <w:color w:val="auto"/>
        </w:rPr>
      </w:pPr>
    </w:p>
    <w:p>
      <w:pPr>
        <w:sectPr>
          <w:pgSz w:w="11900" w:h="16838" w:orient="portrait"/>
          <w:cols w:equalWidth="0" w:num="2">
            <w:col w:w="1220" w:space="720"/>
            <w:col w:w="8120"/>
          </w:cols>
          <w:pgMar w:left="920" w:top="352" w:right="919" w:bottom="1440" w:gutter="0" w:footer="0" w:header="0"/>
          <w:type w:val="continuous"/>
        </w:sectPr>
      </w:pPr>
    </w:p>
    <w:p>
      <w:pPr>
        <w:spacing w:after="0" w:line="52"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By: /s/ Alain Pelanne</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Name: Alain Pelanne</w:t>
      </w:r>
    </w:p>
    <w:p>
      <w:pPr>
        <w:ind w:left="194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WELLS FARGO BANK, NATIONAL ASSOCIATION</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By: /s/ Douglas Jorgensen</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Name: Douglas Jorgensen</w:t>
      </w:r>
    </w:p>
    <w:p>
      <w:pPr>
        <w:ind w:left="194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BOKF, NA d/b/a BANK OF ARIZONA</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By: /s/ Christine A. Nowaczyk</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Name: Christine A. Nowaczyk</w:t>
      </w:r>
    </w:p>
    <w:p>
      <w:pPr>
        <w:ind w:left="194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ZIONS BANCORPORATION, N.A. d/b/a National Bank of Arizona</w:t>
      </w:r>
    </w:p>
    <w:p>
      <w:pPr>
        <w:spacing w:after="0" w:line="252"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By: /s/ Sabina Aaronson</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Name: Sabina Aaronson</w:t>
      </w:r>
    </w:p>
    <w:p>
      <w:pPr>
        <w:ind w:left="194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UMB BANK, N.A.</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By: /s/ Vincent P. Burke</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Name: Vincent P. Burke</w:t>
      </w:r>
    </w:p>
    <w:p>
      <w:pPr>
        <w:ind w:left="1940"/>
        <w:spacing w:after="0"/>
        <w:rPr>
          <w:sz w:val="20"/>
          <w:szCs w:val="20"/>
          <w:color w:val="auto"/>
        </w:rPr>
      </w:pPr>
      <w:r>
        <w:rPr>
          <w:rFonts w:ascii="Arial" w:cs="Arial" w:eastAsia="Arial" w:hAnsi="Arial"/>
          <w:sz w:val="20"/>
          <w:szCs w:val="20"/>
          <w:color w:val="auto"/>
        </w:rPr>
        <w:t>Title: Sr. Vice President</w:t>
      </w:r>
    </w:p>
    <w:p>
      <w:pPr>
        <w:spacing w:after="0" w:line="21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BANK OF THE WEST</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By: /s/ David Scott</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Name: David Scott</w:t>
      </w:r>
    </w:p>
    <w:p>
      <w:pPr>
        <w:ind w:left="194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060"/>
          </w:cols>
          <w:pgMar w:left="920" w:top="352"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SECOND AMENDMENT TO CREDIT AGREEMENT</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GRAND CANYON EDUCATION,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20"/>
          <w:szCs w:val="20"/>
          <w:color w:val="auto"/>
        </w:rPr>
        <w:t>EXHIBIT 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Revolving Commitment after giving effect to Second Amendment to Credit Agreement</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380" w:type="dxa"/>
            <w:vAlign w:val="bottom"/>
            <w:tcBorders>
              <w:top w:val="single" w:sz="8" w:color="auto"/>
              <w:left w:val="single" w:sz="8" w:color="auto"/>
              <w:bottom w:val="single" w:sz="8" w:color="auto"/>
              <w:right w:val="single" w:sz="8" w:color="auto"/>
            </w:tcBorders>
          </w:tcPr>
          <w:p>
            <w:pPr>
              <w:ind w:left="2400"/>
              <w:spacing w:after="0"/>
              <w:rPr>
                <w:sz w:val="20"/>
                <w:szCs w:val="20"/>
                <w:color w:val="auto"/>
              </w:rPr>
            </w:pPr>
            <w:r>
              <w:rPr>
                <w:rFonts w:ascii="Arial" w:cs="Arial" w:eastAsia="Arial" w:hAnsi="Arial"/>
                <w:sz w:val="20"/>
                <w:szCs w:val="20"/>
                <w:color w:val="auto"/>
              </w:rPr>
              <w:t>Lender</w:t>
            </w:r>
          </w:p>
        </w:tc>
        <w:tc>
          <w:tcPr>
            <w:tcW w:w="470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20"/>
                <w:szCs w:val="20"/>
                <w:color w:val="auto"/>
              </w:rPr>
              <w:t>Revolving Commitment</w:t>
            </w:r>
          </w:p>
        </w:tc>
      </w:tr>
      <w:tr>
        <w:trPr>
          <w:trHeight w:val="223"/>
        </w:trPr>
        <w:tc>
          <w:tcPr>
            <w:tcW w:w="53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Bank of America, N.A.</w:t>
            </w:r>
          </w:p>
        </w:tc>
        <w:tc>
          <w:tcPr>
            <w:tcW w:w="47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$34,615,384.61</w:t>
            </w:r>
          </w:p>
        </w:tc>
      </w:tr>
      <w:tr>
        <w:trPr>
          <w:trHeight w:val="223"/>
        </w:trPr>
        <w:tc>
          <w:tcPr>
            <w:tcW w:w="53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Wells Fargo Bank, National Association</w:t>
            </w:r>
          </w:p>
        </w:tc>
        <w:tc>
          <w:tcPr>
            <w:tcW w:w="47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$34,615,384.61</w:t>
            </w:r>
          </w:p>
        </w:tc>
      </w:tr>
      <w:tr>
        <w:trPr>
          <w:trHeight w:val="223"/>
        </w:trPr>
        <w:tc>
          <w:tcPr>
            <w:tcW w:w="53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BOKF, N.A.</w:t>
            </w:r>
          </w:p>
        </w:tc>
        <w:tc>
          <w:tcPr>
            <w:tcW w:w="47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$23,076,923.08</w:t>
            </w:r>
          </w:p>
        </w:tc>
      </w:tr>
      <w:tr>
        <w:trPr>
          <w:trHeight w:val="223"/>
        </w:trPr>
        <w:tc>
          <w:tcPr>
            <w:tcW w:w="53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Zions Bankcorporation, N.A.</w:t>
            </w:r>
          </w:p>
        </w:tc>
        <w:tc>
          <w:tcPr>
            <w:tcW w:w="47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$23,076,923.08</w:t>
            </w:r>
          </w:p>
        </w:tc>
      </w:tr>
      <w:tr>
        <w:trPr>
          <w:trHeight w:val="223"/>
        </w:trPr>
        <w:tc>
          <w:tcPr>
            <w:tcW w:w="53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UMB Bank, N.A.</w:t>
            </w:r>
          </w:p>
        </w:tc>
        <w:tc>
          <w:tcPr>
            <w:tcW w:w="47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$23,076,923.08</w:t>
            </w:r>
          </w:p>
        </w:tc>
      </w:tr>
      <w:tr>
        <w:trPr>
          <w:trHeight w:val="223"/>
        </w:trPr>
        <w:tc>
          <w:tcPr>
            <w:tcW w:w="53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Bank of the West</w:t>
            </w:r>
          </w:p>
        </w:tc>
        <w:tc>
          <w:tcPr>
            <w:tcW w:w="47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$11,538,461.54</w:t>
            </w:r>
          </w:p>
        </w:tc>
      </w:tr>
      <w:tr>
        <w:trPr>
          <w:trHeight w:val="223"/>
        </w:trPr>
        <w:tc>
          <w:tcPr>
            <w:tcW w:w="53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b w:val="1"/>
                <w:bCs w:val="1"/>
                <w:color w:val="auto"/>
              </w:rPr>
              <w:t>Total:</w:t>
            </w:r>
          </w:p>
        </w:tc>
        <w:tc>
          <w:tcPr>
            <w:tcW w:w="47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$150,000,000.00</w:t>
            </w:r>
          </w:p>
        </w:tc>
      </w:tr>
      <w:tr>
        <w:trPr>
          <w:trHeight w:val="1432"/>
        </w:trPr>
        <w:tc>
          <w:tcPr>
            <w:tcW w:w="53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2" w:right="9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00" w:hanging="177"/>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September 30, 2019 of Grand Canyon Education, Inc.;</w:t>
      </w:r>
    </w:p>
    <w:p>
      <w:pPr>
        <w:spacing w:after="0" w:line="248" w:lineRule="exact"/>
        <w:rPr>
          <w:rFonts w:ascii="Arial" w:cs="Arial" w:eastAsia="Arial" w:hAnsi="Arial"/>
          <w:sz w:val="16"/>
          <w:szCs w:val="16"/>
          <w:color w:val="auto"/>
        </w:rPr>
      </w:pPr>
    </w:p>
    <w:p>
      <w:pPr>
        <w:ind w:right="80" w:firstLine="323"/>
        <w:spacing w:after="0" w:line="264"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40" w:firstLine="323"/>
        <w:spacing w:after="0" w:line="264"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right="120" w:firstLine="323"/>
        <w:spacing w:after="0" w:line="264"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40" w:firstLine="518"/>
        <w:spacing w:after="0" w:line="286" w:lineRule="auto"/>
        <w:tabs>
          <w:tab w:leader="none" w:pos="703"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280" w:firstLine="518"/>
        <w:spacing w:after="0" w:line="264" w:lineRule="auto"/>
        <w:tabs>
          <w:tab w:leader="none" w:pos="71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518"/>
        <w:spacing w:after="0" w:line="264" w:lineRule="auto"/>
        <w:tabs>
          <w:tab w:leader="none" w:pos="703"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right="20" w:firstLine="518"/>
        <w:spacing w:after="0" w:line="264" w:lineRule="auto"/>
        <w:tabs>
          <w:tab w:leader="none" w:pos="71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80" w:firstLine="323"/>
        <w:spacing w:after="0" w:line="264" w:lineRule="auto"/>
        <w:tabs>
          <w:tab w:leader="none" w:pos="5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right="140" w:firstLine="518"/>
        <w:spacing w:after="0" w:line="342" w:lineRule="auto"/>
        <w:tabs>
          <w:tab w:leader="none" w:pos="7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140" w:firstLine="518"/>
        <w:spacing w:after="0" w:line="277" w:lineRule="auto"/>
        <w:tabs>
          <w:tab w:leader="none" w:pos="71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Date: November 6, 2019</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14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1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1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7"/>
        </w:trPr>
        <w:tc>
          <w:tcPr>
            <w:tcW w:w="51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00" w:hanging="177"/>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September 30, 2019 of Grand Canyon Education, Inc.;</w:t>
      </w:r>
    </w:p>
    <w:p>
      <w:pPr>
        <w:spacing w:after="0" w:line="248" w:lineRule="exact"/>
        <w:rPr>
          <w:rFonts w:ascii="Arial" w:cs="Arial" w:eastAsia="Arial" w:hAnsi="Arial"/>
          <w:sz w:val="16"/>
          <w:szCs w:val="16"/>
          <w:color w:val="auto"/>
        </w:rPr>
      </w:pPr>
    </w:p>
    <w:p>
      <w:pPr>
        <w:ind w:right="80" w:firstLine="323"/>
        <w:spacing w:after="0" w:line="264"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40" w:firstLine="323"/>
        <w:spacing w:after="0" w:line="264"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right="120" w:firstLine="323"/>
        <w:spacing w:after="0" w:line="264"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40" w:firstLine="518"/>
        <w:spacing w:after="0" w:line="286" w:lineRule="auto"/>
        <w:tabs>
          <w:tab w:leader="none" w:pos="70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280" w:firstLine="518"/>
        <w:spacing w:after="0" w:line="264" w:lineRule="auto"/>
        <w:tabs>
          <w:tab w:leader="none" w:pos="7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518"/>
        <w:spacing w:after="0" w:line="264" w:lineRule="auto"/>
        <w:tabs>
          <w:tab w:leader="none" w:pos="703"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right="20" w:firstLine="518"/>
        <w:spacing w:after="0" w:line="264" w:lineRule="auto"/>
        <w:tabs>
          <w:tab w:leader="none" w:pos="7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80" w:firstLine="323"/>
        <w:spacing w:after="0" w:line="264" w:lineRule="auto"/>
        <w:tabs>
          <w:tab w:leader="none" w:pos="5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right="140" w:firstLine="518"/>
        <w:spacing w:after="0" w:line="342" w:lineRule="auto"/>
        <w:tabs>
          <w:tab w:leader="none" w:pos="703"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140" w:firstLine="518"/>
        <w:spacing w:after="0" w:line="277" w:lineRule="auto"/>
        <w:tabs>
          <w:tab w:leader="none" w:pos="7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Date: November 6, 2019</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14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1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1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7"/>
        </w:trPr>
        <w:tc>
          <w:tcPr>
            <w:tcW w:w="51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1" w:right="10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September 30, 2019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21" w:right="260" w:hanging="321"/>
        <w:spacing w:after="0" w:line="277" w:lineRule="auto"/>
        <w:tabs>
          <w:tab w:leader="none" w:pos="3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21" w:right="20" w:hanging="321"/>
        <w:spacing w:after="0" w:line="277" w:lineRule="auto"/>
        <w:tabs>
          <w:tab w:leader="none" w:pos="3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6, 2019</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/s/ Brian E. Mueller</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388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1" w:right="16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September 30, 2019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21" w:right="260" w:hanging="321"/>
        <w:spacing w:after="0" w:line="277" w:lineRule="auto"/>
        <w:tabs>
          <w:tab w:leader="none" w:pos="3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21" w:right="20" w:hanging="321"/>
        <w:spacing w:after="0" w:line="277" w:lineRule="auto"/>
        <w:tabs>
          <w:tab w:leader="none" w:pos="3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6, 2019</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/s/ Daniel E. Bachus</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388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1"/>
      </w:cols>
      <w:pgMar w:left="919"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01"/>
    </w:lvl>
  </w:abstractNum>
  <w:abstractNum w:abstractNumId="9">
    <w:nsid w:val="25E45D32"/>
    <w:multiLevelType w:val="hybridMultilevel"/>
    <w:lvl w:ilvl="0">
      <w:lvlJc w:val="left"/>
      <w:lvlText w:val="(%1)"/>
      <w:numFmt w:val="lowerRoman"/>
      <w:start w:val="4"/>
    </w:lvl>
  </w:abstractNum>
  <w:abstractNum w:abstractNumId="10">
    <w:nsid w:val="519B500D"/>
    <w:multiLevelType w:val="hybridMultilevel"/>
    <w:lvl w:ilvl="0">
      <w:lvlJc w:val="left"/>
      <w:lvlText w:val="%1"/>
      <w:numFmt w:val="decimal"/>
      <w:start w:val="104"/>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3"/>
    </w:lvl>
  </w:abstractNum>
  <w:abstractNum w:abstractNumId="14">
    <w:nsid w:val="257130A3"/>
    <w:multiLevelType w:val="hybridMultilevel"/>
    <w:lvl w:ilvl="0">
      <w:lvlJc w:val="left"/>
      <w:lvlText w:val="(%1)"/>
      <w:numFmt w:val="lowerRoman"/>
      <w:start w:val="1"/>
    </w:lvl>
  </w:abstractNum>
  <w:abstractNum w:abstractNumId="15">
    <w:nsid w:val="62BBD95A"/>
    <w:multiLevelType w:val="hybridMultilevel"/>
    <w:lvl w:ilvl="0">
      <w:lvlJc w:val="left"/>
      <w:lvlText w:val="(%1)"/>
      <w:numFmt w:val="lowerRoman"/>
      <w:start w:val="2"/>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4"/>
    </w:lvl>
    <w:lvl w:ilvl="1">
      <w:lvlJc w:val="left"/>
      <w:lvlText w:val="%2."/>
      <w:numFmt w:val="decimal"/>
      <w:start w:val="16"/>
    </w:lvl>
  </w:abstractNum>
  <w:abstractNum w:abstractNumId="18">
    <w:nsid w:val="333AB105"/>
    <w:multiLevelType w:val="hybridMultilevel"/>
    <w:lvl w:ilvl="0">
      <w:lvlJc w:val="left"/>
      <w:lvlText w:val="%1."/>
      <w:numFmt w:val="decimal"/>
      <w:start w:val="6"/>
    </w:lvl>
  </w:abstractNum>
  <w:abstractNum w:abstractNumId="19">
    <w:nsid w:val="721DA317"/>
    <w:multiLevelType w:val="hybridMultilevel"/>
    <w:lvl w:ilvl="0">
      <w:lvlJc w:val="left"/>
      <w:lvlText w:val="%1."/>
      <w:numFmt w:val="decimal"/>
      <w:start w:val="8"/>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57" Type="http://schemas.openxmlformats.org/officeDocument/2006/relationships/hyperlink" Target="http://www.sec.gov/Archives/edgar/data/1434588/000155837019000782/lope-20181231ex31395dfc9.htm" TargetMode="External"/><Relationship Id="rId58" Type="http://schemas.openxmlformats.org/officeDocument/2006/relationships/hyperlink" Target="http://www.sec.gov/Archives/edgar/data/1434588/000119312514387149/d812440dex31.htm" TargetMode="External"/><Relationship Id="rId59"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2019-12-28T02:30:22Z</dcterms:created>
  <dcterms:modified xsi:type="dcterms:W3CDTF">2019-12-28T02:30:22Z</dcterms:modified>
</cp:coreProperties>
</file>