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09/06/2012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09/06/2012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35,000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22.27</w:t>
            </w:r>
            <w:r>
              <w:rPr>
                <w:rFonts w:ascii="Arial" w:cs="Arial" w:eastAsia="Arial" w:hAnsi="Arial"/>
                <w:sz w:val="22"/>
                <w:szCs w:val="22"/>
                <w:color w:val="008000"/>
                <w:w w:val="93"/>
                <w:vertAlign w:val="superscript"/>
              </w:rPr>
              <w:t>(2)</w:t>
            </w:r>
          </w:p>
        </w:tc>
        <w:tc>
          <w:tcPr>
            <w:tcW w:w="1220" w:type="dxa"/>
            <w:vAlign w:val="bottom"/>
            <w:gridSpan w:val="2"/>
          </w:tcPr>
          <w:p>
            <w:pPr>
              <w:jc w:val="center"/>
              <w:ind w:right="199"/>
              <w:spacing w:after="0" w:line="217" w:lineRule="exact"/>
              <w:rPr>
                <w:sz w:val="20"/>
                <w:szCs w:val="20"/>
                <w:color w:val="auto"/>
              </w:rPr>
            </w:pPr>
            <w:r>
              <w:rPr>
                <w:rFonts w:ascii="Arial" w:cs="Arial" w:eastAsia="Arial" w:hAnsi="Arial"/>
                <w:sz w:val="18"/>
                <w:szCs w:val="18"/>
                <w:color w:val="0000FF"/>
              </w:rPr>
              <w:t>626,504</w:t>
            </w:r>
            <w:r>
              <w:rPr>
                <w:rFonts w:ascii="Arial" w:cs="Arial" w:eastAsia="Arial" w:hAnsi="Arial"/>
                <w:sz w:val="22"/>
                <w:szCs w:val="22"/>
                <w:color w:val="008000"/>
                <w:vertAlign w:val="superscript"/>
              </w:rPr>
              <w:t>(3)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09/07/2012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22.65</w:t>
            </w:r>
            <w:r>
              <w:rPr>
                <w:rFonts w:ascii="Arial" w:cs="Arial" w:eastAsia="Arial" w:hAnsi="Arial"/>
                <w:sz w:val="22"/>
                <w:szCs w:val="22"/>
                <w:color w:val="008000"/>
                <w:w w:val="93"/>
                <w:vertAlign w:val="superscript"/>
              </w:rPr>
              <w:t>(4)</w:t>
            </w:r>
          </w:p>
        </w:tc>
        <w:tc>
          <w:tcPr>
            <w:tcW w:w="1220" w:type="dxa"/>
            <w:vAlign w:val="bottom"/>
            <w:gridSpan w:val="2"/>
          </w:tcPr>
          <w:p>
            <w:pPr>
              <w:jc w:val="right"/>
              <w:ind w:right="299"/>
              <w:spacing w:after="0"/>
              <w:rPr>
                <w:sz w:val="20"/>
                <w:szCs w:val="20"/>
                <w:color w:val="auto"/>
              </w:rPr>
            </w:pPr>
            <w:r>
              <w:rPr>
                <w:rFonts w:ascii="Arial" w:cs="Arial" w:eastAsia="Arial" w:hAnsi="Arial"/>
                <w:sz w:val="18"/>
                <w:szCs w:val="18"/>
                <w:color w:val="0000FF"/>
              </w:rPr>
              <w:t>591,504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 On September 7, 2012, the reporting person sold all shares authorized under the 10b5-1 plan resulting in its termination.</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$21.85 to $22.30,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(4) to this Form 4.</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 Form 4 filed on November 3, 2011 contained an administrative error that underreported the shares beneficially owned by the reporting person by 75,000 shares. Therefore, the amount reported on this Form 4 has been corrected to accurately reflect the correct amount of shares beneficially owned by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$22.25 to $22.74,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09/10/2012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Daniel E. Bachus, Brian M. Roberts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September 5, 2012.</w:t>
      </w:r>
    </w:p>
    <w:p>
      <w:pPr>
        <w:spacing w:after="0" w:line="203" w:lineRule="exact"/>
        <w:rPr>
          <w:sz w:val="20"/>
          <w:szCs w:val="20"/>
          <w:color w:val="auto"/>
        </w:rPr>
      </w:pPr>
    </w:p>
    <w:p>
      <w:pPr>
        <w:jc w:val="right"/>
        <w:ind w:right="199"/>
        <w:spacing w:after="0"/>
        <w:rPr>
          <w:sz w:val="20"/>
          <w:szCs w:val="20"/>
          <w:color w:val="auto"/>
        </w:rPr>
      </w:pPr>
      <w:r>
        <w:rPr>
          <w:rFonts w:ascii="Courier New" w:cs="Courier New" w:eastAsia="Courier New" w:hAnsi="Courier New"/>
          <w:sz w:val="18"/>
          <w:szCs w:val="18"/>
          <w:color w:val="auto"/>
        </w:rPr>
        <w:t>Signature: /s/ Brent Richardson</w:t>
      </w:r>
    </w:p>
    <w:p>
      <w:pPr>
        <w:ind w:left="860"/>
        <w:spacing w:after="0" w:line="238" w:lineRule="auto"/>
        <w:rPr>
          <w:sz w:val="20"/>
          <w:szCs w:val="20"/>
          <w:color w:val="auto"/>
        </w:rPr>
      </w:pPr>
      <w:r>
        <w:rPr>
          <w:rFonts w:ascii="Courier New" w:cs="Courier New" w:eastAsia="Courier New" w:hAnsi="Courier New"/>
          <w:sz w:val="18"/>
          <w:szCs w:val="18"/>
          <w:color w:val="auto"/>
        </w:rPr>
        <w:t>Print Name: Brent Richardson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2019-12-18T03:06:11Z</dcterms:created>
  <dcterms:modified xsi:type="dcterms:W3CDTF">2019-12-18T03:06:11Z</dcterms:modified>
</cp:coreProperties>
</file>