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 filed with the Securities and Exchange Commission on December 5, 2008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No. 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w:t>
      </w: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1240" w:type="dxa"/>
        <w:tblCellMar>
          <w:top w:w="0" w:type="dxa"/>
          <w:left w:w="0" w:type="dxa"/>
          <w:bottom w:w="0" w:type="dxa"/>
          <w:right w:w="0" w:type="dxa"/>
        </w:tblCellMar>
      </w:tblPr>
      <w:tr>
        <w:trPr>
          <w:trHeight w:val="220"/>
        </w:trPr>
        <w:tc>
          <w:tcPr>
            <w:tcW w:w="4560" w:type="dxa"/>
            <w:vAlign w:val="bottom"/>
          </w:tcPr>
          <w:p>
            <w:pPr>
              <w:jc w:val="center"/>
              <w:ind w:right="1510"/>
              <w:spacing w:after="0"/>
              <w:rPr>
                <w:sz w:val="20"/>
                <w:szCs w:val="20"/>
                <w:color w:val="auto"/>
              </w:rPr>
            </w:pPr>
            <w:r>
              <w:rPr>
                <w:rFonts w:ascii="Arial" w:cs="Arial" w:eastAsia="Arial" w:hAnsi="Arial"/>
                <w:sz w:val="18"/>
                <w:szCs w:val="18"/>
                <w:b w:val="1"/>
                <w:bCs w:val="1"/>
                <w:color w:val="auto"/>
                <w:w w:val="91"/>
              </w:rPr>
              <w:t>Delaware</w:t>
            </w:r>
          </w:p>
        </w:tc>
        <w:tc>
          <w:tcPr>
            <w:tcW w:w="4220" w:type="dxa"/>
            <w:vAlign w:val="bottom"/>
          </w:tcPr>
          <w:p>
            <w:pPr>
              <w:jc w:val="right"/>
              <w:ind w:right="790"/>
              <w:spacing w:after="0"/>
              <w:rPr>
                <w:sz w:val="20"/>
                <w:szCs w:val="20"/>
                <w:color w:val="auto"/>
              </w:rPr>
            </w:pPr>
            <w:r>
              <w:rPr>
                <w:rFonts w:ascii="Arial" w:cs="Arial" w:eastAsia="Arial" w:hAnsi="Arial"/>
                <w:sz w:val="18"/>
                <w:szCs w:val="18"/>
                <w:b w:val="1"/>
                <w:bCs w:val="1"/>
                <w:color w:val="auto"/>
              </w:rPr>
              <w:t>20-3356009</w:t>
            </w:r>
          </w:p>
        </w:tc>
      </w:tr>
      <w:tr>
        <w:trPr>
          <w:trHeight w:val="216"/>
        </w:trPr>
        <w:tc>
          <w:tcPr>
            <w:tcW w:w="4560" w:type="dxa"/>
            <w:vAlign w:val="bottom"/>
          </w:tcPr>
          <w:p>
            <w:pPr>
              <w:jc w:val="center"/>
              <w:ind w:right="1510"/>
              <w:spacing w:after="0"/>
              <w:rPr>
                <w:sz w:val="20"/>
                <w:szCs w:val="20"/>
                <w:color w:val="auto"/>
              </w:rPr>
            </w:pPr>
            <w:r>
              <w:rPr>
                <w:rFonts w:ascii="Arial" w:cs="Arial" w:eastAsia="Arial" w:hAnsi="Arial"/>
                <w:sz w:val="18"/>
                <w:szCs w:val="18"/>
                <w:color w:val="auto"/>
                <w:w w:val="92"/>
              </w:rPr>
              <w:t>(State or Other Jurisdiction of</w:t>
            </w:r>
          </w:p>
        </w:tc>
        <w:tc>
          <w:tcPr>
            <w:tcW w:w="4220" w:type="dxa"/>
            <w:vAlign w:val="bottom"/>
          </w:tcPr>
          <w:p>
            <w:pPr>
              <w:jc w:val="center"/>
              <w:ind w:left="15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560" w:type="dxa"/>
            <w:vAlign w:val="bottom"/>
          </w:tcPr>
          <w:p>
            <w:pPr>
              <w:jc w:val="center"/>
              <w:ind w:right="1530"/>
              <w:spacing w:after="0"/>
              <w:rPr>
                <w:sz w:val="20"/>
                <w:szCs w:val="20"/>
                <w:color w:val="auto"/>
              </w:rPr>
            </w:pPr>
            <w:r>
              <w:rPr>
                <w:rFonts w:ascii="Arial" w:cs="Arial" w:eastAsia="Arial" w:hAnsi="Arial"/>
                <w:sz w:val="18"/>
                <w:szCs w:val="18"/>
                <w:color w:val="auto"/>
                <w:w w:val="92"/>
              </w:rPr>
              <w:t>Incorporation or Organization)</w:t>
            </w:r>
          </w:p>
        </w:tc>
        <w:tc>
          <w:tcPr>
            <w:tcW w:w="4220" w:type="dxa"/>
            <w:vAlign w:val="bottom"/>
          </w:tcPr>
          <w:p>
            <w:pPr>
              <w:spacing w:after="0"/>
              <w:rPr>
                <w:sz w:val="20"/>
                <w:szCs w:val="20"/>
                <w:color w:val="auto"/>
              </w:rPr>
            </w:pPr>
          </w:p>
        </w:tc>
      </w:tr>
      <w:tr>
        <w:trPr>
          <w:trHeight w:val="414"/>
        </w:trPr>
        <w:tc>
          <w:tcPr>
            <w:tcW w:w="4560" w:type="dxa"/>
            <w:vAlign w:val="bottom"/>
          </w:tcPr>
          <w:p>
            <w:pPr>
              <w:jc w:val="center"/>
              <w:ind w:right="1530"/>
              <w:spacing w:after="0"/>
              <w:rPr>
                <w:sz w:val="20"/>
                <w:szCs w:val="20"/>
                <w:color w:val="auto"/>
              </w:rPr>
            </w:pPr>
            <w:r>
              <w:rPr>
                <w:rFonts w:ascii="Arial" w:cs="Arial" w:eastAsia="Arial" w:hAnsi="Arial"/>
                <w:sz w:val="18"/>
                <w:szCs w:val="18"/>
                <w:b w:val="1"/>
                <w:bCs w:val="1"/>
                <w:color w:val="auto"/>
                <w:w w:val="91"/>
              </w:rPr>
              <w:t>3300 W. Camelback Road</w:t>
            </w:r>
          </w:p>
        </w:tc>
        <w:tc>
          <w:tcPr>
            <w:tcW w:w="4220" w:type="dxa"/>
            <w:vAlign w:val="bottom"/>
          </w:tcPr>
          <w:p>
            <w:pPr>
              <w:spacing w:after="0"/>
              <w:rPr>
                <w:sz w:val="24"/>
                <w:szCs w:val="24"/>
                <w:color w:val="auto"/>
              </w:rPr>
            </w:pPr>
          </w:p>
        </w:tc>
      </w:tr>
      <w:tr>
        <w:trPr>
          <w:trHeight w:val="220"/>
        </w:trPr>
        <w:tc>
          <w:tcPr>
            <w:tcW w:w="4560" w:type="dxa"/>
            <w:vAlign w:val="bottom"/>
          </w:tcPr>
          <w:p>
            <w:pPr>
              <w:jc w:val="center"/>
              <w:ind w:right="1510"/>
              <w:spacing w:after="0"/>
              <w:rPr>
                <w:sz w:val="20"/>
                <w:szCs w:val="20"/>
                <w:color w:val="auto"/>
              </w:rPr>
            </w:pPr>
            <w:r>
              <w:rPr>
                <w:rFonts w:ascii="Arial" w:cs="Arial" w:eastAsia="Arial" w:hAnsi="Arial"/>
                <w:sz w:val="18"/>
                <w:szCs w:val="18"/>
                <w:b w:val="1"/>
                <w:bCs w:val="1"/>
                <w:color w:val="auto"/>
                <w:w w:val="90"/>
              </w:rPr>
              <w:t>Phoenix, Arizona</w:t>
            </w:r>
          </w:p>
        </w:tc>
        <w:tc>
          <w:tcPr>
            <w:tcW w:w="4220" w:type="dxa"/>
            <w:vAlign w:val="bottom"/>
          </w:tcPr>
          <w:p>
            <w:pPr>
              <w:jc w:val="right"/>
              <w:ind w:right="990"/>
              <w:spacing w:after="0"/>
              <w:rPr>
                <w:sz w:val="20"/>
                <w:szCs w:val="20"/>
                <w:color w:val="auto"/>
              </w:rPr>
            </w:pPr>
            <w:r>
              <w:rPr>
                <w:rFonts w:ascii="Arial" w:cs="Arial" w:eastAsia="Arial" w:hAnsi="Arial"/>
                <w:sz w:val="18"/>
                <w:szCs w:val="18"/>
                <w:b w:val="1"/>
                <w:bCs w:val="1"/>
                <w:color w:val="auto"/>
              </w:rPr>
              <w:t>85017</w:t>
            </w:r>
          </w:p>
        </w:tc>
      </w:tr>
      <w:tr>
        <w:trPr>
          <w:trHeight w:val="230"/>
        </w:trPr>
        <w:tc>
          <w:tcPr>
            <w:tcW w:w="4560" w:type="dxa"/>
            <w:vAlign w:val="bottom"/>
          </w:tcPr>
          <w:p>
            <w:pPr>
              <w:jc w:val="center"/>
              <w:ind w:right="1530"/>
              <w:spacing w:after="0"/>
              <w:rPr>
                <w:sz w:val="20"/>
                <w:szCs w:val="20"/>
                <w:color w:val="auto"/>
              </w:rPr>
            </w:pPr>
            <w:r>
              <w:rPr>
                <w:rFonts w:ascii="Arial" w:cs="Arial" w:eastAsia="Arial" w:hAnsi="Arial"/>
                <w:sz w:val="18"/>
                <w:szCs w:val="18"/>
                <w:color w:val="auto"/>
                <w:w w:val="92"/>
              </w:rPr>
              <w:t>(Address of Principal Executive Offices)</w:t>
            </w:r>
          </w:p>
        </w:tc>
        <w:tc>
          <w:tcPr>
            <w:tcW w:w="4220" w:type="dxa"/>
            <w:vAlign w:val="bottom"/>
          </w:tcPr>
          <w:p>
            <w:pPr>
              <w:jc w:val="center"/>
              <w:ind w:left="149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 2008 EQUITY INCENTIVE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Christopher C. Richardson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Counsel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3300 W. Camelback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Phoenix, Arizona 85017</w:t>
      </w:r>
    </w:p>
    <w:p>
      <w:pPr>
        <w:spacing w:after="0" w:line="9" w:lineRule="exact"/>
        <w:rPr>
          <w:sz w:val="20"/>
          <w:szCs w:val="20"/>
          <w:color w:val="auto"/>
        </w:rPr>
      </w:pPr>
    </w:p>
    <w:p>
      <w:pPr>
        <w:ind w:left="5580" w:hanging="428"/>
        <w:spacing w:after="0"/>
        <w:tabs>
          <w:tab w:leader="none" w:pos="55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639-7500</w:t>
      </w:r>
    </w:p>
    <w:p>
      <w:pPr>
        <w:spacing w:after="0" w:line="9" w:lineRule="exact"/>
        <w:rPr>
          <w:rFonts w:ascii="Arial" w:cs="Arial" w:eastAsia="Arial" w:hAnsi="Arial"/>
          <w:sz w:val="18"/>
          <w:szCs w:val="18"/>
          <w:b w:val="1"/>
          <w:bCs w:val="1"/>
          <w:color w:val="auto"/>
        </w:rPr>
      </w:pPr>
    </w:p>
    <w:p>
      <w:pPr>
        <w:ind w:left="4580"/>
        <w:spacing w:after="0"/>
        <w:rPr>
          <w:rFonts w:ascii="Arial" w:cs="Arial" w:eastAsia="Arial" w:hAnsi="Arial"/>
          <w:sz w:val="18"/>
          <w:szCs w:val="18"/>
          <w:b w:val="1"/>
          <w:bCs w:val="1"/>
          <w:color w:val="auto"/>
        </w:rPr>
      </w:pPr>
      <w:r>
        <w:rPr>
          <w:rFonts w:ascii="Arial" w:cs="Arial" w:eastAsia="Arial" w:hAnsi="Arial"/>
          <w:sz w:val="18"/>
          <w:szCs w:val="18"/>
          <w:color w:val="auto"/>
        </w:rPr>
        <w:t>(Name, Address and Telephone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194310</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a copy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David P. Lewis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DLA Piper LLP (US)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2415 East Camelback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Suite 700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Phoenix, Arizona 85016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(480) 606-5100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186055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880" w:type="dxa"/>
            <w:vAlign w:val="bottom"/>
          </w:tcPr>
          <w:p>
            <w:pPr>
              <w:spacing w:after="0"/>
              <w:rPr>
                <w:sz w:val="20"/>
                <w:szCs w:val="20"/>
                <w:color w:val="auto"/>
              </w:rPr>
            </w:pPr>
            <w:r>
              <w:rPr>
                <w:rFonts w:ascii="Arial" w:cs="Arial" w:eastAsia="Arial" w:hAnsi="Arial"/>
                <w:sz w:val="18"/>
                <w:szCs w:val="18"/>
                <w:color w:val="auto"/>
                <w:w w:val="96"/>
              </w:rPr>
              <w:t>Large accelerated filer o</w:t>
            </w:r>
          </w:p>
        </w:tc>
        <w:tc>
          <w:tcPr>
            <w:tcW w:w="2620" w:type="dxa"/>
            <w:vAlign w:val="bottom"/>
          </w:tcPr>
          <w:p>
            <w:pPr>
              <w:ind w:left="880"/>
              <w:spacing w:after="0"/>
              <w:rPr>
                <w:sz w:val="20"/>
                <w:szCs w:val="20"/>
                <w:color w:val="auto"/>
              </w:rPr>
            </w:pPr>
            <w:r>
              <w:rPr>
                <w:rFonts w:ascii="Arial" w:cs="Arial" w:eastAsia="Arial" w:hAnsi="Arial"/>
                <w:sz w:val="18"/>
                <w:szCs w:val="18"/>
                <w:color w:val="auto"/>
              </w:rPr>
              <w:t>Accelerated filer o</w:t>
            </w:r>
          </w:p>
        </w:tc>
        <w:tc>
          <w:tcPr>
            <w:tcW w:w="620" w:type="dxa"/>
            <w:vAlign w:val="bottom"/>
          </w:tcPr>
          <w:p>
            <w:pPr>
              <w:spacing w:after="0"/>
              <w:rPr>
                <w:sz w:val="21"/>
                <w:szCs w:val="21"/>
                <w:color w:val="auto"/>
              </w:rPr>
            </w:pPr>
          </w:p>
        </w:tc>
        <w:tc>
          <w:tcPr>
            <w:tcW w:w="3260" w:type="dxa"/>
            <w:vAlign w:val="bottom"/>
            <w:gridSpan w:val="2"/>
          </w:tcPr>
          <w:p>
            <w:pPr>
              <w:jc w:val="center"/>
              <w:ind w:right="246"/>
              <w:spacing w:after="0" w:line="207" w:lineRule="exact"/>
              <w:rPr>
                <w:sz w:val="20"/>
                <w:szCs w:val="20"/>
                <w:color w:val="auto"/>
              </w:rPr>
            </w:pPr>
            <w:r>
              <w:rPr>
                <w:rFonts w:ascii="Arial" w:cs="Arial" w:eastAsia="Arial" w:hAnsi="Arial"/>
                <w:sz w:val="18"/>
                <w:szCs w:val="18"/>
                <w:color w:val="auto"/>
                <w:w w:val="93"/>
              </w:rPr>
              <w:t xml:space="preserve">Non-accelerated filer  </w:t>
            </w:r>
            <w:r>
              <w:rPr>
                <w:rFonts w:ascii="MS PGothic" w:cs="MS PGothic" w:eastAsia="MS PGothic" w:hAnsi="MS PGothic"/>
                <w:sz w:val="18"/>
                <w:szCs w:val="18"/>
                <w:color w:val="auto"/>
                <w:w w:val="93"/>
              </w:rPr>
              <w:t>☑</w:t>
            </w:r>
          </w:p>
        </w:tc>
        <w:tc>
          <w:tcPr>
            <w:tcW w:w="3040" w:type="dxa"/>
            <w:vAlign w:val="bottom"/>
            <w:gridSpan w:val="2"/>
          </w:tcPr>
          <w:p>
            <w:pPr>
              <w:ind w:left="700"/>
              <w:spacing w:after="0"/>
              <w:rPr>
                <w:sz w:val="20"/>
                <w:szCs w:val="20"/>
                <w:color w:val="auto"/>
              </w:rPr>
            </w:pPr>
            <w:r>
              <w:rPr>
                <w:rFonts w:ascii="Arial" w:cs="Arial" w:eastAsia="Arial" w:hAnsi="Arial"/>
                <w:sz w:val="18"/>
                <w:szCs w:val="18"/>
                <w:color w:val="auto"/>
              </w:rPr>
              <w:t>Smaller reporting company o</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880" w:type="dxa"/>
            <w:vAlign w:val="bottom"/>
            <w:gridSpan w:val="3"/>
          </w:tcPr>
          <w:p>
            <w:pPr>
              <w:jc w:val="center"/>
              <w:ind w:left="230"/>
              <w:spacing w:after="0"/>
              <w:rPr>
                <w:sz w:val="20"/>
                <w:szCs w:val="20"/>
                <w:color w:val="auto"/>
              </w:rPr>
            </w:pPr>
            <w:r>
              <w:rPr>
                <w:rFonts w:ascii="Arial" w:cs="Arial" w:eastAsia="Arial" w:hAnsi="Arial"/>
                <w:sz w:val="18"/>
                <w:szCs w:val="18"/>
                <w:color w:val="auto"/>
                <w:w w:val="92"/>
              </w:rPr>
              <w:t>(Do not check if a smaller reporting company)</w:t>
            </w:r>
          </w:p>
        </w:tc>
        <w:tc>
          <w:tcPr>
            <w:tcW w:w="19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880" w:type="dxa"/>
            <w:vAlign w:val="bottom"/>
          </w:tcPr>
          <w:p>
            <w:pPr>
              <w:spacing w:after="0"/>
              <w:rPr>
                <w:sz w:val="24"/>
                <w:szCs w:val="24"/>
                <w:color w:val="auto"/>
              </w:rPr>
            </w:pPr>
          </w:p>
        </w:tc>
        <w:tc>
          <w:tcPr>
            <w:tcW w:w="6500" w:type="dxa"/>
            <w:vAlign w:val="bottom"/>
            <w:gridSpan w:val="4"/>
          </w:tcPr>
          <w:p>
            <w:pPr>
              <w:ind w:left="2100"/>
              <w:spacing w:after="0"/>
              <w:rPr>
                <w:sz w:val="20"/>
                <w:szCs w:val="20"/>
                <w:color w:val="auto"/>
              </w:rPr>
            </w:pPr>
            <w:r>
              <w:rPr>
                <w:rFonts w:ascii="Arial" w:cs="Arial" w:eastAsia="Arial" w:hAnsi="Arial"/>
                <w:sz w:val="18"/>
                <w:szCs w:val="18"/>
                <w:b w:val="1"/>
                <w:bCs w:val="1"/>
                <w:color w:val="auto"/>
              </w:rPr>
              <w:t>CALCULATION OF REGISTRATION FEE</w:t>
            </w:r>
          </w:p>
        </w:tc>
        <w:tc>
          <w:tcPr>
            <w:tcW w:w="1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8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8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4500" w:type="dxa"/>
            <w:vAlign w:val="bottom"/>
            <w:gridSpan w:val="2"/>
            <w:vMerge w:val="restart"/>
          </w:tcPr>
          <w:p>
            <w:pPr>
              <w:jc w:val="center"/>
              <w:ind w:left="436"/>
              <w:spacing w:after="0"/>
              <w:rPr>
                <w:sz w:val="20"/>
                <w:szCs w:val="20"/>
                <w:color w:val="auto"/>
              </w:rPr>
            </w:pPr>
            <w:r>
              <w:rPr>
                <w:rFonts w:ascii="Arial" w:cs="Arial" w:eastAsia="Arial" w:hAnsi="Arial"/>
                <w:sz w:val="14"/>
                <w:szCs w:val="14"/>
                <w:b w:val="1"/>
                <w:bCs w:val="1"/>
                <w:color w:val="auto"/>
                <w:w w:val="91"/>
              </w:rPr>
              <w:t>Title of Each Class of Securities</w:t>
            </w:r>
          </w:p>
        </w:tc>
        <w:tc>
          <w:tcPr>
            <w:tcW w:w="62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Amount</w:t>
            </w:r>
          </w:p>
        </w:tc>
        <w:tc>
          <w:tcPr>
            <w:tcW w:w="166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 Maximum</w:t>
            </w:r>
          </w:p>
        </w:tc>
        <w:tc>
          <w:tcPr>
            <w:tcW w:w="196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 Maximum</w:t>
            </w:r>
          </w:p>
        </w:tc>
        <w:tc>
          <w:tcPr>
            <w:tcW w:w="1080" w:type="dxa"/>
            <w:vAlign w:val="bottom"/>
          </w:tcPr>
          <w:p>
            <w:pPr>
              <w:jc w:val="center"/>
              <w:ind w:left="26"/>
              <w:spacing w:after="0" w:line="106" w:lineRule="exact"/>
              <w:rPr>
                <w:sz w:val="20"/>
                <w:szCs w:val="20"/>
                <w:color w:val="auto"/>
              </w:rPr>
            </w:pPr>
            <w:r>
              <w:rPr>
                <w:rFonts w:ascii="Arial" w:cs="Arial" w:eastAsia="Arial" w:hAnsi="Arial"/>
                <w:sz w:val="12"/>
                <w:szCs w:val="12"/>
                <w:b w:val="1"/>
                <w:bCs w:val="1"/>
                <w:color w:val="auto"/>
              </w:rPr>
              <w:t>Amount of</w:t>
            </w:r>
          </w:p>
        </w:tc>
        <w:tc>
          <w:tcPr>
            <w:tcW w:w="0" w:type="dxa"/>
            <w:vAlign w:val="bottom"/>
          </w:tcPr>
          <w:p>
            <w:pPr>
              <w:spacing w:after="0"/>
              <w:rPr>
                <w:sz w:val="1"/>
                <w:szCs w:val="1"/>
                <w:color w:val="auto"/>
              </w:rPr>
            </w:pPr>
          </w:p>
        </w:tc>
      </w:tr>
      <w:tr>
        <w:trPr>
          <w:trHeight w:val="149"/>
        </w:trPr>
        <w:tc>
          <w:tcPr>
            <w:tcW w:w="4500" w:type="dxa"/>
            <w:vAlign w:val="bottom"/>
            <w:gridSpan w:val="2"/>
            <w:vMerge w:val="continue"/>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To Be</w:t>
            </w:r>
          </w:p>
        </w:tc>
        <w:tc>
          <w:tcPr>
            <w:tcW w:w="1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Offering</w:t>
            </w:r>
          </w:p>
        </w:tc>
        <w:tc>
          <w:tcPr>
            <w:tcW w:w="19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1080" w:type="dxa"/>
            <w:vAlign w:val="bottom"/>
          </w:tcPr>
          <w:p>
            <w:pPr>
              <w:jc w:val="center"/>
              <w:ind w:left="6"/>
              <w:spacing w:after="0" w:line="149" w:lineRule="exact"/>
              <w:rPr>
                <w:sz w:val="20"/>
                <w:szCs w:val="20"/>
                <w:color w:val="auto"/>
              </w:rPr>
            </w:pPr>
            <w:r>
              <w:rPr>
                <w:rFonts w:ascii="Arial" w:cs="Arial" w:eastAsia="Arial" w:hAnsi="Arial"/>
                <w:sz w:val="14"/>
                <w:szCs w:val="14"/>
                <w:b w:val="1"/>
                <w:bCs w:val="1"/>
                <w:color w:val="auto"/>
                <w:w w:val="92"/>
              </w:rPr>
              <w:t>Registration</w:t>
            </w:r>
          </w:p>
        </w:tc>
        <w:tc>
          <w:tcPr>
            <w:tcW w:w="0" w:type="dxa"/>
            <w:vAlign w:val="bottom"/>
          </w:tcPr>
          <w:p>
            <w:pPr>
              <w:spacing w:after="0"/>
              <w:rPr>
                <w:sz w:val="1"/>
                <w:szCs w:val="1"/>
                <w:color w:val="auto"/>
              </w:rPr>
            </w:pPr>
          </w:p>
        </w:tc>
      </w:tr>
      <w:tr>
        <w:trPr>
          <w:trHeight w:val="192"/>
        </w:trPr>
        <w:tc>
          <w:tcPr>
            <w:tcW w:w="18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tcPr>
          <w:p>
            <w:pPr>
              <w:jc w:val="center"/>
              <w:ind w:right="1256"/>
              <w:spacing w:after="0"/>
              <w:rPr>
                <w:sz w:val="20"/>
                <w:szCs w:val="20"/>
                <w:color w:val="auto"/>
              </w:rPr>
            </w:pPr>
            <w:r>
              <w:rPr>
                <w:rFonts w:ascii="Arial" w:cs="Arial" w:eastAsia="Arial" w:hAnsi="Arial"/>
                <w:sz w:val="14"/>
                <w:szCs w:val="14"/>
                <w:b w:val="1"/>
                <w:bCs w:val="1"/>
                <w:color w:val="auto"/>
                <w:w w:val="90"/>
              </w:rPr>
              <w:t>To Be Registered</w:t>
            </w:r>
          </w:p>
        </w:tc>
        <w:tc>
          <w:tcPr>
            <w:tcW w:w="62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Registered (1)</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Price Per Share (2)</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 Price (2)</w:t>
            </w:r>
          </w:p>
        </w:tc>
        <w:tc>
          <w:tcPr>
            <w:tcW w:w="1080" w:type="dxa"/>
            <w:vAlign w:val="bottom"/>
            <w:tcBorders>
              <w:bottom w:val="single" w:sz="8" w:color="auto"/>
            </w:tcBorders>
          </w:tcPr>
          <w:p>
            <w:pPr>
              <w:jc w:val="center"/>
              <w:ind w:left="26"/>
              <w:spacing w:after="0"/>
              <w:rPr>
                <w:sz w:val="20"/>
                <w:szCs w:val="20"/>
                <w:color w:val="auto"/>
              </w:rPr>
            </w:pPr>
            <w:r>
              <w:rPr>
                <w:rFonts w:ascii="Arial" w:cs="Arial" w:eastAsia="Arial" w:hAnsi="Arial"/>
                <w:sz w:val="14"/>
                <w:szCs w:val="14"/>
                <w:b w:val="1"/>
                <w:bCs w:val="1"/>
                <w:color w:val="auto"/>
                <w:w w:val="90"/>
              </w:rPr>
              <w:t>Fee</w:t>
            </w:r>
          </w:p>
        </w:tc>
        <w:tc>
          <w:tcPr>
            <w:tcW w:w="0" w:type="dxa"/>
            <w:vAlign w:val="bottom"/>
          </w:tcPr>
          <w:p>
            <w:pPr>
              <w:spacing w:after="0"/>
              <w:rPr>
                <w:sz w:val="1"/>
                <w:szCs w:val="1"/>
                <w:color w:val="auto"/>
              </w:rPr>
            </w:pPr>
          </w:p>
        </w:tc>
      </w:tr>
      <w:tr>
        <w:trPr>
          <w:trHeight w:val="216"/>
        </w:trPr>
        <w:tc>
          <w:tcPr>
            <w:tcW w:w="45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Common stock, $0.01 par value</w:t>
            </w:r>
          </w:p>
        </w:tc>
        <w:tc>
          <w:tcPr>
            <w:tcW w:w="62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4,199,937</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$15.77</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$66,233,006</w:t>
            </w:r>
          </w:p>
        </w:tc>
        <w:tc>
          <w:tcPr>
            <w:tcW w:w="1080" w:type="dxa"/>
            <w:vAlign w:val="bottom"/>
            <w:tcBorders>
              <w:bottom w:val="single" w:sz="8" w:color="auto"/>
            </w:tcBorders>
          </w:tcPr>
          <w:p>
            <w:pPr>
              <w:jc w:val="center"/>
              <w:ind w:left="26"/>
              <w:spacing w:after="0"/>
              <w:rPr>
                <w:sz w:val="20"/>
                <w:szCs w:val="20"/>
                <w:color w:val="auto"/>
              </w:rPr>
            </w:pPr>
            <w:r>
              <w:rPr>
                <w:rFonts w:ascii="Arial" w:cs="Arial" w:eastAsia="Arial" w:hAnsi="Arial"/>
                <w:sz w:val="18"/>
                <w:szCs w:val="18"/>
                <w:color w:val="auto"/>
                <w:w w:val="90"/>
              </w:rPr>
              <w:t>$2,603</w:t>
            </w:r>
          </w:p>
        </w:tc>
        <w:tc>
          <w:tcPr>
            <w:tcW w:w="0" w:type="dxa"/>
            <w:vAlign w:val="bottom"/>
          </w:tcPr>
          <w:p>
            <w:pPr>
              <w:spacing w:after="0"/>
              <w:rPr>
                <w:sz w:val="1"/>
                <w:szCs w:val="1"/>
                <w:color w:val="auto"/>
              </w:rPr>
            </w:pPr>
          </w:p>
        </w:tc>
      </w:tr>
      <w:tr>
        <w:trPr>
          <w:trHeight w:val="20"/>
        </w:trPr>
        <w:tc>
          <w:tcPr>
            <w:tcW w:w="188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340" w:right="280" w:hanging="332"/>
        <w:spacing w:after="0" w:line="286"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shares of Common Stock set forth in the Calculation of Registration Fee table and which may be offered pursuant to this Registration Statement include, pursuant to Rule 416 under the Securities Act of 1933, as amended (the “Securities Act”), such additional number of shares of the registrant’s common stock as may be issuable as a result of any stock splits, stock dividends or similar events.</w:t>
      </w:r>
    </w:p>
    <w:p>
      <w:pPr>
        <w:spacing w:after="0" w:line="70"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solely for purposes of calculating the registration fee pursuant to Securities Act Rules 457(c) and 457(h). The proposed maximum offering price per share, proposed maximum aggregate offering price and the amount of the registration fee are based on the average of the high and low prices of the Registrant’s shares of Common Stock on December 2,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2" w:right="239" w:bottom="339"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361315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PART I</w:t>
        </w:r>
      </w:hyperlink>
    </w:p>
    <w:p>
      <w:pPr>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PART II</w:t>
        </w:r>
      </w:hyperlink>
    </w:p>
    <w:p>
      <w:pPr>
        <w:ind w:left="320"/>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3. Incorporation of Documents by Reference</w:t>
        </w:r>
      </w:hyperlink>
    </w:p>
    <w:p>
      <w:pPr>
        <w:ind w:left="320"/>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4. Description of Securities</w:t>
        </w:r>
      </w:hyperlink>
    </w:p>
    <w:p>
      <w:pPr>
        <w:ind w:left="320"/>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5. Interests of Named Experts and Counsel</w:t>
        </w:r>
      </w:hyperlink>
    </w:p>
    <w:p>
      <w:pPr>
        <w:ind w:left="320"/>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6. Indemnification of Directors and Officers</w:t>
        </w:r>
      </w:hyperlink>
    </w:p>
    <w:p>
      <w:pPr>
        <w:ind w:left="320"/>
        <w:spacing w:after="0" w:line="231"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Item 7. Exemption from Registration Claimed</w:t>
        </w:r>
      </w:hyperlink>
    </w:p>
    <w:p>
      <w:pPr>
        <w:ind w:left="320"/>
        <w:spacing w:after="0" w:line="231"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Item 8. Exhibits</w:t>
        </w:r>
      </w:hyperlink>
    </w:p>
    <w:p>
      <w:pPr>
        <w:ind w:left="320"/>
        <w:spacing w:after="0" w:line="230"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Item 9. Undertakings</w:t>
        </w:r>
      </w:hyperlink>
    </w:p>
    <w:p>
      <w:pPr>
        <w:spacing w:after="0" w:line="231"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10">
        <w:r>
          <w:rPr>
            <w:rFonts w:ascii="Arial" w:cs="Arial" w:eastAsia="Arial" w:hAnsi="Arial"/>
            <w:sz w:val="22"/>
            <w:szCs w:val="22"/>
            <w:u w:val="single" w:color="auto"/>
            <w:color w:val="0000EE"/>
          </w:rPr>
          <w:t>EXHIBIT INDEX</w:t>
        </w:r>
      </w:hyperlink>
    </w:p>
    <w:p>
      <w:pPr>
        <w:spacing w:after="0" w:line="230" w:lineRule="auto"/>
        <w:rPr>
          <w:sz w:val="20"/>
          <w:szCs w:val="20"/>
          <w:color w:val="auto"/>
        </w:rPr>
      </w:pPr>
      <w:r>
        <w:rPr>
          <w:rFonts w:ascii="Arial" w:cs="Arial" w:eastAsia="Arial" w:hAnsi="Arial"/>
          <w:sz w:val="22"/>
          <w:szCs w:val="22"/>
          <w:u w:val="single" w:color="auto"/>
          <w:color w:val="0000EE"/>
        </w:rPr>
        <w:t>EX-5.1</w:t>
      </w:r>
    </w:p>
    <w:p>
      <w:pPr>
        <w:spacing w:after="0" w:line="231" w:lineRule="auto"/>
        <w:rPr>
          <w:sz w:val="20"/>
          <w:szCs w:val="20"/>
          <w:color w:val="auto"/>
        </w:rPr>
      </w:pPr>
      <w:r>
        <w:rPr>
          <w:rFonts w:ascii="Arial" w:cs="Arial" w:eastAsia="Arial" w:hAnsi="Arial"/>
          <w:sz w:val="22"/>
          <w:szCs w:val="22"/>
          <w:u w:val="single" w:color="auto"/>
          <w:color w:val="0000EE"/>
        </w:rPr>
        <w:t>EX-23.1</w:t>
      </w:r>
    </w:p>
    <w:p>
      <w:pPr>
        <w:spacing w:after="0"/>
        <w:rPr>
          <w:sz w:val="20"/>
          <w:szCs w:val="20"/>
          <w:color w:val="auto"/>
        </w:rPr>
      </w:pPr>
      <w:r>
        <w:rPr>
          <w:rFonts w:ascii="Arial" w:cs="Arial" w:eastAsia="Arial" w:hAnsi="Arial"/>
          <w:sz w:val="22"/>
          <w:szCs w:val="22"/>
          <w:u w:val="single" w:color="auto"/>
          <w:color w:val="0000EE"/>
        </w:rPr>
        <w:t>EX-99.2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2"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121" w:lineRule="exact"/>
        <w:rPr>
          <w:sz w:val="20"/>
          <w:szCs w:val="20"/>
          <w:color w:val="auto"/>
        </w:rPr>
      </w:pPr>
    </w:p>
    <w:p>
      <w:pPr>
        <w:ind w:right="260" w:firstLine="222"/>
        <w:spacing w:after="0" w:line="279" w:lineRule="auto"/>
        <w:rPr>
          <w:sz w:val="20"/>
          <w:szCs w:val="20"/>
          <w:color w:val="auto"/>
        </w:rPr>
      </w:pPr>
      <w:r>
        <w:rPr>
          <w:rFonts w:ascii="Arial" w:cs="Arial" w:eastAsia="Arial" w:hAnsi="Arial"/>
          <w:sz w:val="17"/>
          <w:szCs w:val="17"/>
          <w:color w:val="auto"/>
        </w:rPr>
        <w:t>The documents containing the information specified in Part I, Items 1 and 2, have been or will be delivered to participants in accordance with Form S-8 and Rule 428 under the Securities Act of 1933, as amended (the “Securities Act”). In accordance with the rules and regulations of the Securities and Exchange Commission (the “SEC”) and the instructions to Form S-8, such documents are not being filed with the SEC either as part of this Registration Statement or as prospectuses or prospectus supplements pursuant to Rule 424 under the Securities Act.</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Grand Canyon Education, Inc. (the “Registrant”) hereby incorporates by reference into this Registration Statement the following documents that have been filed by the Registrant with the SEC pursuant to the Securities Exchange Act of 1934, as amended (the “Exchange Act”):</w:t>
      </w:r>
    </w:p>
    <w:p>
      <w:pPr>
        <w:spacing w:after="0" w:line="62" w:lineRule="exact"/>
        <w:rPr>
          <w:sz w:val="20"/>
          <w:szCs w:val="20"/>
          <w:color w:val="auto"/>
        </w:rPr>
      </w:pPr>
    </w:p>
    <w:p>
      <w:pPr>
        <w:ind w:left="660" w:hanging="436"/>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prospectus filed pursuant to Rule 424(b) under the Securities Act with the SEC on November 20, 2008, relating to our Registration Statement on Form S-1 (File No. 333-150876) and which includes audited financial statements for our latest fiscal year;</w:t>
      </w:r>
    </w:p>
    <w:p>
      <w:pPr>
        <w:spacing w:after="0" w:line="75" w:lineRule="exact"/>
        <w:rPr>
          <w:rFonts w:ascii="Arial" w:cs="Arial" w:eastAsia="Arial" w:hAnsi="Arial"/>
          <w:sz w:val="18"/>
          <w:szCs w:val="18"/>
          <w:color w:val="auto"/>
        </w:rPr>
      </w:pPr>
    </w:p>
    <w:p>
      <w:pPr>
        <w:ind w:left="660" w:right="500" w:hanging="436"/>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 No. 001-34211) filed with the SEC on November 14, 2008, pursuant to Section 12(b) of the Exchange Act, including any amendment or report filed for the purpose of updating such description.</w:t>
      </w:r>
    </w:p>
    <w:p>
      <w:pPr>
        <w:spacing w:after="0" w:line="73" w:lineRule="exact"/>
        <w:rPr>
          <w:sz w:val="20"/>
          <w:szCs w:val="20"/>
          <w:color w:val="auto"/>
        </w:rPr>
      </w:pPr>
    </w:p>
    <w:p>
      <w:pPr>
        <w:ind w:firstLine="215"/>
        <w:spacing w:after="0" w:line="259" w:lineRule="auto"/>
        <w:rPr>
          <w:sz w:val="20"/>
          <w:szCs w:val="20"/>
          <w:color w:val="auto"/>
        </w:rPr>
      </w:pPr>
      <w:r>
        <w:rPr>
          <w:rFonts w:ascii="Arial" w:cs="Arial" w:eastAsia="Arial" w:hAnsi="Arial"/>
          <w:sz w:val="18"/>
          <w:szCs w:val="18"/>
          <w:color w:val="auto"/>
        </w:rPr>
        <w:t>All documents filed by us pursuant to Sections 13(a), 13(c), 14 and 15(d) of the Exchange Act on or after the date of this Registration Statement and prior to the filing of a post-effective amendment to this Registration Statement that indicate that all securities offered have been sold or that deregisters all securities then remaining unsold shall be deemed to be incorporated by reference into this Registration Statement and to be a part hereof from the date of filing of such documents.</w:t>
      </w:r>
    </w:p>
    <w:p>
      <w:pPr>
        <w:spacing w:after="0" w:line="79" w:lineRule="exact"/>
        <w:rPr>
          <w:sz w:val="20"/>
          <w:szCs w:val="20"/>
          <w:color w:val="auto"/>
        </w:rPr>
      </w:pPr>
    </w:p>
    <w:p>
      <w:pPr>
        <w:ind w:right="60" w:firstLine="215"/>
        <w:spacing w:after="0" w:line="259"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sz w:val="20"/>
          <w:szCs w:val="20"/>
          <w:color w:val="auto"/>
        </w:rPr>
      </w:pPr>
    </w:p>
    <w:p>
      <w:pPr>
        <w:ind w:right="260" w:firstLine="225"/>
        <w:spacing w:after="0" w:line="312" w:lineRule="auto"/>
        <w:rPr>
          <w:sz w:val="20"/>
          <w:szCs w:val="20"/>
          <w:color w:val="auto"/>
        </w:rPr>
      </w:pPr>
      <w:r>
        <w:rPr>
          <w:rFonts w:ascii="Arial" w:cs="Arial" w:eastAsia="Arial" w:hAnsi="Arial"/>
          <w:sz w:val="16"/>
          <w:szCs w:val="16"/>
          <w:color w:val="auto"/>
        </w:rPr>
        <w:t>Section 145(a) of the Delaware General Corporation Law (“DGCL”)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spacing w:after="0" w:line="257" w:lineRule="auto"/>
        <w:rPr>
          <w:sz w:val="20"/>
          <w:szCs w:val="20"/>
          <w:color w:val="auto"/>
        </w:rPr>
      </w:pPr>
      <w:r>
        <w:rPr>
          <w:rFonts w:ascii="Arial" w:cs="Arial" w:eastAsia="Arial" w:hAnsi="Arial"/>
          <w:sz w:val="18"/>
          <w:szCs w:val="18"/>
          <w:color w:val="auto"/>
        </w:rPr>
        <w:t>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80"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which the Court of Chancery or other adjudicating court shall deem proper.</w:t>
      </w:r>
    </w:p>
    <w:p>
      <w:pPr>
        <w:spacing w:after="0" w:line="74" w:lineRule="exact"/>
        <w:rPr>
          <w:sz w:val="20"/>
          <w:szCs w:val="20"/>
          <w:color w:val="auto"/>
        </w:rPr>
      </w:pPr>
    </w:p>
    <w:p>
      <w:pPr>
        <w:ind w:right="200" w:firstLine="225"/>
        <w:spacing w:after="0" w:line="257" w:lineRule="auto"/>
        <w:rPr>
          <w:sz w:val="20"/>
          <w:szCs w:val="20"/>
          <w:color w:val="auto"/>
        </w:rPr>
      </w:pPr>
      <w:r>
        <w:rPr>
          <w:rFonts w:ascii="Arial" w:cs="Arial" w:eastAsia="Arial" w:hAnsi="Arial"/>
          <w:sz w:val="18"/>
          <w:szCs w:val="18"/>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80" w:lineRule="exact"/>
        <w:rPr>
          <w:sz w:val="20"/>
          <w:szCs w:val="20"/>
          <w:color w:val="auto"/>
        </w:rPr>
      </w:pPr>
    </w:p>
    <w:p>
      <w:pPr>
        <w:ind w:right="60" w:firstLine="225"/>
        <w:spacing w:after="0" w:line="293" w:lineRule="auto"/>
        <w:rPr>
          <w:sz w:val="20"/>
          <w:szCs w:val="20"/>
          <w:color w:val="auto"/>
        </w:rPr>
      </w:pPr>
      <w:r>
        <w:rPr>
          <w:rFonts w:ascii="Arial" w:cs="Arial" w:eastAsia="Arial" w:hAnsi="Arial"/>
          <w:sz w:val="16"/>
          <w:szCs w:val="16"/>
          <w:color w:val="auto"/>
        </w:rPr>
        <w:t>Section 8.1 of our bylaws provides that we will indemnify, to the fullest extent permitted by the DGCL, any person who was or is made or is threatened to be made a party or is otherwise involved in any action, suit, or proceeding, whether civil, criminal, administrative, or investigative, by reason of the fact that he, or a person for whom he is the legal representative, is or was one of our directors or officers or, while serving as one of our directors or officers, is or was serving at our request as a director, officer, employee, or agent of another corporation or of another entity, against all liability and loss suffered and expenses (including attorneys’ fees) reasonably incurred by such person, subject to limited exceptions relating to indemnity in connection with a proceeding (or part thereof) initiated by such person. Section 8.1 of our bylaws further provides for the advancement of expenses to each of our officers and directors.</w:t>
      </w:r>
    </w:p>
    <w:p>
      <w:pPr>
        <w:spacing w:after="0" w:line="57" w:lineRule="exact"/>
        <w:rPr>
          <w:sz w:val="20"/>
          <w:szCs w:val="20"/>
          <w:color w:val="auto"/>
        </w:rPr>
      </w:pPr>
    </w:p>
    <w:p>
      <w:pPr>
        <w:ind w:right="60" w:firstLine="215"/>
        <w:spacing w:after="0" w:line="273" w:lineRule="auto"/>
        <w:rPr>
          <w:sz w:val="20"/>
          <w:szCs w:val="20"/>
          <w:color w:val="auto"/>
        </w:rPr>
      </w:pPr>
      <w:r>
        <w:rPr>
          <w:rFonts w:ascii="Arial" w:cs="Arial" w:eastAsia="Arial" w:hAnsi="Arial"/>
          <w:sz w:val="17"/>
          <w:szCs w:val="17"/>
          <w:color w:val="auto"/>
        </w:rPr>
        <w:t>Article VIII of our charter provides that, to the fullest extent permitted by the DGCL, as the same exists or may be amended from time to time, our directors shall not be personally liable to us or our stockholders for monetary damages for breach of fiduciary duty as a director. Under Section 102(b)(7) of the DGCL, the personal liability of a director to the corporation or its stockholders for monetary damages for breach of fiduciary duty can be limited or eliminated except (i) for any breach of the director’s duty of loyalty to the corporation or its stockholders; (ii) for acts or omissions not in good faith or which involve intentional misconduct or a knowing violation of law; (iii) under Section 174 of the DGCL (relating to unlawful payment of dividend or unlawful stock purchase or redemption); or (iv) for any transaction from which the director derived an improper personal benefit.</w:t>
      </w:r>
    </w:p>
    <w:p>
      <w:pPr>
        <w:spacing w:after="0" w:line="70" w:lineRule="exact"/>
        <w:rPr>
          <w:sz w:val="20"/>
          <w:szCs w:val="20"/>
          <w:color w:val="auto"/>
        </w:rPr>
      </w:pPr>
    </w:p>
    <w:p>
      <w:pPr>
        <w:jc w:val="both"/>
        <w:ind w:firstLine="222"/>
        <w:spacing w:after="0" w:line="264" w:lineRule="auto"/>
        <w:rPr>
          <w:sz w:val="20"/>
          <w:szCs w:val="20"/>
          <w:color w:val="auto"/>
        </w:rPr>
      </w:pPr>
      <w:r>
        <w:rPr>
          <w:rFonts w:ascii="Arial" w:cs="Arial" w:eastAsia="Arial" w:hAnsi="Arial"/>
          <w:sz w:val="18"/>
          <w:szCs w:val="18"/>
          <w:color w:val="auto"/>
        </w:rPr>
        <w:t>We also maintain a general liability insurance policy which covers certain liabilities of directors and officers of our company arising out of claims based on acts or omissions in their capacities as directors or officers, whether or not we would have the power to indemnify such person against such liability under the DGCL or the provisions of our charter or bylaws.</w:t>
      </w:r>
    </w:p>
    <w:p>
      <w:pPr>
        <w:spacing w:after="0" w:line="73" w:lineRule="exact"/>
        <w:rPr>
          <w:sz w:val="20"/>
          <w:szCs w:val="20"/>
          <w:color w:val="auto"/>
        </w:rPr>
      </w:pPr>
    </w:p>
    <w:p>
      <w:pPr>
        <w:jc w:val="both"/>
        <w:ind w:right="140" w:firstLine="225"/>
        <w:spacing w:after="0" w:line="264" w:lineRule="auto"/>
        <w:rPr>
          <w:sz w:val="20"/>
          <w:szCs w:val="20"/>
          <w:color w:val="auto"/>
        </w:rPr>
      </w:pPr>
      <w:r>
        <w:rPr>
          <w:rFonts w:ascii="Arial" w:cs="Arial" w:eastAsia="Arial" w:hAnsi="Arial"/>
          <w:sz w:val="18"/>
          <w:szCs w:val="18"/>
          <w:color w:val="auto"/>
        </w:rPr>
        <w:t>In connection with the sale of common stock in our initial public offering, we entered into indemnification agreements with each of our directors and our executive officers. These agreements provide that we will indemnify each of our directors and such officers to the fullest extent permitted by law and by our charter and bylaws.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271" w:lineRule="auto"/>
        <w:rPr>
          <w:sz w:val="20"/>
          <w:szCs w:val="20"/>
          <w:color w:val="auto"/>
        </w:rPr>
      </w:pPr>
      <w:r>
        <w:rPr>
          <w:rFonts w:ascii="Arial" w:cs="Arial" w:eastAsia="Arial" w:hAnsi="Arial"/>
          <w:sz w:val="17"/>
          <w:szCs w:val="17"/>
          <w:color w:val="auto"/>
        </w:rPr>
        <w:t>Pursuant to our 2008 Equity Incentive Plan (the “Plan”), in addition to such other rights of indemnification as they may have as described above, we will indemnify members of our board of directors, members of any committee of our board that administers the Plan (the “Committee”), and any officer or employee of ours or any of our affiliates to whom authority to act for our board of directors, the Committee or us is delegated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under the Plan, and against all amounts paid by them in settlement thereof (provided such settlement is approved by our independent legal counsel) or paid by them in satisfaction of a judgment in any such action, suit or proceeding, except in relation to matters as to which it shall be adjudged in such action, suit or proceeding that such person is liable for gross negligence, bad faith or intentional misconduct in duties.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14"/>
                <w:szCs w:val="14"/>
                <w:color w:val="auto"/>
              </w:rPr>
            </w:pPr>
          </w:p>
        </w:tc>
        <w:tc>
          <w:tcPr>
            <w:tcW w:w="10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920" w:type="dxa"/>
            <w:vAlign w:val="bottom"/>
          </w:tcPr>
          <w:p>
            <w:pPr>
              <w:spacing w:after="0" w:line="195" w:lineRule="exact"/>
              <w:rPr>
                <w:sz w:val="20"/>
                <w:szCs w:val="20"/>
                <w:color w:val="auto"/>
              </w:rPr>
            </w:pPr>
            <w:r>
              <w:rPr>
                <w:rFonts w:ascii="Arial" w:cs="Arial" w:eastAsia="Arial" w:hAnsi="Arial"/>
                <w:sz w:val="18"/>
                <w:szCs w:val="18"/>
                <w:color w:val="auto"/>
              </w:rPr>
              <w:t>4.1</w:t>
            </w:r>
          </w:p>
        </w:tc>
        <w:tc>
          <w:tcPr>
            <w:tcW w:w="240" w:type="dxa"/>
            <w:vAlign w:val="bottom"/>
          </w:tcPr>
          <w:p>
            <w:pPr>
              <w:spacing w:after="0"/>
              <w:rPr>
                <w:sz w:val="16"/>
                <w:szCs w:val="16"/>
                <w:color w:val="auto"/>
              </w:rPr>
            </w:pPr>
          </w:p>
        </w:tc>
        <w:tc>
          <w:tcPr>
            <w:tcW w:w="10260" w:type="dxa"/>
            <w:vAlign w:val="bottom"/>
          </w:tcPr>
          <w:p>
            <w:pPr>
              <w:spacing w:after="0" w:line="195" w:lineRule="exact"/>
              <w:rPr>
                <w:sz w:val="20"/>
                <w:szCs w:val="20"/>
                <w:color w:val="auto"/>
              </w:rPr>
            </w:pPr>
            <w:r>
              <w:rPr>
                <w:rFonts w:ascii="Arial" w:cs="Arial" w:eastAsia="Arial" w:hAnsi="Arial"/>
                <w:sz w:val="18"/>
                <w:szCs w:val="18"/>
                <w:color w:val="auto"/>
                <w:w w:val="93"/>
              </w:rPr>
              <w:t>Specimen of Stock Certificate (incorporated herein by reference to Exhibit 4.1 to the Registrant’s Registration Statement on Form S-1 (File</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No. 333-150876), as amended (“Registrant’s Form S-1”))</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Opinion of DLA Piper LLP (US)</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23.2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DLA Piper LLP (US)</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24.1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Powers of Attorney (included as part of the signature page to this Registration Statement)</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Grand Canyon Education, Inc. 2008 Equity Incentive Plan (incorporated herein by reference to Exhibit 10.4 to the Registrant’s Form S-1)</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99.2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Grand Canyon Education, Inc. 2008 Equity Incentive Plan — Form of Stock Option Agreement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121" w:lineRule="exact"/>
        <w:rPr>
          <w:sz w:val="20"/>
          <w:szCs w:val="20"/>
          <w:color w:val="auto"/>
        </w:rPr>
      </w:pP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400" w:hanging="167"/>
        <w:spacing w:after="0"/>
        <w:tabs>
          <w:tab w:leader="none" w:pos="4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30" w:lineRule="exact"/>
        <w:rPr>
          <w:rFonts w:ascii="Arial" w:cs="Arial" w:eastAsia="Arial" w:hAnsi="Arial"/>
          <w:sz w:val="18"/>
          <w:szCs w:val="18"/>
          <w:color w:val="auto"/>
        </w:rPr>
      </w:pPr>
    </w:p>
    <w:p>
      <w:pPr>
        <w:ind w:left="900" w:right="180" w:hanging="446"/>
        <w:spacing w:after="0" w:line="255" w:lineRule="auto"/>
        <w:tabs>
          <w:tab w:leader="none" w:pos="90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94" w:lineRule="exact"/>
        <w:rPr>
          <w:rFonts w:ascii="Arial" w:cs="Arial" w:eastAsia="Arial" w:hAnsi="Arial"/>
          <w:sz w:val="18"/>
          <w:szCs w:val="18"/>
          <w:color w:val="auto"/>
        </w:rPr>
      </w:pPr>
    </w:p>
    <w:p>
      <w:pPr>
        <w:ind w:left="900" w:right="20" w:hanging="446"/>
        <w:spacing w:after="0" w:line="277" w:lineRule="auto"/>
        <w:tabs>
          <w:tab w:leader="none" w:pos="90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280" w:firstLine="225"/>
        <w:spacing w:after="0" w:line="264" w:lineRule="auto"/>
        <w:rPr>
          <w:sz w:val="20"/>
          <w:szCs w:val="20"/>
          <w:color w:val="auto"/>
        </w:rPr>
      </w:pPr>
      <w:r>
        <w:rPr>
          <w:rFonts w:ascii="Arial" w:cs="Arial" w:eastAsia="Arial" w:hAnsi="Arial"/>
          <w:sz w:val="18"/>
          <w:szCs w:val="18"/>
          <w:color w:val="auto"/>
        </w:rPr>
        <w:t>Provided however, that paragraphs (a)(1)(i) and (a)(1)(ii) of this section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this Registration Statement; and</w:t>
      </w:r>
    </w:p>
    <w:p>
      <w:pPr>
        <w:spacing w:after="0" w:line="73" w:lineRule="exact"/>
        <w:rPr>
          <w:sz w:val="20"/>
          <w:szCs w:val="20"/>
          <w:color w:val="auto"/>
        </w:rPr>
      </w:pPr>
    </w:p>
    <w:p>
      <w:pPr>
        <w:ind w:right="240" w:firstLine="233"/>
        <w:spacing w:after="0" w:line="264" w:lineRule="auto"/>
        <w:tabs>
          <w:tab w:leader="none" w:pos="402" w:val="left"/>
        </w:tabs>
        <w:numPr>
          <w:ilvl w:val="1"/>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73" w:lineRule="exact"/>
        <w:rPr>
          <w:rFonts w:ascii="Arial" w:cs="Arial" w:eastAsia="Arial" w:hAnsi="Arial"/>
          <w:sz w:val="18"/>
          <w:szCs w:val="18"/>
          <w:color w:val="auto"/>
        </w:rPr>
      </w:pPr>
    </w:p>
    <w:p>
      <w:pPr>
        <w:ind w:right="180" w:firstLine="233"/>
        <w:spacing w:after="0" w:line="277" w:lineRule="auto"/>
        <w:tabs>
          <w:tab w:leader="none" w:pos="402"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jc w:val="both"/>
        <w:ind w:right="120" w:firstLine="8"/>
        <w:spacing w:after="0" w:line="259" w:lineRule="auto"/>
        <w:tabs>
          <w:tab w:leader="none" w:pos="25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78" w:lineRule="exact"/>
        <w:rPr>
          <w:rFonts w:ascii="Arial" w:cs="Arial" w:eastAsia="Arial" w:hAnsi="Arial"/>
          <w:sz w:val="18"/>
          <w:szCs w:val="18"/>
          <w:color w:val="auto"/>
        </w:rPr>
      </w:pPr>
    </w:p>
    <w:p>
      <w:pPr>
        <w:ind w:firstLine="8"/>
        <w:spacing w:after="0" w:line="271" w:lineRule="auto"/>
        <w:tabs>
          <w:tab w:leader="none" w:pos="245" w:val="left"/>
        </w:tabs>
        <w:numPr>
          <w:ilvl w:val="0"/>
          <w:numId w:val="6"/>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indemnification provisions summarized in Item 6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Phoenix, State of Arizona, on December 5, 2008.</w:t>
      </w:r>
    </w:p>
    <w:p>
      <w:pPr>
        <w:spacing w:after="0" w:line="17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GRAND CANYON EDUCATION, INC.</w:t>
      </w:r>
    </w:p>
    <w:p>
      <w:pPr>
        <w:spacing w:after="0" w:line="22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Brian E. Mueller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right="120" w:firstLine="225"/>
        <w:spacing w:after="0" w:line="270" w:lineRule="auto"/>
        <w:rPr>
          <w:sz w:val="20"/>
          <w:szCs w:val="20"/>
          <w:color w:val="auto"/>
        </w:rPr>
      </w:pPr>
      <w:r>
        <w:rPr>
          <w:rFonts w:ascii="Arial" w:cs="Arial" w:eastAsia="Arial" w:hAnsi="Arial"/>
          <w:sz w:val="17"/>
          <w:szCs w:val="17"/>
          <w:color w:val="auto"/>
        </w:rPr>
        <w:t>Know all men by these presents, that the undersigned directors and officers of the registrant, a Delaware corporation, which is filing a registration statement on Form S-8 with the SEC, Washington, D.C. 20549 under the provisions of the Securities Act of 1933, as amended, hereby constitute and appoint Daniel E. Bachus and Christopher C. Richardson, and each of them, the individual’s true and lawful attorney-in-fact and agents, with full power of substitution and resubstitution, for the person and in his or her name, place and stead, in any and all capacities, to sign such registration statement and any or all amendments, including post-effective amendments to the registration statement, including a prospectus or an amended prospectus therein and any registration statement for the same offering that is to be effective upon filing pursuant to Rule 462(b) under the Securities Act, and all other documents in connection therewith to be filed with the SEC,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as agents or any of them, or their substitute or substitutes, may lawfully do or cause to be done by virtue hereof.</w:t>
      </w:r>
    </w:p>
    <w:p>
      <w:pPr>
        <w:spacing w:after="0" w:line="70"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and the Power of Attorney has been signed by the following persons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Name and Signature</w:t>
            </w:r>
          </w:p>
        </w:tc>
        <w:tc>
          <w:tcPr>
            <w:tcW w:w="340" w:type="dxa"/>
            <w:vAlign w:val="bottom"/>
          </w:tcPr>
          <w:p>
            <w:pPr>
              <w:spacing w:after="0"/>
              <w:rPr>
                <w:sz w:val="14"/>
                <w:szCs w:val="14"/>
                <w:color w:val="auto"/>
              </w:rPr>
            </w:pPr>
          </w:p>
        </w:tc>
        <w:tc>
          <w:tcPr>
            <w:tcW w:w="4560" w:type="dxa"/>
            <w:vAlign w:val="bottom"/>
            <w:tcBorders>
              <w:bottom w:val="single" w:sz="8" w:color="auto"/>
            </w:tcBorders>
          </w:tcPr>
          <w:p>
            <w:pPr>
              <w:ind w:left="2140"/>
              <w:spacing w:after="0"/>
              <w:rPr>
                <w:sz w:val="20"/>
                <w:szCs w:val="20"/>
                <w:color w:val="auto"/>
              </w:rPr>
            </w:pPr>
            <w:r>
              <w:rPr>
                <w:rFonts w:ascii="Arial" w:cs="Arial" w:eastAsia="Arial" w:hAnsi="Arial"/>
                <w:sz w:val="14"/>
                <w:szCs w:val="14"/>
                <w:b w:val="1"/>
                <w:bCs w:val="1"/>
                <w:color w:val="auto"/>
              </w:rPr>
              <w:t>Title</w:t>
            </w:r>
          </w:p>
        </w:tc>
        <w:tc>
          <w:tcPr>
            <w:tcW w:w="340" w:type="dxa"/>
            <w:vAlign w:val="bottom"/>
          </w:tcPr>
          <w:p>
            <w:pPr>
              <w:spacing w:after="0"/>
              <w:rPr>
                <w:sz w:val="14"/>
                <w:szCs w:val="14"/>
                <w:color w:val="auto"/>
              </w:rPr>
            </w:pPr>
          </w:p>
        </w:tc>
        <w:tc>
          <w:tcPr>
            <w:tcW w:w="160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426"/>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Brent D. Richardson</w:t>
            </w:r>
          </w:p>
        </w:tc>
        <w:tc>
          <w:tcPr>
            <w:tcW w:w="34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Executive Chairman</w:t>
            </w:r>
          </w:p>
        </w:tc>
        <w:tc>
          <w:tcPr>
            <w:tcW w:w="34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December 5, 2008</w:t>
            </w:r>
          </w:p>
        </w:tc>
        <w:tc>
          <w:tcPr>
            <w:tcW w:w="0" w:type="dxa"/>
            <w:vAlign w:val="bottom"/>
          </w:tcPr>
          <w:p>
            <w:pPr>
              <w:spacing w:after="0"/>
              <w:rPr>
                <w:sz w:val="1"/>
                <w:szCs w:val="1"/>
                <w:color w:val="auto"/>
              </w:rPr>
            </w:pP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Brent D. Richardson</w:t>
            </w:r>
          </w:p>
        </w:tc>
        <w:tc>
          <w:tcPr>
            <w:tcW w:w="3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E. Mueller</w:t>
            </w:r>
          </w:p>
        </w:tc>
        <w:tc>
          <w:tcPr>
            <w:tcW w:w="34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Executive Officer (Principal Executive Officer)</w:t>
            </w:r>
          </w:p>
        </w:tc>
        <w:tc>
          <w:tcPr>
            <w:tcW w:w="34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December 5, 2008</w:t>
            </w:r>
          </w:p>
        </w:tc>
        <w:tc>
          <w:tcPr>
            <w:tcW w:w="0" w:type="dxa"/>
            <w:vAlign w:val="bottom"/>
          </w:tcPr>
          <w:p>
            <w:pPr>
              <w:spacing w:after="0"/>
              <w:rPr>
                <w:sz w:val="1"/>
                <w:szCs w:val="1"/>
                <w:color w:val="auto"/>
              </w:rPr>
            </w:pP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Brian E. Mueller</w:t>
            </w:r>
          </w:p>
        </w:tc>
        <w:tc>
          <w:tcPr>
            <w:tcW w:w="3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E. Bachus</w:t>
            </w:r>
          </w:p>
        </w:tc>
        <w:tc>
          <w:tcPr>
            <w:tcW w:w="34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Financial Officer (Principal Financial and Principal</w:t>
            </w:r>
          </w:p>
        </w:tc>
        <w:tc>
          <w:tcPr>
            <w:tcW w:w="34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December 5, 2008</w:t>
            </w:r>
          </w:p>
        </w:tc>
        <w:tc>
          <w:tcPr>
            <w:tcW w:w="0" w:type="dxa"/>
            <w:vAlign w:val="bottom"/>
          </w:tcPr>
          <w:p>
            <w:pPr>
              <w:spacing w:after="0"/>
              <w:rPr>
                <w:sz w:val="1"/>
                <w:szCs w:val="1"/>
                <w:color w:val="auto"/>
              </w:rPr>
            </w:pP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Daniel E. Bachus</w:t>
            </w:r>
          </w:p>
        </w:tc>
        <w:tc>
          <w:tcPr>
            <w:tcW w:w="34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Accounting Officer)</w:t>
            </w: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C. Richardson</w:t>
            </w:r>
          </w:p>
        </w:tc>
        <w:tc>
          <w:tcPr>
            <w:tcW w:w="34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General Counsel and Director</w:t>
            </w:r>
          </w:p>
        </w:tc>
        <w:tc>
          <w:tcPr>
            <w:tcW w:w="34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December 5, 2008</w:t>
            </w:r>
          </w:p>
        </w:tc>
        <w:tc>
          <w:tcPr>
            <w:tcW w:w="0" w:type="dxa"/>
            <w:vAlign w:val="bottom"/>
          </w:tcPr>
          <w:p>
            <w:pPr>
              <w:spacing w:after="0"/>
              <w:rPr>
                <w:sz w:val="1"/>
                <w:szCs w:val="1"/>
                <w:color w:val="auto"/>
              </w:rPr>
            </w:pP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Christopher C. Richardson</w:t>
            </w:r>
          </w:p>
        </w:tc>
        <w:tc>
          <w:tcPr>
            <w:tcW w:w="3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 Mark Dorman</w:t>
            </w:r>
          </w:p>
        </w:tc>
        <w:tc>
          <w:tcPr>
            <w:tcW w:w="34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December 5, 2008</w:t>
            </w:r>
          </w:p>
        </w:tc>
        <w:tc>
          <w:tcPr>
            <w:tcW w:w="0" w:type="dxa"/>
            <w:vAlign w:val="bottom"/>
          </w:tcPr>
          <w:p>
            <w:pPr>
              <w:spacing w:after="0"/>
              <w:rPr>
                <w:sz w:val="1"/>
                <w:szCs w:val="1"/>
                <w:color w:val="auto"/>
              </w:rPr>
            </w:pP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D. Mark Dorman</w:t>
            </w:r>
          </w:p>
        </w:tc>
        <w:tc>
          <w:tcPr>
            <w:tcW w:w="3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N. Heath</w:t>
            </w:r>
          </w:p>
        </w:tc>
        <w:tc>
          <w:tcPr>
            <w:tcW w:w="34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December 5, 2008</w:t>
            </w:r>
          </w:p>
        </w:tc>
        <w:tc>
          <w:tcPr>
            <w:tcW w:w="0" w:type="dxa"/>
            <w:vAlign w:val="bottom"/>
          </w:tcPr>
          <w:p>
            <w:pPr>
              <w:spacing w:after="0"/>
              <w:rPr>
                <w:sz w:val="1"/>
                <w:szCs w:val="1"/>
                <w:color w:val="auto"/>
              </w:rPr>
            </w:pP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Chad N. Heath</w:t>
            </w:r>
          </w:p>
        </w:tc>
        <w:tc>
          <w:tcPr>
            <w:tcW w:w="3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58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56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18"/>
                <w:szCs w:val="18"/>
                <w:color w:val="auto"/>
              </w:rPr>
            </w:pPr>
          </w:p>
        </w:tc>
        <w:tc>
          <w:tcPr>
            <w:tcW w:w="1600" w:type="dxa"/>
            <w:vAlign w:val="bottom"/>
            <w:vMerge w:val="restart"/>
          </w:tcPr>
          <w:p>
            <w:pPr>
              <w:spacing w:after="0"/>
              <w:rPr>
                <w:sz w:val="20"/>
                <w:szCs w:val="20"/>
                <w:color w:val="auto"/>
              </w:rPr>
            </w:pPr>
            <w:r>
              <w:rPr>
                <w:rFonts w:ascii="Arial" w:cs="Arial" w:eastAsia="Arial" w:hAnsi="Arial"/>
                <w:sz w:val="18"/>
                <w:szCs w:val="18"/>
                <w:color w:val="auto"/>
              </w:rPr>
              <w:t>December 5, 2008</w:t>
            </w:r>
          </w:p>
        </w:tc>
        <w:tc>
          <w:tcPr>
            <w:tcW w:w="0" w:type="dxa"/>
            <w:vAlign w:val="bottom"/>
          </w:tcPr>
          <w:p>
            <w:pPr>
              <w:spacing w:after="0"/>
              <w:rPr>
                <w:sz w:val="1"/>
                <w:szCs w:val="1"/>
                <w:color w:val="auto"/>
              </w:rPr>
            </w:pP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David J. Johnson</w:t>
            </w:r>
          </w:p>
        </w:tc>
        <w:tc>
          <w:tcPr>
            <w:tcW w:w="340" w:type="dxa"/>
            <w:vAlign w:val="bottom"/>
          </w:tcPr>
          <w:p>
            <w:pPr>
              <w:spacing w:after="0"/>
              <w:rPr>
                <w:sz w:val="19"/>
                <w:szCs w:val="19"/>
                <w:color w:val="auto"/>
              </w:rPr>
            </w:pPr>
          </w:p>
        </w:tc>
        <w:tc>
          <w:tcPr>
            <w:tcW w:w="456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58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56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18"/>
                <w:szCs w:val="18"/>
                <w:color w:val="auto"/>
              </w:rPr>
            </w:pPr>
          </w:p>
        </w:tc>
        <w:tc>
          <w:tcPr>
            <w:tcW w:w="1600" w:type="dxa"/>
            <w:vAlign w:val="bottom"/>
            <w:vMerge w:val="restart"/>
          </w:tcPr>
          <w:p>
            <w:pPr>
              <w:spacing w:after="0"/>
              <w:rPr>
                <w:sz w:val="20"/>
                <w:szCs w:val="20"/>
                <w:color w:val="auto"/>
              </w:rPr>
            </w:pPr>
            <w:r>
              <w:rPr>
                <w:rFonts w:ascii="Arial" w:cs="Arial" w:eastAsia="Arial" w:hAnsi="Arial"/>
                <w:sz w:val="18"/>
                <w:szCs w:val="18"/>
                <w:color w:val="auto"/>
              </w:rPr>
              <w:t>December 5, 2008</w:t>
            </w:r>
          </w:p>
        </w:tc>
        <w:tc>
          <w:tcPr>
            <w:tcW w:w="0" w:type="dxa"/>
            <w:vAlign w:val="bottom"/>
          </w:tcPr>
          <w:p>
            <w:pPr>
              <w:spacing w:after="0"/>
              <w:rPr>
                <w:sz w:val="1"/>
                <w:szCs w:val="1"/>
                <w:color w:val="auto"/>
              </w:rPr>
            </w:pP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Jack A. Henry</w:t>
            </w:r>
          </w:p>
        </w:tc>
        <w:tc>
          <w:tcPr>
            <w:tcW w:w="340" w:type="dxa"/>
            <w:vAlign w:val="bottom"/>
          </w:tcPr>
          <w:p>
            <w:pPr>
              <w:spacing w:after="0"/>
              <w:rPr>
                <w:sz w:val="19"/>
                <w:szCs w:val="19"/>
                <w:color w:val="auto"/>
              </w:rPr>
            </w:pPr>
          </w:p>
        </w:tc>
        <w:tc>
          <w:tcPr>
            <w:tcW w:w="456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4580" w:type="dxa"/>
            <w:vAlign w:val="bottom"/>
          </w:tcPr>
          <w:p>
            <w:pPr>
              <w:spacing w:after="0"/>
              <w:rPr>
                <w:sz w:val="24"/>
                <w:szCs w:val="24"/>
                <w:color w:val="auto"/>
              </w:rPr>
            </w:pPr>
          </w:p>
        </w:tc>
        <w:tc>
          <w:tcPr>
            <w:tcW w:w="4900" w:type="dxa"/>
            <w:vAlign w:val="bottom"/>
            <w:gridSpan w:val="2"/>
          </w:tcPr>
          <w:p>
            <w:pPr>
              <w:jc w:val="right"/>
              <w:ind w:right="3572"/>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5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jc w:val="center"/>
              <w:ind w:right="1052"/>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9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24"/>
                <w:szCs w:val="24"/>
                <w:color w:val="auto"/>
              </w:rPr>
            </w:pPr>
          </w:p>
        </w:tc>
        <w:tc>
          <w:tcPr>
            <w:tcW w:w="10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920" w:type="dxa"/>
            <w:vAlign w:val="bottom"/>
          </w:tcPr>
          <w:p>
            <w:pPr>
              <w:spacing w:after="0" w:line="195" w:lineRule="exact"/>
              <w:rPr>
                <w:sz w:val="20"/>
                <w:szCs w:val="20"/>
                <w:color w:val="auto"/>
              </w:rPr>
            </w:pPr>
            <w:r>
              <w:rPr>
                <w:rFonts w:ascii="Arial" w:cs="Arial" w:eastAsia="Arial" w:hAnsi="Arial"/>
                <w:sz w:val="18"/>
                <w:szCs w:val="18"/>
                <w:color w:val="auto"/>
              </w:rPr>
              <w:t>4.1</w:t>
            </w:r>
          </w:p>
        </w:tc>
        <w:tc>
          <w:tcPr>
            <w:tcW w:w="240" w:type="dxa"/>
            <w:vAlign w:val="bottom"/>
          </w:tcPr>
          <w:p>
            <w:pPr>
              <w:spacing w:after="0"/>
              <w:rPr>
                <w:sz w:val="16"/>
                <w:szCs w:val="16"/>
                <w:color w:val="auto"/>
              </w:rPr>
            </w:pPr>
          </w:p>
        </w:tc>
        <w:tc>
          <w:tcPr>
            <w:tcW w:w="10260" w:type="dxa"/>
            <w:vAlign w:val="bottom"/>
          </w:tcPr>
          <w:p>
            <w:pPr>
              <w:spacing w:after="0" w:line="195" w:lineRule="exact"/>
              <w:rPr>
                <w:sz w:val="20"/>
                <w:szCs w:val="20"/>
                <w:color w:val="auto"/>
              </w:rPr>
            </w:pPr>
            <w:r>
              <w:rPr>
                <w:rFonts w:ascii="Arial" w:cs="Arial" w:eastAsia="Arial" w:hAnsi="Arial"/>
                <w:sz w:val="18"/>
                <w:szCs w:val="18"/>
                <w:color w:val="auto"/>
                <w:w w:val="93"/>
              </w:rPr>
              <w:t>Specimen of Stock Certificate (incorporated herein by reference to Exhibit 4.1 to the Registrant’s Registration Statement on Form S-1 (File</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No. 333-150876), as amended (“Registrant’s Form S-1”))</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Opinion of DLA Piper LLP (US)</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23.2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DLA Piper LLP (US)</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24.1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Powers of Attorney (included as part of the signature page to this Registration Statement)</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Grand Canyon Education, Inc. 2008 Equity Incentive Plan (incorporated herein by reference to Exhibit 10.4 to the Registrant’s Form S-1)</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99.2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Grand Canyon Education, Inc. 2008 Equity Incentive Plan — Form of Stock Option Agreement</w:t>
            </w:r>
          </w:p>
        </w:tc>
        <w:tc>
          <w:tcPr>
            <w:tcW w:w="0" w:type="dxa"/>
            <w:vAlign w:val="bottom"/>
          </w:tcPr>
          <w:p>
            <w:pPr>
              <w:spacing w:after="0"/>
              <w:rPr>
                <w:sz w:val="1"/>
                <w:szCs w:val="1"/>
                <w:color w:val="auto"/>
              </w:rPr>
            </w:pPr>
          </w:p>
        </w:tc>
      </w:tr>
      <w:tr>
        <w:trPr>
          <w:trHeight w:val="405"/>
        </w:trPr>
        <w:tc>
          <w:tcPr>
            <w:tcW w:w="920" w:type="dxa"/>
            <w:vAlign w:val="bottom"/>
          </w:tcPr>
          <w:p>
            <w:pPr>
              <w:spacing w:after="0"/>
              <w:rPr>
                <w:sz w:val="24"/>
                <w:szCs w:val="24"/>
                <w:color w:val="auto"/>
              </w:rPr>
            </w:pPr>
          </w:p>
        </w:tc>
        <w:tc>
          <w:tcPr>
            <w:tcW w:w="10500" w:type="dxa"/>
            <w:vAlign w:val="bottom"/>
            <w:gridSpan w:val="2"/>
          </w:tcPr>
          <w:p>
            <w:pPr>
              <w:jc w:val="right"/>
              <w:ind w:right="55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ectPr>
          <w:pgSz w:w="11900" w:h="16838" w:orient="portrait"/>
          <w:cols w:equalWidth="0" w:num="1">
            <w:col w:w="11420"/>
          </w:cols>
          <w:pgMar w:left="240" w:top="419"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5.1</w:t>
      </w:r>
    </w:p>
    <w:p>
      <w:pPr>
        <w:spacing w:after="0" w:line="225"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DLA Piper LLP (US)</w:t>
      </w:r>
    </w:p>
    <w:p>
      <w:pPr>
        <w:spacing w:after="0" w:line="27"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2415 East Camelback Road, Suite 700</w:t>
      </w:r>
    </w:p>
    <w:p>
      <w:pPr>
        <w:spacing w:after="0" w:line="9"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Phoenix, Arizona 85016-4245</w:t>
      </w:r>
    </w:p>
    <w:p>
      <w:pPr>
        <w:spacing w:after="0" w:line="9"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www.dlapiper.com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012190" cy="5829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1219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December 5,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3300 W. Camelback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 85017</w:t>
      </w:r>
    </w:p>
    <w:p>
      <w:pPr>
        <w:spacing w:after="0" w:line="9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Registration Statement on Form S-8</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acted as legal counsel for Grand Canyon Education,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connection with a Registration Statement on Form S-8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for the registration of up to 4,199,937 shares of the Common Stock, $0.01 par value, of the Company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that are reserved for issuance under the Grand Canyon Education, Inc. 2008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w:t>
      </w:r>
    </w:p>
    <w:p>
      <w:pPr>
        <w:spacing w:after="0" w:line="7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have examined all instruments, documents and records which we deemed relevant and necessary for the basis of our opinion hereinafter expressed. In such examination, we have assumed the genuineness of all signatures and the authenticity of all documents submitted to us as originals and the conformity to the originals of all documents submitted to us as copies. We are admitted to practice only in the State of Arizona and we express no opinion concerning any law other than the law of the State of Arizona, the corporation laws of the State of Delaware and the federal law of the United States. As to matters of Delaware corporation law, we have based our opinion solely upon our examination of such laws and the rules and regulations of the authorities administering such laws, all as reported in standard, unofficial compilations. We have not obtained opinions of counsel licensed to practice in jurisdictions other than the State of Arizona.</w:t>
      </w:r>
    </w:p>
    <w:p>
      <w:pPr>
        <w:spacing w:after="0" w:line="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Based on such examination, we are of the opinion that the Shares, when issued and sold in the manner referred to in the Plan and pursuant to the agreements that accompany the Plan, will be validly issued, fully paid and nonassessable.</w:t>
      </w:r>
    </w:p>
    <w:p>
      <w:pPr>
        <w:spacing w:after="0" w:line="62"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We hereby consent to the filing of this opinion as an exhibit to the Registration Statement referred to above and the use of our name wherever it appears in said Registration Statement. In giving this consent, we do not admit that we are within the category of persons whose consent is required under Section 7 of the Securities Act, the rules and regulations of the Securities and Exchange Commission promulgated thereunder or Item 509 of Regulation S K.</w:t>
      </w:r>
    </w:p>
    <w:p>
      <w:pPr>
        <w:spacing w:after="0" w:line="3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This opinion letter is given to you solely for use in connection with the issuance of the Shares in accordance with the Registration Statement and is not to be relied on for any other purpose. Our opinion is expressly limited to the matters set forth above, and we render no opinion, whether by implication or otherwise, as to any other matters relating to the Company, the Shares or the Registration Statement.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DLA Piper LLP (US)</w:t>
      </w:r>
    </w:p>
    <w:p>
      <w:pPr>
        <w:sectPr>
          <w:pgSz w:w="11900" w:h="16838" w:orient="portrait"/>
          <w:cols w:equalWidth="0" w:num="1">
            <w:col w:w="11420"/>
          </w:cols>
          <w:pgMar w:left="240" w:top="121"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Grand Canyon Education, Inc. 2008 Equity Incentive Plan of our report dated May 12, 2008 (except for Note 3, as to which the date is August 11, 2008, and Note 17, as to which the date is September 29, 2008), with respect to the financial statements of Grand Canyon Education, Inc. included in the Registration Statement (Form S-1 No. 333-150876), as amended, filed with the Securities and Exchange Commission.</w:t>
      </w:r>
    </w:p>
    <w:p>
      <w:pPr>
        <w:spacing w:after="0" w:line="200" w:lineRule="exact"/>
        <w:rPr>
          <w:sz w:val="20"/>
          <w:szCs w:val="20"/>
          <w:color w:val="auto"/>
        </w:rPr>
      </w:pPr>
    </w:p>
    <w:p>
      <w:pPr>
        <w:spacing w:after="0" w:line="20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 2008</w:t>
      </w:r>
    </w:p>
    <w:p>
      <w:pPr>
        <w:sectPr>
          <w:pgSz w:w="11900" w:h="16838" w:orient="portrait"/>
          <w:cols w:equalWidth="0" w:num="1">
            <w:col w:w="11420"/>
          </w:cols>
          <w:pgMar w:left="240" w:top="121"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99.2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Agreement</w:t>
      </w:r>
    </w:p>
    <w:p>
      <w:pPr>
        <w:spacing w:after="0" w:line="103"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color w:val="auto"/>
        </w:rPr>
        <w:t xml:space="preserve">Grand Canyon Education, Inc. has granted to the Participant named in the </w:t>
      </w:r>
      <w:r>
        <w:rPr>
          <w:rFonts w:ascii="Arial" w:cs="Arial" w:eastAsia="Arial" w:hAnsi="Arial"/>
          <w:sz w:val="17"/>
          <w:szCs w:val="17"/>
          <w:i w:val="1"/>
          <w:iCs w:val="1"/>
          <w:color w:val="auto"/>
        </w:rPr>
        <w:t>Notice of Grant of Stock Option</w:t>
      </w:r>
      <w:r>
        <w:rPr>
          <w:rFonts w:ascii="Arial" w:cs="Arial" w:eastAsia="Arial" w:hAnsi="Arial"/>
          <w:sz w:val="17"/>
          <w:szCs w:val="17"/>
          <w:color w:val="auto"/>
        </w:rPr>
        <w:t xml:space="preserve">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Grant Notice</w:t>
      </w:r>
      <w:r>
        <w:rPr>
          <w:rFonts w:ascii="Arial" w:cs="Arial" w:eastAsia="Arial" w:hAnsi="Arial"/>
          <w:sz w:val="17"/>
          <w:szCs w:val="17"/>
          <w:i w:val="1"/>
          <w:iCs w:val="1"/>
          <w:color w:val="auto"/>
        </w:rPr>
        <w:t>”</w:t>
      </w:r>
      <w:r>
        <w:rPr>
          <w:rFonts w:ascii="Arial" w:cs="Arial" w:eastAsia="Arial" w:hAnsi="Arial"/>
          <w:sz w:val="17"/>
          <w:szCs w:val="17"/>
          <w:color w:val="auto"/>
        </w:rPr>
        <w:t xml:space="preserve">) to which this Stock Option Agreement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Option Agreement</w:t>
      </w:r>
      <w:r>
        <w:rPr>
          <w:rFonts w:ascii="Arial" w:cs="Arial" w:eastAsia="Arial" w:hAnsi="Arial"/>
          <w:sz w:val="17"/>
          <w:szCs w:val="17"/>
          <w:i w:val="1"/>
          <w:iCs w:val="1"/>
          <w:color w:val="auto"/>
        </w:rPr>
        <w:t>”</w:t>
      </w:r>
      <w:r>
        <w:rPr>
          <w:rFonts w:ascii="Arial" w:cs="Arial" w:eastAsia="Arial" w:hAnsi="Arial"/>
          <w:sz w:val="17"/>
          <w:szCs w:val="17"/>
          <w:color w:val="auto"/>
        </w:rPr>
        <w:t xml:space="preserve">) is attached an Option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Option</w:t>
      </w:r>
      <w:r>
        <w:rPr>
          <w:rFonts w:ascii="Arial" w:cs="Arial" w:eastAsia="Arial" w:hAnsi="Arial"/>
          <w:sz w:val="17"/>
          <w:szCs w:val="17"/>
          <w:i w:val="1"/>
          <w:iCs w:val="1"/>
          <w:color w:val="auto"/>
        </w:rPr>
        <w:t>”</w:t>
      </w:r>
      <w:r>
        <w:rPr>
          <w:rFonts w:ascii="Arial" w:cs="Arial" w:eastAsia="Arial" w:hAnsi="Arial"/>
          <w:sz w:val="17"/>
          <w:szCs w:val="17"/>
          <w:color w:val="auto"/>
        </w:rPr>
        <w:t xml:space="preserve">) to purchase certain shares of Stock upon the terms and conditions set forth in the Grant Notice and this Option Agreement. The Option has been granted pursuant to and shall in all respects be subject to the terms and conditions of the Grand Canyon Education, Inc. 2008 Equity Incentive Plan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Plan</w:t>
      </w:r>
      <w:r>
        <w:rPr>
          <w:rFonts w:ascii="Arial" w:cs="Arial" w:eastAsia="Arial" w:hAnsi="Arial"/>
          <w:sz w:val="17"/>
          <w:szCs w:val="17"/>
          <w:i w:val="1"/>
          <w:iCs w:val="1"/>
          <w:color w:val="auto"/>
        </w:rPr>
        <w:t>”</w:t>
      </w:r>
      <w:r>
        <w:rPr>
          <w:rFonts w:ascii="Arial" w:cs="Arial" w:eastAsia="Arial" w:hAnsi="Arial"/>
          <w:sz w:val="17"/>
          <w:szCs w:val="17"/>
          <w:color w:val="auto"/>
        </w:rPr>
        <w:t xml:space="preserve">), as amended to the Date of Grant, the provisions of which are incorporated herein by reference. By signing the Grant Notice, the Participant: (a) acknowledges receipt of and represents that the Participant has read and is familiar with the Grant Notice, this Option Agreement, the Plan and a prospectus for the Plan prepared in connection with the registration with the Securities and Exchange Commission of shares issuable pursuant to the Option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Plan Prospectus</w:t>
      </w:r>
      <w:r>
        <w:rPr>
          <w:rFonts w:ascii="Arial" w:cs="Arial" w:eastAsia="Arial" w:hAnsi="Arial"/>
          <w:sz w:val="17"/>
          <w:szCs w:val="17"/>
          <w:i w:val="1"/>
          <w:iCs w:val="1"/>
          <w:color w:val="auto"/>
        </w:rPr>
        <w:t>”</w:t>
      </w:r>
      <w:r>
        <w:rPr>
          <w:rFonts w:ascii="Arial" w:cs="Arial" w:eastAsia="Arial" w:hAnsi="Arial"/>
          <w:sz w:val="17"/>
          <w:szCs w:val="17"/>
          <w:color w:val="auto"/>
        </w:rPr>
        <w:t>), (b) accepts the Option subject to all of the terms and conditions of the Grant Notice, this Option Agreement and the Plan, and (c) agrees to accept as binding, conclusive and final all decisions or interpretations of the Committee upon any questions arising under the Grant Notice, this Option Agreement or the Plan.</w:t>
      </w:r>
    </w:p>
    <w:p>
      <w:pPr>
        <w:spacing w:after="0" w:line="70" w:lineRule="exact"/>
        <w:rPr>
          <w:sz w:val="20"/>
          <w:szCs w:val="20"/>
          <w:color w:val="auto"/>
        </w:rPr>
      </w:pPr>
    </w:p>
    <w:p>
      <w:pPr>
        <w:ind w:left="420" w:hanging="187"/>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b w:val="1"/>
          <w:bCs w:val="1"/>
          <w:u w:val="single" w:color="auto"/>
          <w:color w:val="auto"/>
        </w:rPr>
        <w:t>D</w:t>
      </w:r>
      <w:r>
        <w:rPr>
          <w:rFonts w:ascii="Arial" w:cs="Arial" w:eastAsia="Arial" w:hAnsi="Arial"/>
          <w:sz w:val="12"/>
          <w:szCs w:val="12"/>
          <w:b w:val="1"/>
          <w:bCs w:val="1"/>
          <w:u w:val="single" w:color="auto"/>
          <w:color w:val="auto"/>
        </w:rPr>
        <w:t>EFINITIONS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2"/>
          <w:szCs w:val="12"/>
          <w:b w:val="1"/>
          <w:bCs w:val="1"/>
          <w:u w:val="single" w:color="auto"/>
          <w:color w:val="auto"/>
        </w:rPr>
        <w:t>ONSTRUCTION</w:t>
      </w:r>
      <w:r>
        <w:rPr>
          <w:rFonts w:ascii="Arial" w:cs="Arial" w:eastAsia="Arial" w:hAnsi="Arial"/>
          <w:sz w:val="18"/>
          <w:szCs w:val="18"/>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1.1 Definitions</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Unless otherwise defined herein, capitalized terms shall have the meanings assigned to such terms in the Grant Notice or the Plan. l.</w:t>
      </w:r>
    </w:p>
    <w:p>
      <w:pPr>
        <w:spacing w:after="0" w:line="140" w:lineRule="exact"/>
        <w:rPr>
          <w:sz w:val="20"/>
          <w:szCs w:val="20"/>
          <w:color w:val="auto"/>
        </w:rPr>
      </w:pPr>
    </w:p>
    <w:p>
      <w:pPr>
        <w:ind w:right="160" w:firstLine="450"/>
        <w:spacing w:after="0" w:line="264" w:lineRule="auto"/>
        <w:rPr>
          <w:sz w:val="20"/>
          <w:szCs w:val="20"/>
          <w:color w:val="auto"/>
        </w:rPr>
      </w:pPr>
      <w:r>
        <w:rPr>
          <w:rFonts w:ascii="Arial" w:cs="Arial" w:eastAsia="Arial" w:hAnsi="Arial"/>
          <w:sz w:val="18"/>
          <w:szCs w:val="18"/>
          <w:color w:val="auto"/>
        </w:rPr>
        <w:t>1.2 Construction</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Captions and titles contained herein are for convenience only and shall not affect the meaning or interpretation of any provision of this Option Agreement. Except when otherwise indicated by the context, the singular shall include the plural and the plural shall include the singular. Use of the term “or” is not intended to be exclusive, unless the context clearly requires otherwise.</w:t>
      </w:r>
    </w:p>
    <w:p>
      <w:pPr>
        <w:spacing w:after="0" w:line="69" w:lineRule="exact"/>
        <w:rPr>
          <w:sz w:val="20"/>
          <w:szCs w:val="20"/>
          <w:color w:val="auto"/>
        </w:rPr>
      </w:pPr>
    </w:p>
    <w:p>
      <w:pPr>
        <w:ind w:left="420" w:hanging="187"/>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T</w:t>
      </w:r>
      <w:r>
        <w:rPr>
          <w:rFonts w:ascii="Arial" w:cs="Arial" w:eastAsia="Arial" w:hAnsi="Arial"/>
          <w:sz w:val="12"/>
          <w:szCs w:val="12"/>
          <w:b w:val="1"/>
          <w:bCs w:val="1"/>
          <w:u w:val="single" w:color="auto"/>
          <w:color w:val="auto"/>
        </w:rPr>
        <w:t>AX</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2"/>
          <w:szCs w:val="12"/>
          <w:b w:val="1"/>
          <w:bCs w:val="1"/>
          <w:u w:val="single" w:color="auto"/>
          <w:color w:val="auto"/>
        </w:rPr>
        <w:t>TATUS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w:t>
      </w:r>
      <w:r>
        <w:rPr>
          <w:rFonts w:ascii="Arial" w:cs="Arial" w:eastAsia="Arial" w:hAnsi="Arial"/>
          <w:sz w:val="12"/>
          <w:szCs w:val="12"/>
          <w:b w:val="1"/>
          <w:bCs w:val="1"/>
          <w:u w:val="single" w:color="auto"/>
          <w:color w:val="auto"/>
        </w:rPr>
        <w:t>PTION</w:t>
      </w:r>
      <w:r>
        <w:rPr>
          <w:rFonts w:ascii="Arial" w:cs="Arial" w:eastAsia="Arial" w:hAnsi="Arial"/>
          <w:sz w:val="18"/>
          <w:szCs w:val="18"/>
          <w:b w:val="1"/>
          <w:bCs w:val="1"/>
          <w:color w:val="auto"/>
        </w:rPr>
        <w:t>.</w:t>
      </w:r>
    </w:p>
    <w:p>
      <w:pPr>
        <w:spacing w:after="0" w:line="121" w:lineRule="exact"/>
        <w:rPr>
          <w:sz w:val="20"/>
          <w:szCs w:val="20"/>
          <w:color w:val="auto"/>
        </w:rPr>
      </w:pPr>
    </w:p>
    <w:p>
      <w:pPr>
        <w:ind w:right="180" w:firstLine="447"/>
        <w:spacing w:after="0" w:line="277" w:lineRule="auto"/>
        <w:rPr>
          <w:sz w:val="20"/>
          <w:szCs w:val="20"/>
          <w:color w:val="auto"/>
        </w:rPr>
      </w:pPr>
      <w:r>
        <w:rPr>
          <w:rFonts w:ascii="Arial" w:cs="Arial" w:eastAsia="Arial" w:hAnsi="Arial"/>
          <w:sz w:val="18"/>
          <w:szCs w:val="18"/>
          <w:color w:val="auto"/>
        </w:rPr>
        <w:t>This Option is intended to be a Nonstatutory Stock Option and shall not be treated as an Incentive Stock Option within the meaning of Section 422(b) of the Code.</w:t>
      </w:r>
    </w:p>
    <w:p>
      <w:pPr>
        <w:spacing w:after="0" w:line="58" w:lineRule="exact"/>
        <w:rPr>
          <w:sz w:val="20"/>
          <w:szCs w:val="20"/>
          <w:color w:val="auto"/>
        </w:rPr>
      </w:pPr>
    </w:p>
    <w:p>
      <w:pPr>
        <w:ind w:left="420" w:hanging="187"/>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2"/>
          <w:szCs w:val="12"/>
          <w:b w:val="1"/>
          <w:bCs w:val="1"/>
          <w:u w:val="single" w:color="auto"/>
          <w:color w:val="auto"/>
        </w:rPr>
        <w:t>DMINISTRATION</w:t>
      </w:r>
      <w:r>
        <w:rPr>
          <w:rFonts w:ascii="Arial" w:cs="Arial" w:eastAsia="Arial" w:hAnsi="Arial"/>
          <w:sz w:val="18"/>
          <w:szCs w:val="18"/>
          <w:b w:val="1"/>
          <w:bCs w:val="1"/>
          <w:color w:val="auto"/>
        </w:rPr>
        <w:t>.</w:t>
      </w:r>
    </w:p>
    <w:p>
      <w:pPr>
        <w:spacing w:after="0" w:line="121" w:lineRule="exact"/>
        <w:rPr>
          <w:sz w:val="20"/>
          <w:szCs w:val="20"/>
          <w:color w:val="auto"/>
        </w:rPr>
      </w:pPr>
    </w:p>
    <w:p>
      <w:pPr>
        <w:ind w:right="120" w:firstLine="440"/>
        <w:spacing w:after="0" w:line="293" w:lineRule="auto"/>
        <w:rPr>
          <w:sz w:val="20"/>
          <w:szCs w:val="20"/>
          <w:color w:val="auto"/>
        </w:rPr>
      </w:pPr>
      <w:r>
        <w:rPr>
          <w:rFonts w:ascii="Arial" w:cs="Arial" w:eastAsia="Arial" w:hAnsi="Arial"/>
          <w:sz w:val="16"/>
          <w:szCs w:val="16"/>
          <w:color w:val="auto"/>
        </w:rPr>
        <w:t>All questions of interpretation concerning the Grant Notice, this Option Agreement, the Plan or any other form of agreement or other document employed by the Company in the administration of the Plan or the Option shall be determined by the Committee. All such determinations by the Committee shall be final, binding and conclusive upon all persons having an interest in the Option, unless fraudulent or made in bad faith. Any and all actions, decisions and determinations taken or made by the Committee in the exercise of its discretion pursuant to the Plan or the Option or other agreement thereunder (other than determining questions of interpretation pursuant to the preceding sentence) shall be final, binding and conclusive upon all persons having an interest in the Option. Any Officer shall have the authority to act on behalf of the Company with respect to any matter, right, obligation,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360680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ind w:right="260"/>
        <w:spacing w:after="0" w:line="277" w:lineRule="auto"/>
        <w:rPr>
          <w:sz w:val="20"/>
          <w:szCs w:val="20"/>
          <w:color w:val="auto"/>
        </w:rPr>
      </w:pPr>
      <w:r>
        <w:rPr>
          <w:rFonts w:ascii="Arial" w:cs="Arial" w:eastAsia="Arial" w:hAnsi="Arial"/>
          <w:sz w:val="18"/>
          <w:szCs w:val="18"/>
          <w:color w:val="auto"/>
        </w:rPr>
        <w:t>election which is the responsibility of or which is allocated to the Company herein, provided the Officer has apparent authority with respect to such matter, right, obligation, or election.</w:t>
      </w:r>
    </w:p>
    <w:p>
      <w:pPr>
        <w:spacing w:after="0" w:line="58" w:lineRule="exact"/>
        <w:rPr>
          <w:sz w:val="20"/>
          <w:szCs w:val="20"/>
          <w:color w:val="auto"/>
        </w:rPr>
      </w:pPr>
    </w:p>
    <w:p>
      <w:pPr>
        <w:ind w:left="420" w:hanging="187"/>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b w:val="1"/>
          <w:bCs w:val="1"/>
          <w:u w:val="single" w:color="auto"/>
          <w:color w:val="auto"/>
        </w:rPr>
        <w:t>E</w:t>
      </w:r>
      <w:r>
        <w:rPr>
          <w:rFonts w:ascii="Arial" w:cs="Arial" w:eastAsia="Arial" w:hAnsi="Arial"/>
          <w:sz w:val="12"/>
          <w:szCs w:val="12"/>
          <w:b w:val="1"/>
          <w:bCs w:val="1"/>
          <w:u w:val="single" w:color="auto"/>
          <w:color w:val="auto"/>
        </w:rPr>
        <w:t>XERCISE OF THE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w:t>
      </w:r>
      <w:r>
        <w:rPr>
          <w:rFonts w:ascii="Arial" w:cs="Arial" w:eastAsia="Arial" w:hAnsi="Arial"/>
          <w:sz w:val="12"/>
          <w:szCs w:val="12"/>
          <w:b w:val="1"/>
          <w:bCs w:val="1"/>
          <w:u w:val="single" w:color="auto"/>
          <w:color w:val="auto"/>
        </w:rPr>
        <w:t>PTION</w:t>
      </w:r>
      <w:r>
        <w:rPr>
          <w:rFonts w:ascii="Arial" w:cs="Arial" w:eastAsia="Arial" w:hAnsi="Arial"/>
          <w:sz w:val="18"/>
          <w:szCs w:val="18"/>
          <w:b w:val="1"/>
          <w:bCs w:val="1"/>
          <w:color w:val="auto"/>
        </w:rPr>
        <w:t>.</w:t>
      </w:r>
    </w:p>
    <w:p>
      <w:pPr>
        <w:spacing w:after="0" w:line="117" w:lineRule="exact"/>
        <w:rPr>
          <w:sz w:val="20"/>
          <w:szCs w:val="20"/>
          <w:color w:val="auto"/>
        </w:rPr>
      </w:pPr>
    </w:p>
    <w:p>
      <w:pPr>
        <w:ind w:right="60" w:firstLine="450"/>
        <w:spacing w:after="0" w:line="314"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b w:val="1"/>
          <w:bCs w:val="1"/>
          <w:color w:val="auto"/>
        </w:rPr>
        <w:t>Right to Exercise</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Except as otherwise provided herein, the Option shall be exercisable on and after the Initial Vesting Date and prior to the termination of the Option (as provided in Section 6) in an amount not to exceed the number of Vested Shares less the number of shares previously acquired upon exercise of the Option. In no event shall the Option be exercisable for more shares than the Number of Option Shares, as adjusted pursuant to Section 9.</w:t>
      </w:r>
    </w:p>
    <w:p>
      <w:pPr>
        <w:spacing w:after="0" w:line="34" w:lineRule="exact"/>
        <w:rPr>
          <w:sz w:val="20"/>
          <w:szCs w:val="20"/>
          <w:color w:val="auto"/>
        </w:rPr>
      </w:pPr>
    </w:p>
    <w:p>
      <w:pPr>
        <w:ind w:right="60" w:firstLine="450"/>
        <w:spacing w:after="0" w:line="269"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b w:val="1"/>
          <w:bCs w:val="1"/>
          <w:color w:val="auto"/>
        </w:rPr>
        <w:t>Method of Exercise</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Exercise of the Option shall be by means of electronic or written notice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Exercise Notice</w:t>
      </w:r>
      <w:r>
        <w:rPr>
          <w:rFonts w:ascii="Arial" w:cs="Arial" w:eastAsia="Arial" w:hAnsi="Arial"/>
          <w:sz w:val="17"/>
          <w:szCs w:val="17"/>
          <w:i w:val="1"/>
          <w:iCs w:val="1"/>
          <w:color w:val="auto"/>
        </w:rPr>
        <w:t>”</w:t>
      </w:r>
      <w:r>
        <w:rPr>
          <w:rFonts w:ascii="Arial" w:cs="Arial" w:eastAsia="Arial" w:hAnsi="Arial"/>
          <w:sz w:val="17"/>
          <w:szCs w:val="17"/>
          <w:color w:val="auto"/>
        </w:rPr>
        <w:t>) in a form authorized by the Company. An electronic Exercise Notice must be digitally signed or authenticated by the Participant in such manner as required by the notice and transmitted to the Company or an authorized representative of the Company (including a third-party administrator designated by the Company). In the event that the Participant is not authorized or is unable to provide an electronic Exercise Notice, the Option shall be exercised by a written Exercise Notice addressed to the Company, which shall be signed by the Participant and delivered in person, by certified or registered mail, return receipt requested, by confirmed facsimile transmission, or by such other means as the Company may permit, to the Company, or an authorized representative of the Company (including a third-party administrator designated by the Company). Each Exercise Notice, whether electronic or written, must state the Participant’s election to exercise the Option, the number of whole shares of Stock for which the Option is being exercised and such other representations and agreements as to the Participant’s investment intent with respect to such shares as may be required pursuant to the provisions of this Option Agreement. Further, each Exercise Notice must be received by the Company prior to the termination of the Option as set forth in Section 6 and must be accompanied by full payment of the aggregate Exercise Price for the number of shares of Stock being purchased. The Option shall be deemed to be exercised upon receipt by the Company of such electronic or written Exercise Notice and the aggregate Exercise Price.</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color w:val="auto"/>
        </w:rPr>
        <w:t>Payment of Exercise Price.</w:t>
      </w:r>
    </w:p>
    <w:p>
      <w:pPr>
        <w:spacing w:after="0" w:line="117" w:lineRule="exact"/>
        <w:rPr>
          <w:sz w:val="20"/>
          <w:szCs w:val="20"/>
          <w:color w:val="auto"/>
        </w:rPr>
      </w:pPr>
    </w:p>
    <w:p>
      <w:pPr>
        <w:ind w:right="20" w:firstLine="683"/>
        <w:spacing w:after="0" w:line="261" w:lineRule="auto"/>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Forms of Consideration Authorized</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as otherwise provided below, payment of the aggregate Exercise Price for the number of shares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for which the Option is being exercised shall be made (i) in cash, by check or in cash equivalent; (ii) if permitted by the Company and subject to the limitations contained in Section 4.3(b), by means of (1) a Cashless Exercise, (2) a Net Exercise, or (3) a Stock Tender Exercise; or (iii) any combination of the foregoing.</w:t>
      </w:r>
    </w:p>
    <w:p>
      <w:pPr>
        <w:spacing w:after="0" w:line="75" w:lineRule="exact"/>
        <w:rPr>
          <w:rFonts w:ascii="Arial" w:cs="Arial" w:eastAsia="Arial" w:hAnsi="Arial"/>
          <w:sz w:val="18"/>
          <w:szCs w:val="18"/>
          <w:color w:val="auto"/>
        </w:rPr>
      </w:pPr>
    </w:p>
    <w:p>
      <w:pPr>
        <w:ind w:firstLine="683"/>
        <w:spacing w:after="0" w:line="286" w:lineRule="auto"/>
        <w:tabs>
          <w:tab w:leader="none" w:pos="93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Limitations on Forms of Consideration. </w:t>
      </w:r>
      <w:r>
        <w:rPr>
          <w:rFonts w:ascii="Arial" w:cs="Arial" w:eastAsia="Arial" w:hAnsi="Arial"/>
          <w:sz w:val="17"/>
          <w:szCs w:val="17"/>
          <w:color w:val="auto"/>
        </w:rPr>
        <w:t>The Company reserves, at any and all times, the right, in the Company’s sole and absolute discretion,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establish, decline to approve or terminate any program or procedure providing for payment of the Exercise Price through any of the means described below, including with respect to the Participant notwithstanding that such program or procedures may be available to others.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 w:name="page15"/>
    <w:bookmarkEnd w:id="14"/>
    <w:p>
      <w:pPr>
        <w:ind w:left="-20" w:right="20" w:firstLine="908"/>
        <w:spacing w:after="0" w:line="303" w:lineRule="auto"/>
        <w:tabs>
          <w:tab w:leader="none" w:pos="1095"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Cashless Exercise. </w:t>
      </w:r>
      <w:r>
        <w:rPr>
          <w:rFonts w:ascii="Arial" w:cs="Arial" w:eastAsia="Arial" w:hAnsi="Arial"/>
          <w:sz w:val="16"/>
          <w:szCs w:val="16"/>
          <w:color w:val="auto"/>
        </w:rPr>
        <w:t>A</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Cashless Exercise</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means the delivery of a properly executed Exercise Notice together with irrevocable instructions</w:t>
      </w:r>
      <w:r>
        <w:rPr>
          <w:rFonts w:ascii="Arial" w:cs="Arial" w:eastAsia="Arial" w:hAnsi="Arial"/>
          <w:sz w:val="16"/>
          <w:szCs w:val="16"/>
          <w:b w:val="1"/>
          <w:bCs w:val="1"/>
          <w:color w:val="auto"/>
        </w:rPr>
        <w:t xml:space="preserve"> </w:t>
      </w:r>
      <w:r>
        <w:rPr>
          <w:rFonts w:ascii="Arial" w:cs="Arial" w:eastAsia="Arial" w:hAnsi="Arial"/>
          <w:sz w:val="16"/>
          <w:szCs w:val="16"/>
          <w:color w:val="auto"/>
        </w:rPr>
        <w:t>to a broker in a form acceptable to the Company providing for the assignment to the Company of the proceeds of a sale or loan with respect to shares of Stock acquired upon the exercise of the Option in an amount not less than the aggregate Exercise Price for such shares (including, without limitation, through an exercise complying with the provisions of Regulation T as promulgated from time to time by the Board of Governors of the Federal Reserve System).</w:t>
      </w:r>
    </w:p>
    <w:p>
      <w:pPr>
        <w:spacing w:after="0" w:line="43" w:lineRule="exact"/>
        <w:rPr>
          <w:rFonts w:ascii="Arial" w:cs="Arial" w:eastAsia="Arial" w:hAnsi="Arial"/>
          <w:sz w:val="16"/>
          <w:szCs w:val="16"/>
          <w:color w:val="auto"/>
        </w:rPr>
      </w:pPr>
    </w:p>
    <w:p>
      <w:pPr>
        <w:ind w:left="-20" w:right="40" w:firstLine="908"/>
        <w:spacing w:after="0" w:line="295" w:lineRule="auto"/>
        <w:tabs>
          <w:tab w:leader="none" w:pos="1145"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Net Exercise. </w:t>
      </w:r>
      <w:r>
        <w:rPr>
          <w:rFonts w:ascii="Arial" w:cs="Arial" w:eastAsia="Arial" w:hAnsi="Arial"/>
          <w:sz w:val="16"/>
          <w:szCs w:val="16"/>
          <w:color w:val="auto"/>
        </w:rPr>
        <w:t>A</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Net Exercise</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means the delivery of a properly executed Exercise Notice electing a procedure pursuant to which (1)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will reduce the number of shares otherwise issuable to the Participant upon the exercise of the Option by the largest whole number of shares having a Fair Market Value that does not exceed the aggregate Exercise Price for the shares with respect to which the Option is exercised, and (2) the Participant shall pay to the Company in cash the remaining balance of such aggregate Exercise Price not satisfied by such reduction in the number of whole shares to be issued. Following a Net Exercise, the number of shares remaining subject to the Option, if any, shall be reduced by the sum of (1) the net number of shares issued to the Participant upon such exercise, and (2) the number of shares deducted by the Company for payment of the aggregate Exercise Price.</w:t>
      </w:r>
    </w:p>
    <w:p>
      <w:pPr>
        <w:spacing w:after="0" w:line="47" w:lineRule="exact"/>
        <w:rPr>
          <w:rFonts w:ascii="Arial" w:cs="Arial" w:eastAsia="Arial" w:hAnsi="Arial"/>
          <w:sz w:val="16"/>
          <w:szCs w:val="16"/>
          <w:color w:val="auto"/>
        </w:rPr>
      </w:pPr>
    </w:p>
    <w:p>
      <w:pPr>
        <w:ind w:left="-20" w:right="160" w:firstLine="908"/>
        <w:spacing w:after="0" w:line="272" w:lineRule="auto"/>
        <w:tabs>
          <w:tab w:leader="none" w:pos="1195"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Stock Tender Exercise. </w:t>
      </w:r>
      <w:r>
        <w:rPr>
          <w:rFonts w:ascii="Arial" w:cs="Arial" w:eastAsia="Arial" w:hAnsi="Arial"/>
          <w:sz w:val="17"/>
          <w:szCs w:val="17"/>
          <w:color w:val="auto"/>
        </w:rPr>
        <w:t>A</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Stock Tender Exercise</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means the delivery of a properly executed Exercise Notice accompanied by (1)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Participant’s tender to the Company, or attestation to the ownership, in a form acceptable to the Company of whole shares of Stock having a Fair Market Value that does not exceed the aggregate Exercise Price for the shares with respect to which the Option is exercised, and (2) the Participant’s payment to the Company in cash of the remaining balance of such aggregate Exercise Price not satisfied by such shares’ Fair Market Value. A Stock Tender Exercise shall not be permitted if it would constitute a violation of the provisions of any law, regulation or agreement restricting the redemption of the Company’s stock. If required by the Company, the Option may not be exercised by tender to the Company, or attestation to the ownership, of shares of Stock unless such shares either have been owned by the Participant for a period of time required by the Company (and not used for another option exercise by attestation during such period) or were not acquired, directly or indirectly, from the Company.</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b w:val="1"/>
          <w:bCs w:val="1"/>
          <w:color w:val="auto"/>
        </w:rPr>
        <w:t>Tax Withholding</w:t>
      </w:r>
      <w:r>
        <w:rPr>
          <w:rFonts w:ascii="Arial" w:cs="Arial" w:eastAsia="Arial" w:hAnsi="Arial"/>
          <w:sz w:val="18"/>
          <w:szCs w:val="18"/>
          <w:b w:val="1"/>
          <w:bCs w:val="1"/>
          <w:i w:val="1"/>
          <w:iCs w:val="1"/>
          <w:color w:val="auto"/>
        </w:rPr>
        <w:t>.</w:t>
      </w:r>
    </w:p>
    <w:p>
      <w:pPr>
        <w:spacing w:after="0" w:line="121" w:lineRule="exact"/>
        <w:rPr>
          <w:sz w:val="20"/>
          <w:szCs w:val="20"/>
          <w:color w:val="auto"/>
        </w:rPr>
      </w:pPr>
    </w:p>
    <w:p>
      <w:pPr>
        <w:ind w:left="-20" w:firstLine="683"/>
        <w:spacing w:after="0" w:line="255"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 General. </w:t>
      </w:r>
      <w:r>
        <w:rPr>
          <w:rFonts w:ascii="Arial" w:cs="Arial" w:eastAsia="Arial" w:hAnsi="Arial"/>
          <w:sz w:val="18"/>
          <w:szCs w:val="18"/>
          <w:color w:val="auto"/>
        </w:rPr>
        <w:t>At the time the Option is exercised, in whole or in part, or at any time thereafter as requested by a Participating Company,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Participant hereby authorizes withholding from payroll and any other amounts payable to the Participant, and otherwise agrees to make adequate provision for (including by means of a Cashless Exercise to the extent permitted by the Company), any sums required to satisfy the federal, state, local and foreign tax (including any social insurance) withholding obligations of the Participating Company Group, if any, which arise in connection with the Option. The Company shall have no obligation to deliver shares of Stock until the tax withholding obligations of the Participating Company Group have been satisfied by the Participant.</w:t>
      </w:r>
    </w:p>
    <w:p>
      <w:pPr>
        <w:spacing w:after="0" w:line="81" w:lineRule="exact"/>
        <w:rPr>
          <w:rFonts w:ascii="Arial" w:cs="Arial" w:eastAsia="Arial" w:hAnsi="Arial"/>
          <w:sz w:val="18"/>
          <w:szCs w:val="18"/>
          <w:color w:val="auto"/>
        </w:rPr>
      </w:pPr>
    </w:p>
    <w:p>
      <w:pPr>
        <w:ind w:left="-20" w:right="460" w:firstLine="683"/>
        <w:spacing w:after="0" w:line="282" w:lineRule="auto"/>
        <w:tabs>
          <w:tab w:leader="none" w:pos="91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Withholding in Shares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shall have the right, but not the obligation, to require the Participant to satisfy all or any portion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Participating Company’s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1" w:right="239" w:bottom="1440" w:gutter="0" w:footer="0" w:header="0"/>
        </w:sectPr>
      </w:pPr>
    </w:p>
    <w:bookmarkStart w:id="15" w:name="page16"/>
    <w:bookmarkEnd w:id="15"/>
    <w:p>
      <w:pPr>
        <w:ind w:right="400"/>
        <w:spacing w:after="0" w:line="264" w:lineRule="auto"/>
        <w:rPr>
          <w:sz w:val="20"/>
          <w:szCs w:val="20"/>
          <w:color w:val="auto"/>
        </w:rPr>
      </w:pPr>
      <w:r>
        <w:rPr>
          <w:rFonts w:ascii="Arial" w:cs="Arial" w:eastAsia="Arial" w:hAnsi="Arial"/>
          <w:sz w:val="18"/>
          <w:szCs w:val="18"/>
          <w:color w:val="auto"/>
        </w:rPr>
        <w:t>tax withholding obligations upon exercise of the Option by deducting from the shares of Stock otherwise issuable to the Participant upon such exercise a number of whole shares having a fair market value, as determined by the Company as of the date of exercise, not in excess of the amount of such tax withholding obligations determined by the applicable minimum statutory withholding rates.</w:t>
      </w:r>
    </w:p>
    <w:p>
      <w:pPr>
        <w:spacing w:after="0" w:line="69" w:lineRule="exact"/>
        <w:rPr>
          <w:sz w:val="20"/>
          <w:szCs w:val="20"/>
          <w:color w:val="auto"/>
        </w:rPr>
      </w:pPr>
    </w:p>
    <w:p>
      <w:pPr>
        <w:ind w:right="240" w:firstLine="450"/>
        <w:spacing w:after="0" w:line="303"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b w:val="1"/>
          <w:bCs w:val="1"/>
          <w:color w:val="auto"/>
        </w:rPr>
        <w:t>Beneficial Ownership of Shares; Certificate Registration</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The Participant hereby authorizes the Company, in its sole discretion, to deposit for the benefit of the Participant with any broker with which the Participant has an account relationship of which the Company has notice any or all shares acquired by the Participant pursuant to the exercise of the Option. Except as provided by the preceding sentence, a certificate for the shares as to which the Option is exercised shall be registered in the name of the Participant, or, if applicable, in the names of the heirs of the Participant.</w:t>
      </w:r>
    </w:p>
    <w:p>
      <w:pPr>
        <w:spacing w:after="0" w:line="43" w:lineRule="exact"/>
        <w:rPr>
          <w:sz w:val="20"/>
          <w:szCs w:val="20"/>
          <w:color w:val="auto"/>
        </w:rPr>
      </w:pPr>
    </w:p>
    <w:p>
      <w:pPr>
        <w:ind w:firstLine="450"/>
        <w:spacing w:after="0" w:line="268"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b w:val="1"/>
          <w:bCs w:val="1"/>
          <w:color w:val="auto"/>
        </w:rPr>
        <w:t>Restrictions on Grant of the Option and Issuance of Shares</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The grant of the Option and the issuance of shares of Stock upon exercise of the Option shall be subject to compliance with all applicable requirements of federal, state or foreign law with respect to such securities. The Option may not be exercised if the issuance of shares of Stock upon exercise would constitute a violation of any applicable federal, state or foreign securities laws or other law or regulations or the requirements of any stock exchange or market system upon which the Stock may then be listed. In addition, the Option may not be exercised unless (i) a registration statement under the Securities Act shall at the time of exercise of the Option be in effect with respect to the shares issuable upon exercise of the Option or (ii) in the opinion of legal counsel to the Company, the shares issuable upon exercise of the Option may be issued in accordance with the terms of an applicable exemption from the registration requirements of the Securities Act. THE PARTICIPANT IS CAUTIONED THAT THE OPTION MAY NOT BE EXERCISED UNLESS THE FOREGOING CONDITIONS ARE SATISFIED. ACCORDINGLY, THE PARTICIPANT MAY NOT BE ABLE TO EXERCISE THE OPTION WHEN DESIRED EVEN THOUGH THE OPTION IS VESTED. The inability of the Company to obtain from any regulatory body having jurisdiction the authority, if any, deemed by the Company’s legal counsel to be necessary to the lawful issuance and sale of any shares subject to the Option shall relieve the Company of any liability in respect of the failure to issue or sell such shares as to which such requisite authority shall not have been obtained. As a condition to the exercise of the Option,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b w:val="1"/>
          <w:bCs w:val="1"/>
          <w:color w:val="auto"/>
        </w:rPr>
        <w:t>Fractional Shares</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The Company shall not be required to issue fractional shares upon the exercise of the Option.</w:t>
      </w:r>
    </w:p>
    <w:p>
      <w:pPr>
        <w:spacing w:after="0" w:line="117" w:lineRule="exact"/>
        <w:rPr>
          <w:sz w:val="20"/>
          <w:szCs w:val="20"/>
          <w:color w:val="auto"/>
        </w:rPr>
      </w:pPr>
    </w:p>
    <w:p>
      <w:pPr>
        <w:ind w:left="420" w:hanging="187"/>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t>N</w:t>
      </w:r>
      <w:r>
        <w:rPr>
          <w:rFonts w:ascii="Arial" w:cs="Arial" w:eastAsia="Arial" w:hAnsi="Arial"/>
          <w:sz w:val="12"/>
          <w:szCs w:val="12"/>
          <w:b w:val="1"/>
          <w:bCs w:val="1"/>
          <w:u w:val="single" w:color="auto"/>
          <w:color w:val="auto"/>
        </w:rPr>
        <w:t>ONTRANSFERABILITY OF THE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w:t>
      </w:r>
      <w:r>
        <w:rPr>
          <w:rFonts w:ascii="Arial" w:cs="Arial" w:eastAsia="Arial" w:hAnsi="Arial"/>
          <w:sz w:val="12"/>
          <w:szCs w:val="12"/>
          <w:b w:val="1"/>
          <w:bCs w:val="1"/>
          <w:u w:val="single" w:color="auto"/>
          <w:color w:val="auto"/>
        </w:rPr>
        <w:t>PTION</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right="140" w:firstLine="450"/>
        <w:spacing w:after="0" w:line="312" w:lineRule="auto"/>
        <w:rPr>
          <w:sz w:val="20"/>
          <w:szCs w:val="20"/>
          <w:color w:val="auto"/>
        </w:rPr>
      </w:pPr>
      <w:r>
        <w:rPr>
          <w:rFonts w:ascii="Arial" w:cs="Arial" w:eastAsia="Arial" w:hAnsi="Arial"/>
          <w:sz w:val="16"/>
          <w:szCs w:val="16"/>
          <w:color w:val="auto"/>
        </w:rPr>
        <w:t>During the lifetime of the Participant, the Option shall be exercisable only by the Participant or the Participant’s guardian or legal representative. The Option shall not be subject in any manner to anticipation, alienation, sale, exchange, transfer, assignment, pledge, encumbrance, or garnishment by creditors of the Participant or the Participant’s beneficiary, except transfer by will or by the laws of descent and distribution. Following the death of the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6" w:name="page17"/>
    <w:bookmarkEnd w:id="16"/>
    <w:p>
      <w:pPr>
        <w:ind w:right="220"/>
        <w:spacing w:after="0" w:line="277" w:lineRule="auto"/>
        <w:rPr>
          <w:sz w:val="20"/>
          <w:szCs w:val="20"/>
          <w:color w:val="auto"/>
        </w:rPr>
      </w:pPr>
      <w:r>
        <w:rPr>
          <w:rFonts w:ascii="Arial" w:cs="Arial" w:eastAsia="Arial" w:hAnsi="Arial"/>
          <w:sz w:val="18"/>
          <w:szCs w:val="18"/>
          <w:color w:val="auto"/>
        </w:rPr>
        <w:t>Participant, the Option, to the extent provided in Section 7, may be exercised by the Participant’s legal representative or by any person empowered to do so under the deceased Participant’s will or under the then applicable laws of descent and distribution.</w:t>
      </w:r>
    </w:p>
    <w:p>
      <w:pPr>
        <w:spacing w:after="0" w:line="58" w:lineRule="exact"/>
        <w:rPr>
          <w:sz w:val="20"/>
          <w:szCs w:val="20"/>
          <w:color w:val="auto"/>
        </w:rPr>
      </w:pPr>
    </w:p>
    <w:p>
      <w:pPr>
        <w:ind w:left="420" w:hanging="187"/>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b w:val="1"/>
          <w:bCs w:val="1"/>
          <w:u w:val="single" w:color="auto"/>
          <w:color w:val="auto"/>
        </w:rPr>
        <w:t>T</w:t>
      </w:r>
      <w:r>
        <w:rPr>
          <w:rFonts w:ascii="Arial" w:cs="Arial" w:eastAsia="Arial" w:hAnsi="Arial"/>
          <w:sz w:val="12"/>
          <w:szCs w:val="12"/>
          <w:b w:val="1"/>
          <w:bCs w:val="1"/>
          <w:u w:val="single" w:color="auto"/>
          <w:color w:val="auto"/>
        </w:rPr>
        <w:t>ERMINATION OF THE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w:t>
      </w:r>
      <w:r>
        <w:rPr>
          <w:rFonts w:ascii="Arial" w:cs="Arial" w:eastAsia="Arial" w:hAnsi="Arial"/>
          <w:sz w:val="12"/>
          <w:szCs w:val="12"/>
          <w:b w:val="1"/>
          <w:bCs w:val="1"/>
          <w:u w:val="single" w:color="auto"/>
          <w:color w:val="auto"/>
        </w:rPr>
        <w:t>PTION</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right="320" w:firstLine="447"/>
        <w:spacing w:after="0" w:line="264" w:lineRule="auto"/>
        <w:rPr>
          <w:sz w:val="20"/>
          <w:szCs w:val="20"/>
          <w:color w:val="auto"/>
        </w:rPr>
      </w:pPr>
      <w:r>
        <w:rPr>
          <w:rFonts w:ascii="Arial" w:cs="Arial" w:eastAsia="Arial" w:hAnsi="Arial"/>
          <w:sz w:val="18"/>
          <w:szCs w:val="18"/>
          <w:color w:val="auto"/>
        </w:rPr>
        <w:t>The Option shall terminate and may no longer be exercised after the first to occur of (a) the close of business on the Option Expiration Date, (b) the close of business on the last date for exercising the Option following termination of the Participant’s Service as described in Section 7, or (c) a Change in Control to the extent provided in Section 8.</w:t>
      </w:r>
    </w:p>
    <w:p>
      <w:pPr>
        <w:spacing w:after="0" w:line="69" w:lineRule="exact"/>
        <w:rPr>
          <w:sz w:val="20"/>
          <w:szCs w:val="20"/>
          <w:color w:val="auto"/>
        </w:rPr>
      </w:pPr>
    </w:p>
    <w:p>
      <w:pPr>
        <w:ind w:left="420" w:hanging="187"/>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b w:val="1"/>
          <w:bCs w:val="1"/>
          <w:u w:val="single" w:color="auto"/>
          <w:color w:val="auto"/>
        </w:rPr>
        <w:t>E</w:t>
      </w:r>
      <w:r>
        <w:rPr>
          <w:rFonts w:ascii="Arial" w:cs="Arial" w:eastAsia="Arial" w:hAnsi="Arial"/>
          <w:sz w:val="12"/>
          <w:szCs w:val="12"/>
          <w:b w:val="1"/>
          <w:bCs w:val="1"/>
          <w:u w:val="single" w:color="auto"/>
          <w:color w:val="auto"/>
        </w:rPr>
        <w:t>FFECT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w:t>
      </w:r>
      <w:r>
        <w:rPr>
          <w:rFonts w:ascii="Arial" w:cs="Arial" w:eastAsia="Arial" w:hAnsi="Arial"/>
          <w:sz w:val="12"/>
          <w:szCs w:val="12"/>
          <w:b w:val="1"/>
          <w:bCs w:val="1"/>
          <w:u w:val="single" w:color="auto"/>
          <w:color w:val="auto"/>
        </w:rPr>
        <w:t>ERMINATION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2"/>
          <w:szCs w:val="12"/>
          <w:b w:val="1"/>
          <w:bCs w:val="1"/>
          <w:u w:val="single" w:color="auto"/>
          <w:color w:val="auto"/>
        </w:rPr>
        <w:t>ERVICE</w:t>
      </w:r>
      <w:r>
        <w:rPr>
          <w:rFonts w:ascii="Arial" w:cs="Arial" w:eastAsia="Arial" w:hAnsi="Arial"/>
          <w:sz w:val="18"/>
          <w:szCs w:val="18"/>
          <w:b w:val="1"/>
          <w:bCs w:val="1"/>
          <w:color w:val="auto"/>
        </w:rPr>
        <w:t>.</w:t>
      </w:r>
    </w:p>
    <w:p>
      <w:pPr>
        <w:spacing w:after="0" w:line="117" w:lineRule="exact"/>
        <w:rPr>
          <w:sz w:val="20"/>
          <w:szCs w:val="20"/>
          <w:color w:val="auto"/>
        </w:rPr>
      </w:pPr>
    </w:p>
    <w:p>
      <w:pPr>
        <w:ind w:firstLine="450"/>
        <w:spacing w:after="0" w:line="266"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color w:val="auto"/>
        </w:rPr>
        <w:t>Option Exercisability.</w:t>
      </w:r>
      <w:r>
        <w:rPr>
          <w:rFonts w:ascii="Arial" w:cs="Arial" w:eastAsia="Arial" w:hAnsi="Arial"/>
          <w:sz w:val="18"/>
          <w:szCs w:val="18"/>
          <w:color w:val="auto"/>
        </w:rPr>
        <w:t xml:space="preserve"> The Option shall terminate immediately upon the Participant’s termination of Service to the extent that it is then unvested and shall be exercisable after the Participant’s termination of Service to the extent it is then vested only during the applicable time period as determined below and thereafter shall terminate.</w:t>
      </w:r>
    </w:p>
    <w:p>
      <w:pPr>
        <w:spacing w:after="0" w:line="68" w:lineRule="exact"/>
        <w:rPr>
          <w:sz w:val="20"/>
          <w:szCs w:val="20"/>
          <w:color w:val="auto"/>
        </w:rPr>
      </w:pPr>
    </w:p>
    <w:p>
      <w:pPr>
        <w:ind w:right="60" w:firstLine="683"/>
        <w:spacing w:after="0" w:line="261" w:lineRule="auto"/>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Disability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the Participant’s Service terminates because of the Disability of the Participant, the Option, to the extent unexercised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exercisable for Vested Shares on the date on which the Participant’s Service terminated, may be exercised by the Participant (or the Participant’s guardian or legal representative) at any time prior to the expiration of twelve (12) months after the date on which the Participant’s Service terminated, but in any event no later than the Option Expiration Date.</w:t>
      </w:r>
    </w:p>
    <w:p>
      <w:pPr>
        <w:spacing w:after="0" w:line="71" w:lineRule="exact"/>
        <w:rPr>
          <w:rFonts w:ascii="Arial" w:cs="Arial" w:eastAsia="Arial" w:hAnsi="Arial"/>
          <w:sz w:val="18"/>
          <w:szCs w:val="18"/>
          <w:color w:val="auto"/>
        </w:rPr>
      </w:pPr>
    </w:p>
    <w:p>
      <w:pPr>
        <w:ind w:right="120" w:firstLine="683"/>
        <w:spacing w:after="0" w:line="298" w:lineRule="auto"/>
        <w:tabs>
          <w:tab w:leader="none" w:pos="930"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Death</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the Participant’s Service terminates because of the death of the Participant, the Option, to the extent unexercised and exercisable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Vested Shares on the date on which the Participant’s Service terminated, may be exercised by the Participant’s legal representative or other person who acquired the right to exercise the Option by reason of the Participant’s death at any time prior to the expiration of twelve (12) months after the date on which the Participant’s Service terminated, but in any event no later than the Option Expiration Date. The Participant’s Service shall be deemed to have terminated on account of death if the Participant dies within ninety (90) days after the Participant’s termination of Service.</w:t>
      </w:r>
    </w:p>
    <w:p>
      <w:pPr>
        <w:spacing w:after="0" w:line="50" w:lineRule="exact"/>
        <w:rPr>
          <w:rFonts w:ascii="Arial" w:cs="Arial" w:eastAsia="Arial" w:hAnsi="Arial"/>
          <w:sz w:val="16"/>
          <w:szCs w:val="16"/>
          <w:color w:val="auto"/>
        </w:rPr>
      </w:pPr>
    </w:p>
    <w:p>
      <w:pPr>
        <w:ind w:right="100" w:firstLine="683"/>
        <w:spacing w:after="0" w:line="259" w:lineRule="auto"/>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Termination for Cause. </w:t>
      </w:r>
      <w:r>
        <w:rPr>
          <w:rFonts w:ascii="Arial" w:cs="Arial" w:eastAsia="Arial" w:hAnsi="Arial"/>
          <w:sz w:val="18"/>
          <w:szCs w:val="18"/>
          <w:color w:val="auto"/>
        </w:rPr>
        <w:t>Notwithstanding any other provision of this Option Agreement to the contrary, if the Participant’s Service is terminated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Cause or if, following the Participant’s termination of Service and during any period in which the Option otherwise would remain exercisable, the Participant engages in any act that would constitute Cause, the Option shall terminate in its entirety and cease to be exercisable immediately upon such termination of Service or act.</w:t>
      </w:r>
    </w:p>
    <w:p>
      <w:pPr>
        <w:spacing w:after="0" w:line="74" w:lineRule="exact"/>
        <w:rPr>
          <w:rFonts w:ascii="Arial" w:cs="Arial" w:eastAsia="Arial" w:hAnsi="Arial"/>
          <w:sz w:val="18"/>
          <w:szCs w:val="18"/>
          <w:color w:val="auto"/>
        </w:rPr>
      </w:pPr>
    </w:p>
    <w:p>
      <w:pPr>
        <w:ind w:right="80" w:firstLine="683"/>
        <w:spacing w:after="0" w:line="314" w:lineRule="auto"/>
        <w:tabs>
          <w:tab w:leader="none" w:pos="930"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Other Termination of Service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the Participant’s Service terminates for any reason, except Disability, death, or Cause, the Option, to the extent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unexercised and exercisable for Vested Shares by the Participant on the date on which the Participant’s Service terminated, may be exercised by the Participant within ninety (90) days after the date on which the Participant’s Service terminated, but in any event no later than the Option Expiration Date.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7" w:name="page18"/>
    <w:bookmarkEnd w:id="17"/>
    <w:p>
      <w:pPr>
        <w:ind w:right="440" w:firstLine="450"/>
        <w:spacing w:after="0" w:line="281"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b w:val="1"/>
          <w:bCs w:val="1"/>
          <w:color w:val="auto"/>
        </w:rPr>
        <w:t>Extension if Exercise Prevented by Law</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Notwithstanding the foregoing, other than termination of the Participant’s Service for Cause, if the exercise of the Option within the applicable time periods set forth in Section 7.1 is prevented by the provisions of Section 4.6, the Option shall remain exercisable until the later of (a) thirty (30) days after the date such exercise first would no longer be prevented by such provisions, or (b) the end of the applicable time period under Section 7.1, but in any event no later than the Option Expiration Date.</w:t>
      </w:r>
    </w:p>
    <w:p>
      <w:pPr>
        <w:spacing w:after="0" w:line="57" w:lineRule="exact"/>
        <w:rPr>
          <w:sz w:val="20"/>
          <w:szCs w:val="20"/>
          <w:color w:val="auto"/>
        </w:rPr>
      </w:pPr>
    </w:p>
    <w:p>
      <w:pPr>
        <w:ind w:left="420" w:hanging="187"/>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2"/>
          <w:szCs w:val="12"/>
          <w:b w:val="1"/>
          <w:bCs w:val="1"/>
          <w:u w:val="single" w:color="auto"/>
          <w:color w:val="auto"/>
        </w:rPr>
        <w:t>HANGE IN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2"/>
          <w:szCs w:val="12"/>
          <w:b w:val="1"/>
          <w:bCs w:val="1"/>
          <w:u w:val="single" w:color="auto"/>
          <w:color w:val="auto"/>
        </w:rPr>
        <w:t>ONTROL</w:t>
      </w:r>
      <w:r>
        <w:rPr>
          <w:rFonts w:ascii="Arial" w:cs="Arial" w:eastAsia="Arial" w:hAnsi="Arial"/>
          <w:sz w:val="18"/>
          <w:szCs w:val="18"/>
          <w:b w:val="1"/>
          <w:bCs w:val="1"/>
          <w:color w:val="auto"/>
        </w:rPr>
        <w:t>.</w:t>
      </w:r>
    </w:p>
    <w:p>
      <w:pPr>
        <w:spacing w:after="0" w:line="117" w:lineRule="exact"/>
        <w:rPr>
          <w:sz w:val="20"/>
          <w:szCs w:val="20"/>
          <w:color w:val="auto"/>
        </w:rPr>
      </w:pPr>
    </w:p>
    <w:p>
      <w:pPr>
        <w:ind w:right="240" w:firstLine="450"/>
        <w:spacing w:after="0" w:line="295"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b w:val="1"/>
          <w:bCs w:val="1"/>
          <w:color w:val="auto"/>
        </w:rPr>
        <w:t>Effect of Change in Control on Option.</w:t>
      </w:r>
      <w:r>
        <w:rPr>
          <w:rFonts w:ascii="Arial" w:cs="Arial" w:eastAsia="Arial" w:hAnsi="Arial"/>
          <w:sz w:val="16"/>
          <w:szCs w:val="16"/>
          <w:color w:val="auto"/>
        </w:rPr>
        <w:t xml:space="preserve"> In the event of a Change in Control, except to the extent that the Committee determines to cash out the Option in accordance with Section 14.1(c) of the Plan, the Committee in its discretion shall arrange for the surviving, continuing, successor, or purchasing corporation or other business entity or parent thereof, as the case may be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Acquiror</w:t>
      </w:r>
      <w:r>
        <w:rPr>
          <w:rFonts w:ascii="Arial" w:cs="Arial" w:eastAsia="Arial" w:hAnsi="Arial"/>
          <w:sz w:val="16"/>
          <w:szCs w:val="16"/>
          <w:i w:val="1"/>
          <w:iCs w:val="1"/>
          <w:color w:val="auto"/>
        </w:rPr>
        <w:t>”</w:t>
      </w:r>
      <w:r>
        <w:rPr>
          <w:rFonts w:ascii="Arial" w:cs="Arial" w:eastAsia="Arial" w:hAnsi="Arial"/>
          <w:sz w:val="16"/>
          <w:szCs w:val="16"/>
          <w:color w:val="auto"/>
        </w:rPr>
        <w:t>), to either assume or continue in full force and effect the Company’s rights and obligations under the Option or substitute for the Option a substantially equivalent option for the Acquiror’s stock. The Option shall terminate and cease to be outstanding effective as of the time of consummation of the Change in Control to the extent that the Option is neither assumed or continued by the Acquiror in connection with the Change in Control nor exercised as of the effective time of the Change in Control.</w:t>
      </w:r>
    </w:p>
    <w:p>
      <w:pPr>
        <w:spacing w:after="0" w:line="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color w:val="auto"/>
        </w:rPr>
        <w:t>Federal Excise Tax Under Section 4999 of the Code.</w:t>
      </w:r>
    </w:p>
    <w:p>
      <w:pPr>
        <w:spacing w:after="0" w:line="121" w:lineRule="exact"/>
        <w:rPr>
          <w:sz w:val="20"/>
          <w:szCs w:val="20"/>
          <w:color w:val="auto"/>
        </w:rPr>
      </w:pPr>
    </w:p>
    <w:p>
      <w:pPr>
        <w:ind w:right="160" w:firstLine="683"/>
        <w:spacing w:after="0" w:line="302" w:lineRule="auto"/>
        <w:tabs>
          <w:tab w:leader="none" w:pos="920" w:val="left"/>
        </w:tabs>
        <w:numPr>
          <w:ilvl w:val="0"/>
          <w:numId w:val="1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Excess Parachute Payment. </w:t>
      </w:r>
      <w:r>
        <w:rPr>
          <w:rFonts w:ascii="Arial" w:cs="Arial" w:eastAsia="Arial" w:hAnsi="Arial"/>
          <w:sz w:val="16"/>
          <w:szCs w:val="16"/>
          <w:color w:val="auto"/>
        </w:rPr>
        <w:t>In the event that any acceleration of vesting pursuant to this Option Agreement and any other payment or benefit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received or to be received by the Participant would subject the Participant to any excise tax pursuant to Section 4999 of the Code due to the characterization of such acceleration of vesting, payment or benefit as an excess parachute payment under Section 280G of the Code, the Participant may elect, in his or her discretion, to reduce the amount of any acceleration of vesting called for under this Option Agreement in order to avoid such characterization.</w:t>
      </w:r>
    </w:p>
    <w:p>
      <w:pPr>
        <w:spacing w:after="0" w:line="46" w:lineRule="exact"/>
        <w:rPr>
          <w:rFonts w:ascii="Arial" w:cs="Arial" w:eastAsia="Arial" w:hAnsi="Arial"/>
          <w:sz w:val="16"/>
          <w:szCs w:val="16"/>
          <w:color w:val="auto"/>
        </w:rPr>
      </w:pPr>
    </w:p>
    <w:p>
      <w:pPr>
        <w:ind w:firstLine="683"/>
        <w:spacing w:after="0" w:line="271" w:lineRule="auto"/>
        <w:tabs>
          <w:tab w:leader="none" w:pos="930" w:val="left"/>
        </w:tabs>
        <w:numPr>
          <w:ilvl w:val="0"/>
          <w:numId w:val="1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Determination by Independent Accountants. </w:t>
      </w:r>
      <w:r>
        <w:rPr>
          <w:rFonts w:ascii="Arial" w:cs="Arial" w:eastAsia="Arial" w:hAnsi="Arial"/>
          <w:sz w:val="17"/>
          <w:szCs w:val="17"/>
          <w:color w:val="auto"/>
        </w:rPr>
        <w:t>To aid the Participant in making any election called for under Section 8.2(a), upon the occurrence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of any event that might reasonably be anticipated to give rise to acceleration of vesting under Section 8.1, the Company shall promptly request a determination in writing by independent public accountants selected by the Company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Accountants</w:t>
      </w:r>
      <w:r>
        <w:rPr>
          <w:rFonts w:ascii="Arial" w:cs="Arial" w:eastAsia="Arial" w:hAnsi="Arial"/>
          <w:sz w:val="17"/>
          <w:szCs w:val="17"/>
          <w:i w:val="1"/>
          <w:iCs w:val="1"/>
          <w:color w:val="auto"/>
        </w:rPr>
        <w:t>”</w:t>
      </w:r>
      <w:r>
        <w:rPr>
          <w:rFonts w:ascii="Arial" w:cs="Arial" w:eastAsia="Arial" w:hAnsi="Arial"/>
          <w:sz w:val="17"/>
          <w:szCs w:val="17"/>
          <w:color w:val="auto"/>
        </w:rPr>
        <w:t>). As soon as practicable thereafter, the Accountants shall determine and report to the Company and the Participant the amount of such acceleration of vesting, payments and benefits which would produce the greatest after-tax benefit to the Participant. For the purposes of such determination, the Accountants may rely on reasonable, good faith interpretations concerning the application of Sections 280G and 4999 of the Code. The Company and the Participant shall furnish to the Accountants such information and documents as the Accountants may reasonably request in order to make their required determination. The Company shall bear all fees and expenses the Accountants may reasonably charge in connection with their services contemplated by this Section.</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8" w:name="page19"/>
    <w:bookmarkEnd w:id="18"/>
    <w:p>
      <w:pPr>
        <w:ind w:left="420" w:hanging="187"/>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2"/>
          <w:szCs w:val="12"/>
          <w:b w:val="1"/>
          <w:bCs w:val="1"/>
          <w:u w:val="single" w:color="auto"/>
          <w:color w:val="auto"/>
        </w:rPr>
        <w:t>DJUSTMENTS FOR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2"/>
          <w:szCs w:val="12"/>
          <w:b w:val="1"/>
          <w:bCs w:val="1"/>
          <w:u w:val="single" w:color="auto"/>
          <w:color w:val="auto"/>
        </w:rPr>
        <w:t>HANGES IN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2"/>
          <w:szCs w:val="12"/>
          <w:b w:val="1"/>
          <w:bCs w:val="1"/>
          <w:u w:val="single" w:color="auto"/>
          <w:color w:val="auto"/>
        </w:rPr>
        <w:t>APITAL</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2"/>
          <w:szCs w:val="12"/>
          <w:b w:val="1"/>
          <w:bCs w:val="1"/>
          <w:u w:val="single" w:color="auto"/>
          <w:color w:val="auto"/>
        </w:rPr>
        <w:t>TRUCTURE</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450"/>
        <w:spacing w:after="0" w:line="269" w:lineRule="auto"/>
        <w:rPr>
          <w:sz w:val="20"/>
          <w:szCs w:val="20"/>
          <w:color w:val="auto"/>
        </w:rPr>
      </w:pPr>
      <w:r>
        <w:rPr>
          <w:rFonts w:ascii="Arial" w:cs="Arial" w:eastAsia="Arial" w:hAnsi="Arial"/>
          <w:sz w:val="17"/>
          <w:szCs w:val="17"/>
          <w:color w:val="auto"/>
        </w:rPr>
        <w:t>Subject to any required action by the stockholders of the Company and the requirements of Section 409A of the Code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(excepting normal cash dividends) that has a material effect on the Fair Market Value of shares of Stock, appropriate and proportionate adjustments shall be made in the number, Exercise Price and kind of shares subject to the Option, in order to prevent dilution or enlargement of the Participant’s rights under the Option. For purposes of the foregoing, conversion of any convertible securities of the Company shall not be treated as “effected without receipt of consideration by the Company.” Any fractional share resulting from an adjustment pursuant to this Section shall be rounded down to the nearest whole number and the Exercise Price shall be rounded up to the nearest whole cent. In no event may the Exercise Price be decreased to an amount less than the par value, if any, of the Stock subject to the Option. Such adjustments shall be determined by the Committee, and its determination shall be final, binding and conclusive.</w:t>
      </w:r>
    </w:p>
    <w:p>
      <w:pPr>
        <w:spacing w:after="0" w:line="71" w:lineRule="exact"/>
        <w:rPr>
          <w:sz w:val="20"/>
          <w:szCs w:val="20"/>
          <w:color w:val="auto"/>
        </w:rPr>
      </w:pPr>
    </w:p>
    <w:p>
      <w:pPr>
        <w:ind w:left="500" w:hanging="267"/>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2"/>
          <w:szCs w:val="12"/>
          <w:b w:val="1"/>
          <w:bCs w:val="1"/>
          <w:u w:val="single" w:color="auto"/>
          <w:color w:val="auto"/>
        </w:rPr>
        <w:t>IGHTS AS A</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2"/>
          <w:szCs w:val="12"/>
          <w:b w:val="1"/>
          <w:bCs w:val="1"/>
          <w:u w:val="single" w:color="auto"/>
          <w:color w:val="auto"/>
        </w:rPr>
        <w:t>TOCKHOLDER</w:t>
      </w:r>
      <w:r>
        <w:rPr>
          <w:rFonts w:ascii="Arial" w:cs="Arial" w:eastAsia="Arial" w:hAnsi="Arial"/>
          <w:sz w:val="18"/>
          <w:szCs w:val="18"/>
          <w:b w:val="1"/>
          <w:bCs w:val="1"/>
          <w:u w:val="single" w:color="auto"/>
          <w:color w:val="auto"/>
        </w:rPr>
        <w:t>, D</w:t>
      </w:r>
      <w:r>
        <w:rPr>
          <w:rFonts w:ascii="Arial" w:cs="Arial" w:eastAsia="Arial" w:hAnsi="Arial"/>
          <w:sz w:val="12"/>
          <w:szCs w:val="12"/>
          <w:b w:val="1"/>
          <w:bCs w:val="1"/>
          <w:u w:val="single" w:color="auto"/>
          <w:color w:val="auto"/>
        </w:rPr>
        <w:t>IRECTOR</w:t>
      </w:r>
      <w:r>
        <w:rPr>
          <w:rFonts w:ascii="Arial" w:cs="Arial" w:eastAsia="Arial" w:hAnsi="Arial"/>
          <w:sz w:val="18"/>
          <w:szCs w:val="18"/>
          <w:b w:val="1"/>
          <w:bCs w:val="1"/>
          <w:u w:val="single" w:color="auto"/>
          <w:color w:val="auto"/>
        </w:rPr>
        <w:t>, E</w:t>
      </w:r>
      <w:r>
        <w:rPr>
          <w:rFonts w:ascii="Arial" w:cs="Arial" w:eastAsia="Arial" w:hAnsi="Arial"/>
          <w:sz w:val="12"/>
          <w:szCs w:val="12"/>
          <w:b w:val="1"/>
          <w:bCs w:val="1"/>
          <w:u w:val="single" w:color="auto"/>
          <w:color w:val="auto"/>
        </w:rPr>
        <w:t>MPLOYEE OR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2"/>
          <w:szCs w:val="12"/>
          <w:b w:val="1"/>
          <w:bCs w:val="1"/>
          <w:u w:val="single" w:color="auto"/>
          <w:color w:val="auto"/>
        </w:rPr>
        <w:t>ONSULTANT</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447"/>
        <w:spacing w:after="0" w:line="271" w:lineRule="auto"/>
        <w:rPr>
          <w:sz w:val="20"/>
          <w:szCs w:val="20"/>
          <w:color w:val="auto"/>
        </w:rPr>
      </w:pPr>
      <w:r>
        <w:rPr>
          <w:rFonts w:ascii="Arial" w:cs="Arial" w:eastAsia="Arial" w:hAnsi="Arial"/>
          <w:sz w:val="17"/>
          <w:szCs w:val="17"/>
          <w:color w:val="auto"/>
        </w:rPr>
        <w:t>The Participant shall have no rights as a stockholder with respect to any shares of Stock covered by the Option until the date of the issuance of the shares of Stock for which the Option has been exercised (as evidenced by the appropriate entry on the books of the Company or of a duly authorized transfer agent of the Company). No adjustment shall be made for dividends, distributions or other rights for which the record date is prior to the date the shares of Stock are issued, except as provided in Section 9. If the Participant is an Employee, the Participant understands and acknowledges that, except as otherwise provided in a separate, written employment agreement between a Participating Company and the Participant, the Participant’s employment is “at will” and is for no specified term. Nothing in this Option Agreement shall confer upon the Participant any right to continue in the Service of a Participating Company or interfere in any way with any right of the Participating Company Group to terminate the Participant’s Service as a Director, an Employee or Consultant, as the case may be, at any time.</w:t>
      </w:r>
    </w:p>
    <w:p>
      <w:pPr>
        <w:spacing w:after="0" w:line="67" w:lineRule="exact"/>
        <w:rPr>
          <w:sz w:val="20"/>
          <w:szCs w:val="20"/>
          <w:color w:val="auto"/>
        </w:rPr>
      </w:pPr>
    </w:p>
    <w:p>
      <w:pPr>
        <w:ind w:left="500" w:hanging="267"/>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b w:val="1"/>
          <w:bCs w:val="1"/>
          <w:u w:val="single" w:color="auto"/>
          <w:color w:val="auto"/>
        </w:rPr>
        <w:t>L</w:t>
      </w:r>
      <w:r>
        <w:rPr>
          <w:rFonts w:ascii="Arial" w:cs="Arial" w:eastAsia="Arial" w:hAnsi="Arial"/>
          <w:sz w:val="12"/>
          <w:szCs w:val="12"/>
          <w:b w:val="1"/>
          <w:bCs w:val="1"/>
          <w:u w:val="single" w:color="auto"/>
          <w:color w:val="auto"/>
        </w:rPr>
        <w:t>EGENDS</w:t>
      </w:r>
      <w:r>
        <w:rPr>
          <w:rFonts w:ascii="Arial" w:cs="Arial" w:eastAsia="Arial" w:hAnsi="Arial"/>
          <w:sz w:val="18"/>
          <w:szCs w:val="18"/>
          <w:b w:val="1"/>
          <w:bCs w:val="1"/>
          <w:color w:val="auto"/>
        </w:rPr>
        <w:t>.</w:t>
      </w:r>
    </w:p>
    <w:p>
      <w:pPr>
        <w:spacing w:after="0" w:line="121" w:lineRule="exact"/>
        <w:rPr>
          <w:sz w:val="20"/>
          <w:szCs w:val="20"/>
          <w:color w:val="auto"/>
        </w:rPr>
      </w:pPr>
    </w:p>
    <w:p>
      <w:pPr>
        <w:ind w:firstLine="447"/>
        <w:spacing w:after="0" w:line="259" w:lineRule="auto"/>
        <w:rPr>
          <w:sz w:val="20"/>
          <w:szCs w:val="20"/>
          <w:color w:val="auto"/>
        </w:rPr>
      </w:pPr>
      <w:r>
        <w:rPr>
          <w:rFonts w:ascii="Arial" w:cs="Arial" w:eastAsia="Arial" w:hAnsi="Arial"/>
          <w:sz w:val="18"/>
          <w:szCs w:val="18"/>
          <w:color w:val="auto"/>
        </w:rPr>
        <w:t>The Company may at any time place legends referencing any applicable federal, state or foreign securities law restrictions on all certificates representing shares of Stock subject to the provisions of this Option Agreement. The Participant shall, at the request of the Company, promptly present to the Company any and all certificates representing shares acquired pursuant to the Option in the possession of the Participant in order to carry out the provisions of this Section.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9" w:name="page20"/>
    <w:bookmarkEnd w:id="19"/>
    <w:p>
      <w:pPr>
        <w:ind w:left="500" w:hanging="267"/>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2"/>
          <w:szCs w:val="12"/>
          <w:b w:val="1"/>
          <w:bCs w:val="1"/>
          <w:u w:val="single" w:color="auto"/>
          <w:color w:val="auto"/>
        </w:rPr>
        <w:t>RBITRATION</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450"/>
        <w:spacing w:after="0" w:line="255" w:lineRule="auto"/>
        <w:rPr>
          <w:sz w:val="20"/>
          <w:szCs w:val="20"/>
          <w:color w:val="auto"/>
        </w:rPr>
      </w:pPr>
      <w:r>
        <w:rPr>
          <w:rFonts w:ascii="Arial" w:cs="Arial" w:eastAsia="Arial" w:hAnsi="Arial"/>
          <w:sz w:val="18"/>
          <w:szCs w:val="18"/>
          <w:color w:val="auto"/>
        </w:rPr>
        <w:t>In the event a dispute between the parties to this Option Agreement arises out of, in connection with, or with respect to this Option Agreement, or any breach of this Option Agreement, such dispute will, on the written request of one (1) party delivered to the other party, be submitted and settled by arbitration in Maricopa County, Arizona in accordance with the rules of the American Arbitration Association then in effect and will comply with the Arizona Arbitration Act, except as otherwise specifically stated in this Section. Judgment upon the award rendered by the arbitrators may be entered in any court having jurisdiction. The parties submit to the in personam jurisdiction of the Supreme Court of the State of Arizona for the purpose of confirming any such award and entering judgment upon the award. Notwithstanding anything to the contrary that may now or in the future be contained in the rules of the American Arbitration Association, the parties agree as follows:</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12.1 Each party will appoint one individual approved by the American Arbitration Association to hear and determine the dispute within twenty</w:t>
      </w:r>
    </w:p>
    <w:p>
      <w:pPr>
        <w:spacing w:after="0" w:line="35" w:lineRule="exact"/>
        <w:rPr>
          <w:sz w:val="20"/>
          <w:szCs w:val="20"/>
          <w:color w:val="auto"/>
        </w:rPr>
      </w:pPr>
    </w:p>
    <w:p>
      <w:pPr>
        <w:ind w:right="40" w:firstLine="8"/>
        <w:spacing w:after="0" w:line="271" w:lineRule="auto"/>
        <w:tabs>
          <w:tab w:leader="none" w:pos="345" w:val="left"/>
        </w:tabs>
        <w:numPr>
          <w:ilvl w:val="0"/>
          <w:numId w:val="24"/>
        </w:numPr>
        <w:rPr>
          <w:rFonts w:ascii="Arial" w:cs="Arial" w:eastAsia="Arial" w:hAnsi="Arial"/>
          <w:sz w:val="17"/>
          <w:szCs w:val="17"/>
          <w:color w:val="auto"/>
        </w:rPr>
      </w:pPr>
      <w:r>
        <w:rPr>
          <w:rFonts w:ascii="Arial" w:cs="Arial" w:eastAsia="Arial" w:hAnsi="Arial"/>
          <w:sz w:val="17"/>
          <w:szCs w:val="17"/>
          <w:color w:val="auto"/>
        </w:rPr>
        <w:t>days after receipt of notice of arbitration from the noticing party. The two (2) individuals so chosen will select a third impartial arbitrator. The majority decision of the arbitrators will be final and binding upon the parties to the arbitration. If either party fails to designate its arbitrator within twenty (20) days after delivery of the notice provided for in this Section 12.1, then the arbitrator designated by the one (1) party will act as the sole arbitrator and will be considered the single, mutually approved arbitrator to resolve the controversy. In the event the parties are unable to agree upon a rate of compensation for the arbitrators, they will be compensated for their services at a rate to be determined by the American Arbitration Association.</w:t>
      </w:r>
    </w:p>
    <w:p>
      <w:pPr>
        <w:spacing w:after="0" w:line="71" w:lineRule="exact"/>
        <w:rPr>
          <w:sz w:val="20"/>
          <w:szCs w:val="20"/>
          <w:color w:val="auto"/>
        </w:rPr>
      </w:pPr>
    </w:p>
    <w:p>
      <w:pPr>
        <w:ind w:right="40" w:firstLine="450"/>
        <w:spacing w:after="0" w:line="277" w:lineRule="auto"/>
        <w:rPr>
          <w:sz w:val="20"/>
          <w:szCs w:val="20"/>
          <w:color w:val="auto"/>
        </w:rPr>
      </w:pPr>
      <w:r>
        <w:rPr>
          <w:rFonts w:ascii="Arial" w:cs="Arial" w:eastAsia="Arial" w:hAnsi="Arial"/>
          <w:sz w:val="18"/>
          <w:szCs w:val="18"/>
          <w:color w:val="auto"/>
        </w:rPr>
        <w:t>12.2 The parties will enjoy, but are not limited to, the same rights to discovery as they would have in the United States District Court for the District of Arizona.</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12.3 The arbitrators will, upon the request of either party, issue a written opinion of their findings of fact and conclusions of law.</w:t>
      </w:r>
    </w:p>
    <w:p>
      <w:pPr>
        <w:spacing w:after="0" w:line="117" w:lineRule="exact"/>
        <w:rPr>
          <w:sz w:val="20"/>
          <w:szCs w:val="20"/>
          <w:color w:val="auto"/>
        </w:rPr>
      </w:pPr>
    </w:p>
    <w:p>
      <w:pPr>
        <w:jc w:val="both"/>
        <w:ind w:right="20" w:firstLine="450"/>
        <w:spacing w:after="0" w:line="264" w:lineRule="auto"/>
        <w:rPr>
          <w:sz w:val="20"/>
          <w:szCs w:val="20"/>
          <w:color w:val="auto"/>
        </w:rPr>
      </w:pPr>
      <w:r>
        <w:rPr>
          <w:rFonts w:ascii="Arial" w:cs="Arial" w:eastAsia="Arial" w:hAnsi="Arial"/>
          <w:sz w:val="18"/>
          <w:szCs w:val="18"/>
          <w:color w:val="auto"/>
        </w:rPr>
        <w:t>12.4 Upon receipt by the requesting party of said written opinion, said party will have the right within ten (10) days to file with the arbitrators a motion to reconsider, and upon receipt of a timely request the arbitrators will reconsider the issues raised by said motion and either confirm or change their majority decision which will then be final and binding upon the parties to the arbitration.</w:t>
      </w:r>
    </w:p>
    <w:p>
      <w:pPr>
        <w:spacing w:after="0" w:line="73" w:lineRule="exact"/>
        <w:rPr>
          <w:sz w:val="20"/>
          <w:szCs w:val="20"/>
          <w:color w:val="auto"/>
        </w:rPr>
      </w:pPr>
    </w:p>
    <w:p>
      <w:pPr>
        <w:ind w:right="400" w:firstLine="450"/>
        <w:spacing w:after="0" w:line="277" w:lineRule="auto"/>
        <w:rPr>
          <w:sz w:val="20"/>
          <w:szCs w:val="20"/>
          <w:color w:val="auto"/>
        </w:rPr>
      </w:pPr>
      <w:r>
        <w:rPr>
          <w:rFonts w:ascii="Arial" w:cs="Arial" w:eastAsia="Arial" w:hAnsi="Arial"/>
          <w:sz w:val="18"/>
          <w:szCs w:val="18"/>
          <w:color w:val="auto"/>
        </w:rPr>
        <w:t>12.5 The arbitrators will award to the prevailing party in any such arbitration reasonable expenses, including attorneys’ fees and costs, incurred in connection with the dispute.</w:t>
      </w:r>
    </w:p>
    <w:p>
      <w:pPr>
        <w:spacing w:after="0" w:line="58" w:lineRule="exact"/>
        <w:rPr>
          <w:sz w:val="20"/>
          <w:szCs w:val="20"/>
          <w:color w:val="auto"/>
        </w:rPr>
      </w:pPr>
    </w:p>
    <w:p>
      <w:pPr>
        <w:ind w:left="500" w:hanging="267"/>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b w:val="1"/>
          <w:bCs w:val="1"/>
          <w:u w:val="single" w:color="auto"/>
          <w:color w:val="auto"/>
        </w:rPr>
        <w:t>M</w:t>
      </w:r>
      <w:r>
        <w:rPr>
          <w:rFonts w:ascii="Arial" w:cs="Arial" w:eastAsia="Arial" w:hAnsi="Arial"/>
          <w:sz w:val="12"/>
          <w:szCs w:val="12"/>
          <w:b w:val="1"/>
          <w:bCs w:val="1"/>
          <w:u w:val="single" w:color="auto"/>
          <w:color w:val="auto"/>
        </w:rPr>
        <w:t>ISCELLANEOUS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2"/>
          <w:szCs w:val="12"/>
          <w:b w:val="1"/>
          <w:bCs w:val="1"/>
          <w:u w:val="single" w:color="auto"/>
          <w:color w:val="auto"/>
        </w:rPr>
        <w:t>ROVISIONS</w:t>
      </w:r>
      <w:r>
        <w:rPr>
          <w:rFonts w:ascii="Arial" w:cs="Arial" w:eastAsia="Arial" w:hAnsi="Arial"/>
          <w:sz w:val="18"/>
          <w:szCs w:val="18"/>
          <w:b w:val="1"/>
          <w:bCs w:val="1"/>
          <w:color w:val="auto"/>
        </w:rPr>
        <w:t>.</w:t>
      </w:r>
    </w:p>
    <w:p>
      <w:pPr>
        <w:spacing w:after="0" w:line="117" w:lineRule="exact"/>
        <w:rPr>
          <w:sz w:val="20"/>
          <w:szCs w:val="20"/>
          <w:color w:val="auto"/>
        </w:rPr>
      </w:pPr>
    </w:p>
    <w:p>
      <w:pPr>
        <w:ind w:firstLine="450"/>
        <w:spacing w:after="0" w:line="314"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b w:val="1"/>
          <w:bCs w:val="1"/>
          <w:color w:val="auto"/>
        </w:rPr>
        <w:t>Termination or Amendment.</w:t>
      </w:r>
      <w:r>
        <w:rPr>
          <w:rFonts w:ascii="Arial" w:cs="Arial" w:eastAsia="Arial" w:hAnsi="Arial"/>
          <w:sz w:val="16"/>
          <w:szCs w:val="16"/>
          <w:color w:val="auto"/>
        </w:rPr>
        <w:t xml:space="preserve"> The Committee may terminate or amend the Plan or the Option at any time; provided, however, that except as provided in Section 8 in connection with a Change in Control, no such termination or amendment may adversely affect the Option or any unexercised portion hereof without the consent of the Participant unless such termination or amendment is necessary to comply with any applicable law or government</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regulation. No amendment or addition to this Option Agreement shall be effective unless in writing.</w:t>
      </w:r>
    </w:p>
    <w:p>
      <w:pPr>
        <w:spacing w:after="0" w:line="113" w:lineRule="exact"/>
        <w:rPr>
          <w:sz w:val="20"/>
          <w:szCs w:val="20"/>
          <w:color w:val="auto"/>
        </w:rPr>
      </w:pPr>
    </w:p>
    <w:p>
      <w:pPr>
        <w:ind w:right="20" w:firstLine="450"/>
        <w:spacing w:after="0" w:line="282"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b w:val="1"/>
          <w:bCs w:val="1"/>
          <w:color w:val="auto"/>
        </w:rPr>
        <w:t>Further Instruments.</w:t>
      </w:r>
      <w:r>
        <w:rPr>
          <w:rFonts w:ascii="Arial" w:cs="Arial" w:eastAsia="Arial" w:hAnsi="Arial"/>
          <w:sz w:val="18"/>
          <w:szCs w:val="18"/>
          <w:color w:val="auto"/>
        </w:rPr>
        <w:t xml:space="preserve"> The parties hereto agree to execute such further instruments and to take such further action as may reasonably be necessary to carry out the intent of this Option Agreement.</w:t>
      </w:r>
    </w:p>
    <w:p>
      <w:pPr>
        <w:spacing w:after="0" w:line="54" w:lineRule="exact"/>
        <w:rPr>
          <w:sz w:val="20"/>
          <w:szCs w:val="20"/>
          <w:color w:val="auto"/>
        </w:rPr>
      </w:pPr>
    </w:p>
    <w:p>
      <w:pPr>
        <w:ind w:right="100" w:firstLine="450"/>
        <w:spacing w:after="0" w:line="313" w:lineRule="auto"/>
        <w:rPr>
          <w:sz w:val="20"/>
          <w:szCs w:val="20"/>
          <w:color w:val="auto"/>
        </w:rPr>
      </w:pPr>
      <w:r>
        <w:rPr>
          <w:rFonts w:ascii="Arial" w:cs="Arial" w:eastAsia="Arial" w:hAnsi="Arial"/>
          <w:sz w:val="17"/>
          <w:szCs w:val="17"/>
          <w:color w:val="auto"/>
        </w:rPr>
        <w:t xml:space="preserve">13.3 </w:t>
      </w:r>
      <w:r>
        <w:rPr>
          <w:rFonts w:ascii="Arial" w:cs="Arial" w:eastAsia="Arial" w:hAnsi="Arial"/>
          <w:sz w:val="17"/>
          <w:szCs w:val="17"/>
          <w:b w:val="1"/>
          <w:bCs w:val="1"/>
          <w:color w:val="auto"/>
        </w:rPr>
        <w:t>Binding Effect.</w:t>
      </w:r>
      <w:r>
        <w:rPr>
          <w:rFonts w:ascii="Arial" w:cs="Arial" w:eastAsia="Arial" w:hAnsi="Arial"/>
          <w:sz w:val="17"/>
          <w:szCs w:val="17"/>
          <w:color w:val="auto"/>
        </w:rPr>
        <w:t xml:space="preserve"> This Option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30" w:lineRule="exact"/>
        <w:rPr>
          <w:sz w:val="20"/>
          <w:szCs w:val="20"/>
          <w:color w:val="auto"/>
        </w:rPr>
      </w:pPr>
    </w:p>
    <w:p>
      <w:pPr>
        <w:ind w:right="40" w:firstLine="450"/>
        <w:spacing w:after="0" w:line="256"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b w:val="1"/>
          <w:bCs w:val="1"/>
          <w:color w:val="auto"/>
        </w:rPr>
        <w:t>Delivery of Documents and Notices.</w:t>
      </w:r>
      <w:r>
        <w:rPr>
          <w:rFonts w:ascii="Arial" w:cs="Arial" w:eastAsia="Arial" w:hAnsi="Arial"/>
          <w:sz w:val="18"/>
          <w:szCs w:val="18"/>
          <w:color w:val="auto"/>
        </w:rPr>
        <w:t xml:space="preserve"> Any document relating to participation in the Plan or any notice required or permitted hereunder shall be given in writing and shall be deemed effectively given (except to the extent that this Option Agreement provides for effectiveness only upon actual receipt of such notice) upon personal delivery, electronic delivery at the e-mail address, if any, provided for the Participant by a Participating Company, or upon deposit in the U.S. Post Office or foreign postal service, by registered or certified mail, or with a nationally recognized overnight courier service, with postage and fees prepaid, addressed to the other party at the address shown below that party’s signature to the Grant Notice or at such other address as such party may designate in writing from time to time to the other party.</w:t>
      </w:r>
    </w:p>
    <w:p>
      <w:pPr>
        <w:spacing w:after="0" w:line="80" w:lineRule="exact"/>
        <w:rPr>
          <w:sz w:val="20"/>
          <w:szCs w:val="20"/>
          <w:color w:val="auto"/>
        </w:rPr>
      </w:pPr>
    </w:p>
    <w:p>
      <w:pPr>
        <w:ind w:right="40" w:firstLine="683"/>
        <w:spacing w:after="0" w:line="274" w:lineRule="auto"/>
        <w:tabs>
          <w:tab w:leader="none" w:pos="920"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Description of Electronic Delivery</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The Plan documents, which may include but do not necessarily include: the Plan, the Grant Notice, this</w:t>
      </w:r>
      <w:r>
        <w:rPr>
          <w:rFonts w:ascii="Arial" w:cs="Arial" w:eastAsia="Arial" w:hAnsi="Arial"/>
          <w:sz w:val="17"/>
          <w:szCs w:val="17"/>
          <w:b w:val="1"/>
          <w:bCs w:val="1"/>
          <w:color w:val="auto"/>
        </w:rPr>
        <w:t xml:space="preserve"> </w:t>
      </w:r>
      <w:r>
        <w:rPr>
          <w:rFonts w:ascii="Arial" w:cs="Arial" w:eastAsia="Arial" w:hAnsi="Arial"/>
          <w:sz w:val="17"/>
          <w:szCs w:val="17"/>
          <w:color w:val="auto"/>
        </w:rPr>
        <w:t>Option Agreement, the Plan Prospectus, and any reports of the Company provided generally to the Company’s stockholders, may be delivered to the Participant electronically. In addition, if permitted by the Company, the Participant may deliver electronically the Grant Notice and Exercise Notice called for by Section 4.2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w:t>
      </w:r>
    </w:p>
    <w:p>
      <w:pPr>
        <w:spacing w:after="0" w:line="65" w:lineRule="exact"/>
        <w:rPr>
          <w:rFonts w:ascii="Arial" w:cs="Arial" w:eastAsia="Arial" w:hAnsi="Arial"/>
          <w:sz w:val="17"/>
          <w:szCs w:val="17"/>
          <w:color w:val="auto"/>
        </w:rPr>
      </w:pPr>
    </w:p>
    <w:p>
      <w:pPr>
        <w:ind w:firstLine="683"/>
        <w:spacing w:after="0" w:line="271" w:lineRule="auto"/>
        <w:tabs>
          <w:tab w:leader="none" w:pos="930"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 xml:space="preserve">Consent to Electronic Delivery. </w:t>
      </w:r>
      <w:r>
        <w:rPr>
          <w:rFonts w:ascii="Arial" w:cs="Arial" w:eastAsia="Arial" w:hAnsi="Arial"/>
          <w:sz w:val="17"/>
          <w:szCs w:val="17"/>
          <w:color w:val="auto"/>
        </w:rPr>
        <w:t>The Participant acknowledges that the Participant has read Section 13.4(a) of this Option Agreement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consents to the electronic delivery of the Plan documents and, if permitted by the Company, the delivery of the Grant Notice and Exercise Notice, as described in Section 13.4(a).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13.4(a) or may change the electronic mail address to which such documents are to be delivered (if Participant has provided an electronic mail address) at any time by notifying the Company of such revoked consent or revised e-mail</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1" w:name="page22"/>
    <w:bookmarkEnd w:id="21"/>
    <w:p>
      <w:pPr>
        <w:ind w:right="240"/>
        <w:spacing w:after="0" w:line="277" w:lineRule="auto"/>
        <w:rPr>
          <w:sz w:val="20"/>
          <w:szCs w:val="20"/>
          <w:color w:val="auto"/>
        </w:rPr>
      </w:pPr>
      <w:r>
        <w:rPr>
          <w:rFonts w:ascii="Arial" w:cs="Arial" w:eastAsia="Arial" w:hAnsi="Arial"/>
          <w:sz w:val="18"/>
          <w:szCs w:val="18"/>
          <w:color w:val="auto"/>
        </w:rPr>
        <w:t>address by telephone, postal service or electronic mail. Finally, the Participant understands that he or she is not required to consent to electronic delivery of documents described in Section 13.4(a).</w:t>
      </w:r>
    </w:p>
    <w:p>
      <w:pPr>
        <w:spacing w:after="0" w:line="58" w:lineRule="exact"/>
        <w:rPr>
          <w:sz w:val="20"/>
          <w:szCs w:val="20"/>
          <w:color w:val="auto"/>
        </w:rPr>
      </w:pPr>
    </w:p>
    <w:p>
      <w:pPr>
        <w:ind w:firstLine="450"/>
        <w:spacing w:after="0" w:line="256"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b w:val="1"/>
          <w:bCs w:val="1"/>
          <w:color w:val="auto"/>
        </w:rPr>
        <w:t>Integrated Agreement.</w:t>
      </w:r>
      <w:r>
        <w:rPr>
          <w:rFonts w:ascii="Arial" w:cs="Arial" w:eastAsia="Arial" w:hAnsi="Arial"/>
          <w:sz w:val="18"/>
          <w:szCs w:val="18"/>
          <w:color w:val="auto"/>
        </w:rPr>
        <w:t xml:space="preserve"> The Grant Notice, this Option Agreement and the Plan, together with any employment, service or other agreement between the Participant and a Participating Company referring to the Option,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Grant Notice, the Option Agreement and the Plan shall survive any exercise of the Option and shall remain in full force and effect.</w:t>
      </w:r>
    </w:p>
    <w:p>
      <w:pPr>
        <w:spacing w:after="0" w:line="80" w:lineRule="exact"/>
        <w:rPr>
          <w:sz w:val="20"/>
          <w:szCs w:val="20"/>
          <w:color w:val="auto"/>
        </w:rPr>
      </w:pPr>
    </w:p>
    <w:p>
      <w:pPr>
        <w:ind w:right="260" w:firstLine="450"/>
        <w:spacing w:after="0" w:line="282"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b w:val="1"/>
          <w:bCs w:val="1"/>
          <w:color w:val="auto"/>
        </w:rPr>
        <w:t>Applicable Law.</w:t>
      </w:r>
      <w:r>
        <w:rPr>
          <w:rFonts w:ascii="Arial" w:cs="Arial" w:eastAsia="Arial" w:hAnsi="Arial"/>
          <w:sz w:val="18"/>
          <w:szCs w:val="18"/>
          <w:color w:val="auto"/>
        </w:rPr>
        <w:t xml:space="preserve"> This Option Agreement shall be governed by the laws of the State of Arizona as such laws are applied to agreements between Arizona residents entered into and to be performed entirely within the State of Arizona.</w:t>
      </w:r>
    </w:p>
    <w:p>
      <w:pPr>
        <w:spacing w:after="0" w:line="54" w:lineRule="exact"/>
        <w:rPr>
          <w:sz w:val="20"/>
          <w:szCs w:val="20"/>
          <w:color w:val="auto"/>
        </w:rPr>
      </w:pPr>
    </w:p>
    <w:p>
      <w:pPr>
        <w:ind w:right="480" w:firstLine="450"/>
        <w:spacing w:after="0" w:line="282" w:lineRule="auto"/>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b w:val="1"/>
          <w:bCs w:val="1"/>
          <w:color w:val="auto"/>
        </w:rPr>
        <w:t>Counterparts.</w:t>
      </w:r>
      <w:r>
        <w:rPr>
          <w:rFonts w:ascii="Arial" w:cs="Arial" w:eastAsia="Arial" w:hAnsi="Arial"/>
          <w:sz w:val="18"/>
          <w:szCs w:val="18"/>
          <w:color w:val="auto"/>
        </w:rPr>
        <w:t xml:space="preserve"> The Grant Notice may be executed in counterparts, each of which shall be deemed an original, but all of which together shall constitute one and the same instrument.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2" w:name="page23"/>
    <w:bookmarkEnd w:id="22"/>
    <w:p>
      <w:pPr>
        <w:jc w:val="right"/>
        <w:ind w:right="1800"/>
        <w:spacing w:after="0"/>
        <w:rPr>
          <w:sz w:val="20"/>
          <w:szCs w:val="20"/>
          <w:color w:val="auto"/>
        </w:rPr>
      </w:pPr>
      <w:r>
        <w:rPr>
          <w:rFonts w:ascii="Arial" w:cs="Arial" w:eastAsia="Arial" w:hAnsi="Arial"/>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6108700</wp:posOffset>
            </wp:positionH>
            <wp:positionV relativeFrom="paragraph">
              <wp:posOffset>-10160</wp:posOffset>
            </wp:positionV>
            <wp:extent cx="11430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205"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6108700</wp:posOffset>
            </wp:positionH>
            <wp:positionV relativeFrom="paragraph">
              <wp:posOffset>-10160</wp:posOffset>
            </wp:positionV>
            <wp:extent cx="11430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EXERCISE NOTICE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1430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430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391795</wp:posOffset>
            </wp:positionV>
            <wp:extent cx="11430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80" w:firstLine="233"/>
        <w:spacing w:after="0" w:line="266" w:lineRule="auto"/>
        <w:tabs>
          <w:tab w:leader="none" w:pos="405" w:val="left"/>
        </w:tabs>
        <w:numPr>
          <w:ilvl w:val="0"/>
          <w:numId w:val="27"/>
        </w:numPr>
        <w:rPr>
          <w:rFonts w:ascii="Arial" w:cs="Arial" w:eastAsia="Arial" w:hAnsi="Arial"/>
          <w:sz w:val="18"/>
          <w:szCs w:val="18"/>
          <w:color w:val="auto"/>
        </w:rPr>
      </w:pPr>
      <w:r>
        <w:rPr>
          <w:rFonts w:ascii="Arial" w:cs="Arial" w:eastAsia="Arial" w:hAnsi="Arial"/>
          <w:sz w:val="18"/>
          <w:szCs w:val="18"/>
          <w:b w:val="1"/>
          <w:bCs w:val="1"/>
          <w:u w:val="single" w:color="auto"/>
          <w:color w:val="auto"/>
        </w:rPr>
        <w:t>Option</w:t>
      </w:r>
      <w:r>
        <w:rPr>
          <w:rFonts w:ascii="Arial" w:cs="Arial" w:eastAsia="Arial" w:hAnsi="Arial"/>
          <w:sz w:val="18"/>
          <w:szCs w:val="18"/>
          <w:b w:val="1"/>
          <w:bCs w:val="1"/>
          <w:color w:val="auto"/>
        </w:rPr>
        <w:t xml:space="preserve">. </w:t>
      </w:r>
      <w:r>
        <w:rPr>
          <w:rFonts w:ascii="Arial" w:cs="Arial" w:eastAsia="Arial" w:hAnsi="Arial"/>
          <w:sz w:val="18"/>
          <w:szCs w:val="18"/>
          <w:color w:val="auto"/>
        </w:rPr>
        <w:t>I was granted a nonstatutory stock option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i w:val="1"/>
          <w:iCs w:val="1"/>
          <w:color w:val="auto"/>
        </w:rPr>
        <w:t>”</w:t>
      </w:r>
      <w:r>
        <w:rPr>
          <w:rFonts w:ascii="Arial" w:cs="Arial" w:eastAsia="Arial" w:hAnsi="Arial"/>
          <w:sz w:val="18"/>
          <w:szCs w:val="18"/>
          <w:color w:val="auto"/>
        </w:rPr>
        <w:t>) to purchase shares of the common stock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i w:val="1"/>
          <w:iCs w:val="1"/>
          <w:color w:val="auto"/>
        </w:rPr>
        <w:t>”</w:t>
      </w:r>
      <w:r>
        <w:rPr>
          <w:rFonts w:ascii="Arial" w:cs="Arial" w:eastAsia="Arial" w:hAnsi="Arial"/>
          <w:sz w:val="18"/>
          <w:szCs w:val="18"/>
          <w:color w:val="auto"/>
        </w:rPr>
        <w:t>) of Grand Canyon Education,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Inc.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i w:val="1"/>
          <w:iCs w:val="1"/>
          <w:color w:val="auto"/>
        </w:rPr>
        <w:t>”</w:t>
      </w:r>
      <w:r>
        <w:rPr>
          <w:rFonts w:ascii="Arial" w:cs="Arial" w:eastAsia="Arial" w:hAnsi="Arial"/>
          <w:sz w:val="18"/>
          <w:szCs w:val="18"/>
          <w:color w:val="auto"/>
        </w:rPr>
        <w:t xml:space="preserve">) pursuant to the Company’s 2008 Equity Incentive Plan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i w:val="1"/>
          <w:iCs w:val="1"/>
          <w:color w:val="auto"/>
        </w:rPr>
        <w:t>”</w:t>
      </w:r>
      <w:r>
        <w:rPr>
          <w:rFonts w:ascii="Arial" w:cs="Arial" w:eastAsia="Arial" w:hAnsi="Arial"/>
          <w:sz w:val="18"/>
          <w:szCs w:val="18"/>
          <w:color w:val="auto"/>
        </w:rPr>
        <w:t xml:space="preserve">), my Notice of Grant of Stock Option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Grant Notice</w:t>
      </w:r>
      <w:r>
        <w:rPr>
          <w:rFonts w:ascii="Arial" w:cs="Arial" w:eastAsia="Arial" w:hAnsi="Arial"/>
          <w:sz w:val="18"/>
          <w:szCs w:val="18"/>
          <w:i w:val="1"/>
          <w:iCs w:val="1"/>
          <w:color w:val="auto"/>
        </w:rPr>
        <w:t>”</w:t>
      </w:r>
      <w:r>
        <w:rPr>
          <w:rFonts w:ascii="Arial" w:cs="Arial" w:eastAsia="Arial" w:hAnsi="Arial"/>
          <w:sz w:val="18"/>
          <w:szCs w:val="18"/>
          <w:color w:val="auto"/>
        </w:rPr>
        <w:t xml:space="preserve">) and my Stock Option Agreement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Option Agreement</w:t>
      </w:r>
      <w:r>
        <w:rPr>
          <w:rFonts w:ascii="Arial" w:cs="Arial" w:eastAsia="Arial" w:hAnsi="Arial"/>
          <w:sz w:val="18"/>
          <w:szCs w:val="18"/>
          <w:i w:val="1"/>
          <w:iCs w:val="1"/>
          <w:color w:val="auto"/>
        </w:rPr>
        <w:t>”</w:t>
      </w:r>
      <w:r>
        <w:rPr>
          <w:rFonts w:ascii="Arial" w:cs="Arial" w:eastAsia="Arial" w:hAnsi="Arial"/>
          <w:sz w:val="18"/>
          <w:szCs w:val="18"/>
          <w:color w:val="auto"/>
        </w:rPr>
        <w:t>) as follows: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Number of 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6754495</wp:posOffset>
            </wp:positionH>
            <wp:positionV relativeFrom="paragraph">
              <wp:posOffset>14605</wp:posOffset>
            </wp:positionV>
            <wp:extent cx="4286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138" w:lineRule="exact"/>
        <w:rPr>
          <w:sz w:val="20"/>
          <w:szCs w:val="20"/>
          <w:color w:val="auto"/>
        </w:rPr>
      </w:pPr>
    </w:p>
    <w:p>
      <w:pPr>
        <w:spacing w:after="0"/>
        <w:tabs>
          <w:tab w:leader="none" w:pos="10620" w:val="left"/>
        </w:tabs>
        <w:rPr>
          <w:sz w:val="20"/>
          <w:szCs w:val="20"/>
          <w:color w:val="auto"/>
        </w:rPr>
      </w:pPr>
      <w:r>
        <w:rPr>
          <w:rFonts w:ascii="Arial" w:cs="Arial" w:eastAsia="Arial" w:hAnsi="Arial"/>
          <w:sz w:val="18"/>
          <w:szCs w:val="18"/>
          <w:color w:val="auto"/>
        </w:rPr>
        <w:t>Exercise Price per Share:</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20" w:lineRule="exact"/>
        <w:rPr>
          <w:sz w:val="20"/>
          <w:szCs w:val="20"/>
          <w:color w:val="auto"/>
        </w:rPr>
      </w:pPr>
    </w:p>
    <w:p>
      <w:pPr>
        <w:ind w:right="20" w:firstLine="233"/>
        <w:spacing w:after="0" w:line="282" w:lineRule="auto"/>
        <w:tabs>
          <w:tab w:leader="none" w:pos="405" w:val="left"/>
        </w:tabs>
        <w:numPr>
          <w:ilvl w:val="0"/>
          <w:numId w:val="28"/>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of Option</w:t>
      </w:r>
      <w:r>
        <w:rPr>
          <w:rFonts w:ascii="Arial" w:cs="Arial" w:eastAsia="Arial" w:hAnsi="Arial"/>
          <w:sz w:val="18"/>
          <w:szCs w:val="18"/>
          <w:b w:val="1"/>
          <w:bCs w:val="1"/>
          <w:color w:val="auto"/>
        </w:rPr>
        <w:t xml:space="preserve">. </w:t>
      </w:r>
      <w:r>
        <w:rPr>
          <w:rFonts w:ascii="Arial" w:cs="Arial" w:eastAsia="Arial" w:hAnsi="Arial"/>
          <w:sz w:val="18"/>
          <w:szCs w:val="18"/>
          <w:color w:val="auto"/>
        </w:rPr>
        <w:t>I hereby elect to exercise the Option to purchase the following number of Shares, all of which are Vested Shares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Grant Notice and the Option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Total Shares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6754495</wp:posOffset>
            </wp:positionH>
            <wp:positionV relativeFrom="paragraph">
              <wp:posOffset>14605</wp:posOffset>
            </wp:positionV>
            <wp:extent cx="4286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138" w:lineRule="exact"/>
        <w:rPr>
          <w:sz w:val="20"/>
          <w:szCs w:val="20"/>
          <w:color w:val="auto"/>
        </w:rPr>
      </w:pPr>
    </w:p>
    <w:p>
      <w:pPr>
        <w:spacing w:after="0"/>
        <w:tabs>
          <w:tab w:leader="none" w:pos="10620" w:val="left"/>
        </w:tabs>
        <w:rPr>
          <w:sz w:val="20"/>
          <w:szCs w:val="20"/>
          <w:color w:val="auto"/>
        </w:rPr>
      </w:pPr>
      <w:r>
        <w:rPr>
          <w:rFonts w:ascii="Arial" w:cs="Arial" w:eastAsia="Arial" w:hAnsi="Arial"/>
          <w:sz w:val="18"/>
          <w:szCs w:val="18"/>
          <w:color w:val="auto"/>
        </w:rPr>
        <w:t>Total Exercise Price (Total Shares X Price per Share)</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6754495</wp:posOffset>
            </wp:positionH>
            <wp:positionV relativeFrom="paragraph">
              <wp:posOffset>14605</wp:posOffset>
            </wp:positionV>
            <wp:extent cx="4286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 xml:space="preserve">3. </w:t>
      </w:r>
      <w:r>
        <w:rPr>
          <w:rFonts w:ascii="Arial" w:cs="Arial" w:eastAsia="Arial" w:hAnsi="Arial"/>
          <w:sz w:val="17"/>
          <w:szCs w:val="17"/>
          <w:b w:val="1"/>
          <w:bCs w:val="1"/>
          <w:u w:val="single" w:color="auto"/>
          <w:color w:val="auto"/>
        </w:rPr>
        <w:t>Payments</w:t>
      </w:r>
      <w:r>
        <w:rPr>
          <w:rFonts w:ascii="Arial" w:cs="Arial" w:eastAsia="Arial" w:hAnsi="Arial"/>
          <w:sz w:val="17"/>
          <w:szCs w:val="17"/>
          <w:b w:val="1"/>
          <w:bCs w:val="1"/>
          <w:color w:val="auto"/>
        </w:rPr>
        <w:t>.</w:t>
      </w:r>
      <w:r>
        <w:rPr>
          <w:rFonts w:ascii="Arial" w:cs="Arial" w:eastAsia="Arial" w:hAnsi="Arial"/>
          <w:sz w:val="17"/>
          <w:szCs w:val="17"/>
          <w:color w:val="auto"/>
        </w:rPr>
        <w:t xml:space="preserve"> I enclose payment in full of the total exercise price for the Shares in the following form(s), as authorized by my Option Agreement:</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5"/>
                <w:szCs w:val="15"/>
                <w:color w:val="auto"/>
              </w:rPr>
              <w:t xml:space="preserve">TM </w:t>
            </w:r>
            <w:r>
              <w:rPr>
                <w:rFonts w:ascii="Arial" w:cs="Arial" w:eastAsia="Arial" w:hAnsi="Arial"/>
                <w:sz w:val="18"/>
                <w:szCs w:val="18"/>
                <w:color w:val="auto"/>
              </w:rPr>
              <w:t>Cash:</w:t>
            </w:r>
          </w:p>
        </w:tc>
        <w:tc>
          <w:tcPr>
            <w:tcW w:w="5440" w:type="dxa"/>
            <w:vAlign w:val="bottom"/>
            <w:gridSpan w:val="2"/>
            <w:shd w:val="clear" w:color="auto" w:fill="CCEEFF"/>
          </w:tcPr>
          <w:p>
            <w:pPr>
              <w:ind w:left="37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gridSpan w:val="2"/>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700" w:type="dxa"/>
            <w:vAlign w:val="bottom"/>
            <w:gridSpan w:val="2"/>
          </w:tcPr>
          <w:p>
            <w:pPr>
              <w:spacing w:after="0"/>
              <w:rPr>
                <w:sz w:val="20"/>
                <w:szCs w:val="20"/>
                <w:color w:val="auto"/>
              </w:rPr>
            </w:pPr>
            <w:r>
              <w:rPr>
                <w:rFonts w:ascii="Arial" w:cs="Arial" w:eastAsia="Arial" w:hAnsi="Arial"/>
                <w:sz w:val="15"/>
                <w:szCs w:val="15"/>
                <w:color w:val="auto"/>
              </w:rPr>
              <w:t xml:space="preserve">TM </w:t>
            </w:r>
            <w:r>
              <w:rPr>
                <w:rFonts w:ascii="Arial" w:cs="Arial" w:eastAsia="Arial" w:hAnsi="Arial"/>
                <w:sz w:val="18"/>
                <w:szCs w:val="18"/>
                <w:color w:val="auto"/>
              </w:rPr>
              <w:t>Check:</w:t>
            </w:r>
          </w:p>
        </w:tc>
        <w:tc>
          <w:tcPr>
            <w:tcW w:w="5440" w:type="dxa"/>
            <w:vAlign w:val="bottom"/>
            <w:gridSpan w:val="2"/>
          </w:tcPr>
          <w:p>
            <w:pPr>
              <w:ind w:left="37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68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5"/>
                <w:szCs w:val="15"/>
                <w:color w:val="auto"/>
              </w:rPr>
              <w:t xml:space="preserve">TM </w:t>
            </w:r>
            <w:r>
              <w:rPr>
                <w:rFonts w:ascii="Arial" w:cs="Arial" w:eastAsia="Arial" w:hAnsi="Arial"/>
                <w:sz w:val="18"/>
                <w:szCs w:val="18"/>
                <w:color w:val="auto"/>
              </w:rPr>
              <w:t>Cashless Exercise:</w:t>
            </w:r>
          </w:p>
        </w:tc>
        <w:tc>
          <w:tcPr>
            <w:tcW w:w="3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Contact Plan Administrator</w:t>
            </w:r>
          </w:p>
        </w:tc>
        <w:tc>
          <w:tcPr>
            <w:tcW w:w="0" w:type="dxa"/>
            <w:vAlign w:val="bottom"/>
          </w:tcPr>
          <w:p>
            <w:pPr>
              <w:spacing w:after="0"/>
              <w:rPr>
                <w:sz w:val="1"/>
                <w:szCs w:val="1"/>
                <w:color w:val="auto"/>
              </w:rPr>
            </w:pPr>
          </w:p>
        </w:tc>
      </w:tr>
      <w:tr>
        <w:trPr>
          <w:trHeight w:val="338"/>
        </w:trPr>
        <w:tc>
          <w:tcPr>
            <w:tcW w:w="5700" w:type="dxa"/>
            <w:vAlign w:val="bottom"/>
            <w:gridSpan w:val="2"/>
          </w:tcPr>
          <w:p>
            <w:pPr>
              <w:spacing w:after="0"/>
              <w:rPr>
                <w:sz w:val="20"/>
                <w:szCs w:val="20"/>
                <w:color w:val="auto"/>
              </w:rPr>
            </w:pPr>
            <w:r>
              <w:rPr>
                <w:rFonts w:ascii="Arial" w:cs="Arial" w:eastAsia="Arial" w:hAnsi="Arial"/>
                <w:sz w:val="15"/>
                <w:szCs w:val="15"/>
                <w:color w:val="auto"/>
              </w:rPr>
              <w:t xml:space="preserve">TM </w:t>
            </w:r>
            <w:r>
              <w:rPr>
                <w:rFonts w:ascii="Arial" w:cs="Arial" w:eastAsia="Arial" w:hAnsi="Arial"/>
                <w:sz w:val="18"/>
                <w:szCs w:val="18"/>
                <w:color w:val="auto"/>
              </w:rPr>
              <w:t>Net Exercise:</w:t>
            </w:r>
          </w:p>
        </w:tc>
        <w:tc>
          <w:tcPr>
            <w:tcW w:w="3740" w:type="dxa"/>
            <w:vAlign w:val="bottom"/>
          </w:tcPr>
          <w:p>
            <w:pPr>
              <w:spacing w:after="0"/>
              <w:rPr>
                <w:sz w:val="24"/>
                <w:szCs w:val="24"/>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w w:val="91"/>
              </w:rPr>
              <w:t>Contact Plan Administrator</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568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5"/>
                <w:szCs w:val="15"/>
                <w:color w:val="auto"/>
              </w:rPr>
              <w:t xml:space="preserve">TM </w:t>
            </w:r>
            <w:r>
              <w:rPr>
                <w:rFonts w:ascii="Arial" w:cs="Arial" w:eastAsia="Arial" w:hAnsi="Arial"/>
                <w:sz w:val="18"/>
                <w:szCs w:val="18"/>
                <w:color w:val="auto"/>
              </w:rPr>
              <w:t>Stock Tender Exercise:</w:t>
            </w:r>
          </w:p>
        </w:tc>
        <w:tc>
          <w:tcPr>
            <w:tcW w:w="3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Contact Plan Administrator</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180" w:firstLine="233"/>
        <w:spacing w:after="0" w:line="282" w:lineRule="auto"/>
        <w:tabs>
          <w:tab w:leader="none" w:pos="405" w:val="left"/>
        </w:tabs>
        <w:numPr>
          <w:ilvl w:val="0"/>
          <w:numId w:val="29"/>
        </w:numPr>
        <w:rPr>
          <w:rFonts w:ascii="Arial" w:cs="Arial" w:eastAsia="Arial" w:hAnsi="Arial"/>
          <w:sz w:val="18"/>
          <w:szCs w:val="18"/>
          <w:color w:val="auto"/>
        </w:rPr>
      </w:pPr>
      <w:r>
        <w:rPr>
          <w:rFonts w:ascii="Arial" w:cs="Arial" w:eastAsia="Arial" w:hAnsi="Arial"/>
          <w:sz w:val="18"/>
          <w:szCs w:val="18"/>
          <w:b w:val="1"/>
          <w:bCs w:val="1"/>
          <w:u w:val="single" w:color="auto"/>
          <w:color w:val="auto"/>
        </w:rPr>
        <w:t>Tax Withholding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I authorize payroll withholding and otherwise will make adequate provision for the federal, state, local and foreign tax withholding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of the Company, if any, in connection with the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3" w:name="page24"/>
    <w:bookmarkEnd w:id="23"/>
    <w:p>
      <w:pPr>
        <w:ind w:left="420" w:right="8900" w:hanging="187"/>
        <w:spacing w:after="0" w:line="629" w:lineRule="auto"/>
        <w:tabs>
          <w:tab w:leader="none" w:pos="420" w:val="left"/>
        </w:tabs>
        <w:numPr>
          <w:ilvl w:val="0"/>
          <w:numId w:val="30"/>
        </w:numPr>
        <w:rPr>
          <w:rFonts w:ascii="Arial" w:cs="Arial" w:eastAsia="Arial" w:hAnsi="Arial"/>
          <w:sz w:val="16"/>
          <w:szCs w:val="16"/>
          <w:color w:val="auto"/>
        </w:rPr>
      </w:pPr>
      <w:r>
        <w:rPr>
          <w:rFonts w:ascii="Arial" w:cs="Arial" w:eastAsia="Arial" w:hAnsi="Arial"/>
          <w:sz w:val="16"/>
          <w:szCs w:val="16"/>
          <w:b w:val="1"/>
          <w:bCs w:val="1"/>
          <w:u w:val="single" w:color="auto"/>
          <w:color w:val="auto"/>
        </w:rPr>
        <w:t>Participant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My address is:</w:t>
      </w:r>
    </w:p>
    <w:p>
      <w:pPr>
        <w:spacing w:after="0" w:line="390"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8"/>
          <w:szCs w:val="18"/>
          <w:color w:val="auto"/>
        </w:rPr>
        <w:t>My Social Security Number is:</w:t>
      </w:r>
    </w:p>
    <w:p>
      <w:pPr>
        <w:spacing w:after="0" w:line="140" w:lineRule="exact"/>
        <w:rPr>
          <w:rFonts w:ascii="Arial" w:cs="Arial" w:eastAsia="Arial" w:hAnsi="Arial"/>
          <w:sz w:val="16"/>
          <w:szCs w:val="16"/>
          <w:color w:val="auto"/>
        </w:rPr>
      </w:pPr>
    </w:p>
    <w:p>
      <w:pPr>
        <w:ind w:firstLine="233"/>
        <w:spacing w:after="0" w:line="266" w:lineRule="auto"/>
        <w:tabs>
          <w:tab w:leader="none" w:pos="405" w:val="left"/>
        </w:tabs>
        <w:numPr>
          <w:ilvl w:val="0"/>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Binding Effect</w:t>
      </w:r>
      <w:r>
        <w:rPr>
          <w:rFonts w:ascii="Arial" w:cs="Arial" w:eastAsia="Arial" w:hAnsi="Arial"/>
          <w:sz w:val="18"/>
          <w:szCs w:val="18"/>
          <w:b w:val="1"/>
          <w:bCs w:val="1"/>
          <w:color w:val="auto"/>
        </w:rPr>
        <w:t xml:space="preserve">. </w:t>
      </w:r>
      <w:r>
        <w:rPr>
          <w:rFonts w:ascii="Arial" w:cs="Arial" w:eastAsia="Arial" w:hAnsi="Arial"/>
          <w:sz w:val="18"/>
          <w:szCs w:val="18"/>
          <w:color w:val="auto"/>
        </w:rPr>
        <w:t>I agree that the shares of Stock are being acquired in accordance with and subject to the terms, provisions and conditions of the Grant</w:t>
      </w:r>
      <w:r>
        <w:rPr>
          <w:rFonts w:ascii="Arial" w:cs="Arial" w:eastAsia="Arial" w:hAnsi="Arial"/>
          <w:sz w:val="18"/>
          <w:szCs w:val="18"/>
          <w:b w:val="1"/>
          <w:bCs w:val="1"/>
          <w:color w:val="auto"/>
        </w:rPr>
        <w:t xml:space="preserve"> </w:t>
      </w:r>
      <w:r>
        <w:rPr>
          <w:rFonts w:ascii="Arial" w:cs="Arial" w:eastAsia="Arial" w:hAnsi="Arial"/>
          <w:sz w:val="18"/>
          <w:szCs w:val="18"/>
          <w:color w:val="auto"/>
        </w:rPr>
        <w:t>Notice, the Option Agreement and the Plan, to all of which I hereby expressly assent. This Agreement shall inure to the benefit of and be binding upon my heirs, executors, administrators,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-1093470</wp:posOffset>
            </wp:positionV>
            <wp:extent cx="54368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36870" cy="8890"/>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-802005</wp:posOffset>
            </wp:positionV>
            <wp:extent cx="54368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36870" cy="8890"/>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-510540</wp:posOffset>
            </wp:positionV>
            <wp:extent cx="54368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36870" cy="8890"/>
                    </a:xfrm>
                    <a:prstGeom prst="rect">
                      <a:avLst/>
                    </a:prstGeom>
                    <a:noFill/>
                  </pic:spPr>
                </pic:pic>
              </a:graphicData>
            </a:graphic>
          </wp:anchor>
        </w:drawing>
      </w:r>
    </w:p>
    <w:p>
      <w:pPr>
        <w:spacing w:after="0" w:line="16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289560</wp:posOffset>
            </wp:positionV>
            <wp:extent cx="35591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Receipt of the above is hereby acknowledged.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Grand Canyon Education,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7870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7870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7870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7870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sectPr>
      <w:pgSz w:w="11900" w:h="16838" w:orient="portrait"/>
      <w:cols w:equalWidth="0" w:num="1">
        <w:col w:w="11220"/>
      </w:cols>
      <w:pgMar w:left="240" w:top="93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decimal"/>
      <w:start w:val="602"/>
    </w:lvl>
  </w:abstractNum>
  <w:abstractNum w:abstractNumId="1">
    <w:nsid w:val="6B68079A"/>
    <w:multiLevelType w:val="hybridMultilevel"/>
    <w:lvl w:ilvl="0">
      <w:lvlJc w:val="left"/>
      <w:lvlText w:val="(%1)"/>
      <w:numFmt w:val="decimal"/>
      <w:start w:val="1"/>
    </w:lvl>
  </w:abstractNum>
  <w:abstractNum w:abstractNumId="2">
    <w:nsid w:val="4E6AFB66"/>
    <w:multiLevelType w:val="hybridMultilevel"/>
    <w:lvl w:ilvl="0">
      <w:lvlJc w:val="left"/>
      <w:lvlText w:val="(%1)"/>
      <w:numFmt w:val="lowerLetter"/>
      <w:start w:val="1"/>
    </w:lvl>
  </w:abstractNum>
  <w:abstractNum w:abstractNumId="3">
    <w:nsid w:val="25E45D3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519B500D"/>
    <w:multiLevelType w:val="hybridMultilevel"/>
    <w:lvl w:ilvl="0">
      <w:lvlJc w:val="left"/>
      <w:lvlText w:val="%1"/>
      <w:numFmt w:val="lowerLetter"/>
      <w:start w:val="1"/>
    </w:lvl>
    <w:lvl w:ilvl="1">
      <w:lvlJc w:val="left"/>
      <w:lvlText w:val="%2."/>
      <w:numFmt w:val="decimal"/>
      <w:start w:val="2"/>
    </w:lvl>
  </w:abstractNum>
  <w:abstractNum w:abstractNumId="5">
    <w:nsid w:val="431BD7B7"/>
    <w:multiLevelType w:val="hybridMultilevel"/>
    <w:lvl w:ilvl="0">
      <w:lvlJc w:val="left"/>
      <w:lvlText w:val="(%1)"/>
      <w:numFmt w:val="lowerLetter"/>
      <w:start w:val="2"/>
    </w:lvl>
    <w:lvl w:ilvl="1">
      <w:lvlJc w:val="left"/>
      <w:lvlText w:val="%2"/>
      <w:numFmt w:val="decimal"/>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2"/>
    </w:lvl>
  </w:abstractNum>
  <w:abstractNum w:abstractNumId="8">
    <w:nsid w:val="257130A3"/>
    <w:multiLevelType w:val="hybridMultilevel"/>
    <w:lvl w:ilvl="0">
      <w:lvlJc w:val="left"/>
      <w:lvlText w:val="%1."/>
      <w:numFmt w:val="decimal"/>
      <w:start w:val="3"/>
    </w:lvl>
  </w:abstractNum>
  <w:abstractNum w:abstractNumId="9">
    <w:nsid w:val="62BBD95A"/>
    <w:multiLevelType w:val="hybridMultilevel"/>
    <w:lvl w:ilvl="0">
      <w:lvlJc w:val="left"/>
      <w:lvlText w:val="%1."/>
      <w:numFmt w:val="decimal"/>
      <w:start w:val="4"/>
    </w:lvl>
  </w:abstractNum>
  <w:abstractNum w:abstractNumId="10">
    <w:nsid w:val="436C6125"/>
    <w:multiLevelType w:val="hybridMultilevel"/>
    <w:lvl w:ilvl="0">
      <w:lvlJc w:val="left"/>
      <w:lvlText w:val="(%1)"/>
      <w:numFmt w:val="lowerLetter"/>
      <w:start w:val="1"/>
    </w:lvl>
  </w:abstractNum>
  <w:abstractNum w:abstractNumId="11">
    <w:nsid w:val="628C895D"/>
    <w:multiLevelType w:val="hybridMultilevel"/>
    <w:lvl w:ilvl="0">
      <w:lvlJc w:val="left"/>
      <w:lvlText w:val="(%1)"/>
      <w:numFmt w:val="lowerRoman"/>
      <w:start w:val="1"/>
    </w:lvl>
  </w:abstractNum>
  <w:abstractNum w:abstractNumId="12">
    <w:nsid w:val="333AB105"/>
    <w:multiLevelType w:val="hybridMultilevel"/>
    <w:lvl w:ilvl="0">
      <w:lvlJc w:val="left"/>
      <w:lvlText w:val="(%1)"/>
      <w:numFmt w:val="lowerLetter"/>
      <w:start w:val="1"/>
    </w:lvl>
  </w:abstractNum>
  <w:abstractNum w:abstractNumId="13">
    <w:nsid w:val="721DA317"/>
    <w:multiLevelType w:val="hybridMultilevel"/>
    <w:lvl w:ilvl="0">
      <w:lvlJc w:val="left"/>
      <w:lvlText w:val="%1."/>
      <w:numFmt w:val="decimal"/>
      <w:start w:val="5"/>
    </w:lvl>
  </w:abstractNum>
  <w:abstractNum w:abstractNumId="14">
    <w:nsid w:val="2443A858"/>
    <w:multiLevelType w:val="hybridMultilevel"/>
    <w:lvl w:ilvl="0">
      <w:lvlJc w:val="left"/>
      <w:lvlText w:val="%1."/>
      <w:numFmt w:val="decimal"/>
      <w:start w:val="6"/>
    </w:lvl>
  </w:abstractNum>
  <w:abstractNum w:abstractNumId="15">
    <w:nsid w:val="2D1D5AE9"/>
    <w:multiLevelType w:val="hybridMultilevel"/>
    <w:lvl w:ilvl="0">
      <w:lvlJc w:val="left"/>
      <w:lvlText w:val="%1."/>
      <w:numFmt w:val="decimal"/>
      <w:start w:val="7"/>
    </w:lvl>
  </w:abstractNum>
  <w:abstractNum w:abstractNumId="16">
    <w:nsid w:val="6763845E"/>
    <w:multiLevelType w:val="hybridMultilevel"/>
    <w:lvl w:ilvl="0">
      <w:lvlJc w:val="left"/>
      <w:lvlText w:val="(%1)"/>
      <w:numFmt w:val="lowerLetter"/>
      <w:start w:val="1"/>
    </w:lvl>
  </w:abstractNum>
  <w:abstractNum w:abstractNumId="17">
    <w:nsid w:val="75A2A8D4"/>
    <w:multiLevelType w:val="hybridMultilevel"/>
    <w:lvl w:ilvl="0">
      <w:lvlJc w:val="left"/>
      <w:lvlText w:val="%1."/>
      <w:numFmt w:val="decimal"/>
      <w:start w:val="8"/>
    </w:lvl>
  </w:abstractNum>
  <w:abstractNum w:abstractNumId="18">
    <w:nsid w:val="8EDBDAB"/>
    <w:multiLevelType w:val="hybridMultilevel"/>
    <w:lvl w:ilvl="0">
      <w:lvlJc w:val="left"/>
      <w:lvlText w:val="(%1)"/>
      <w:numFmt w:val="lowerLetter"/>
      <w:start w:val="1"/>
    </w:lvl>
  </w:abstractNum>
  <w:abstractNum w:abstractNumId="19">
    <w:nsid w:val="79838CB2"/>
    <w:multiLevelType w:val="hybridMultilevel"/>
    <w:lvl w:ilvl="0">
      <w:lvlJc w:val="left"/>
      <w:lvlText w:val="%1."/>
      <w:numFmt w:val="decimal"/>
      <w:start w:val="9"/>
    </w:lvl>
  </w:abstractNum>
  <w:abstractNum w:abstractNumId="20">
    <w:nsid w:val="4353D0CD"/>
    <w:multiLevelType w:val="hybridMultilevel"/>
    <w:lvl w:ilvl="0">
      <w:lvlJc w:val="left"/>
      <w:lvlText w:val="%1."/>
      <w:numFmt w:val="decimal"/>
      <w:start w:val="10"/>
    </w:lvl>
  </w:abstractNum>
  <w:abstractNum w:abstractNumId="21">
    <w:nsid w:val="B03E0C6"/>
    <w:multiLevelType w:val="hybridMultilevel"/>
    <w:lvl w:ilvl="0">
      <w:lvlJc w:val="left"/>
      <w:lvlText w:val="%1."/>
      <w:numFmt w:val="decimal"/>
      <w:start w:val="11"/>
    </w:lvl>
  </w:abstractNum>
  <w:abstractNum w:abstractNumId="22">
    <w:nsid w:val="189A769B"/>
    <w:multiLevelType w:val="hybridMultilevel"/>
    <w:lvl w:ilvl="0">
      <w:lvlJc w:val="left"/>
      <w:lvlText w:val="%1."/>
      <w:numFmt w:val="decimal"/>
      <w:start w:val="12"/>
    </w:lvl>
  </w:abstractNum>
  <w:abstractNum w:abstractNumId="23">
    <w:nsid w:val="54E49EB4"/>
    <w:multiLevelType w:val="hybridMultilevel"/>
    <w:lvl w:ilvl="0">
      <w:lvlJc w:val="left"/>
      <w:lvlText w:val="(%1)"/>
      <w:numFmt w:val="decimal"/>
      <w:start w:val="20"/>
    </w:lvl>
  </w:abstractNum>
  <w:abstractNum w:abstractNumId="24">
    <w:nsid w:val="71F32454"/>
    <w:multiLevelType w:val="hybridMultilevel"/>
    <w:lvl w:ilvl="0">
      <w:lvlJc w:val="left"/>
      <w:lvlText w:val="%1."/>
      <w:numFmt w:val="decimal"/>
      <w:start w:val="13"/>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decimal"/>
      <w:start w:val="1"/>
    </w:lvl>
  </w:abstractNum>
  <w:abstractNum w:abstractNumId="27">
    <w:nsid w:val="2901D82"/>
    <w:multiLevelType w:val="hybridMultilevel"/>
    <w:lvl w:ilvl="0">
      <w:lvlJc w:val="left"/>
      <w:lvlText w:val="%1."/>
      <w:numFmt w:val="decimal"/>
      <w:start w:val="2"/>
    </w:lvl>
  </w:abstractNum>
  <w:abstractNum w:abstractNumId="28">
    <w:nsid w:val="3A95F874"/>
    <w:multiLevelType w:val="hybridMultilevel"/>
    <w:lvl w:ilvl="0">
      <w:lvlJc w:val="left"/>
      <w:lvlText w:val="%1."/>
      <w:numFmt w:val="decimal"/>
      <w:start w:val="4"/>
    </w:lvl>
  </w:abstractNum>
  <w:abstractNum w:abstractNumId="29">
    <w:nsid w:val="8138641"/>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2019-12-11T16:25:11Z</dcterms:created>
  <dcterms:modified xsi:type="dcterms:W3CDTF">2019-12-11T16:25:11Z</dcterms:modified>
</cp:coreProperties>
</file>