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1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380"/>
        <w:spacing w:after="0"/>
        <w:tabs>
          <w:tab w:leader="none" w:pos="6700" w:val="left"/>
          <w:tab w:leader="none" w:pos="7960" w:val="left"/>
        </w:tabs>
        <w:rPr>
          <w:sz w:val="20"/>
          <w:szCs w:val="20"/>
          <w:color w:val="auto"/>
        </w:rPr>
      </w:pPr>
      <w:r>
        <w:rPr>
          <w:rFonts w:ascii="Arial" w:cs="Arial" w:eastAsia="Arial" w:hAnsi="Arial"/>
          <w:sz w:val="18"/>
          <w:szCs w:val="18"/>
          <w:b w:val="1"/>
          <w:bCs w:val="1"/>
          <w:color w:val="auto"/>
        </w:rPr>
        <w:t>For the transition period from [</w:t>
      </w:r>
      <w:r>
        <w:rPr>
          <w:sz w:val="20"/>
          <w:szCs w:val="20"/>
          <w:color w:val="auto"/>
        </w:rPr>
        <w:tab/>
      </w:r>
      <w:r>
        <w:rPr>
          <w:rFonts w:ascii="Arial" w:cs="Arial" w:eastAsia="Arial" w:hAnsi="Arial"/>
          <w:sz w:val="18"/>
          <w:szCs w:val="18"/>
          <w:b w:val="1"/>
          <w:bCs w:val="1"/>
          <w:color w:val="auto"/>
        </w:rPr>
        <w:t>] to [</w:t>
      </w:r>
      <w:r>
        <w:rPr>
          <w:sz w:val="20"/>
          <w:szCs w:val="20"/>
          <w:color w:val="auto"/>
        </w:rPr>
        <w:tab/>
      </w:r>
      <w:r>
        <w:rPr>
          <w:rFonts w:ascii="Arial" w:cs="Arial" w:eastAsia="Arial" w:hAnsi="Arial"/>
          <w:sz w:val="18"/>
          <w:szCs w:val="18"/>
          <w:b w:val="1"/>
          <w:bCs w:val="1"/>
          <w:color w:val="auto"/>
        </w:rPr>
        <w:t>]</w:t>
      </w:r>
    </w:p>
    <w:p>
      <w:pPr>
        <w:spacing w:after="0" w:line="225"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60" w:type="dxa"/>
        <w:tblCellMar>
          <w:top w:w="0" w:type="dxa"/>
          <w:left w:w="0" w:type="dxa"/>
          <w:bottom w:w="0" w:type="dxa"/>
          <w:right w:w="0" w:type="dxa"/>
        </w:tblCellMar>
      </w:tblPr>
      <w:tr>
        <w:trPr>
          <w:trHeight w:val="212"/>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20-3356009</w:t>
            </w:r>
          </w:p>
        </w:tc>
      </w:tr>
      <w:tr>
        <w:trPr>
          <w:trHeight w:val="149"/>
        </w:trPr>
        <w:tc>
          <w:tcPr>
            <w:tcW w:w="4000" w:type="dxa"/>
            <w:vAlign w:val="bottom"/>
          </w:tcPr>
          <w:p>
            <w:pPr>
              <w:jc w:val="center"/>
              <w:ind w:right="20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260" w:type="dxa"/>
            <w:vAlign w:val="bottom"/>
          </w:tcPr>
          <w:p>
            <w:pPr>
              <w:jc w:val="center"/>
              <w:ind w:left="206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42"/>
              <w:spacing w:after="0"/>
              <w:rPr>
                <w:sz w:val="20"/>
                <w:szCs w:val="20"/>
                <w:color w:val="auto"/>
              </w:rPr>
            </w:pPr>
            <w:r>
              <w:rPr>
                <w:rFonts w:ascii="Arial" w:cs="Arial" w:eastAsia="Arial" w:hAnsi="Arial"/>
                <w:sz w:val="14"/>
                <w:szCs w:val="14"/>
                <w:b w:val="1"/>
                <w:bCs w:val="1"/>
                <w:color w:val="auto"/>
                <w:w w:val="94"/>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96"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3300 W. CAMELBACK ROAD, PHOENIX, ARIZONA 85017</w:t>
      </w:r>
    </w:p>
    <w:p>
      <w:pPr>
        <w:spacing w:after="0" w:line="21"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Registrant’s telephone number, including area code: (602) 639-7500</w:t>
      </w:r>
    </w:p>
    <w:p>
      <w:pPr>
        <w:spacing w:after="0" w:line="225"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1700" w:type="dxa"/>
        <w:tblCellMar>
          <w:top w:w="0" w:type="dxa"/>
          <w:left w:w="0" w:type="dxa"/>
          <w:bottom w:w="0" w:type="dxa"/>
          <w:right w:w="0" w:type="dxa"/>
        </w:tblCellMar>
      </w:tblPr>
      <w:tr>
        <w:trPr>
          <w:trHeight w:val="185"/>
        </w:trPr>
        <w:tc>
          <w:tcPr>
            <w:tcW w:w="560" w:type="dxa"/>
            <w:vAlign w:val="bottom"/>
            <w:vMerge w:val="restart"/>
          </w:tcPr>
          <w:p>
            <w:pPr>
              <w:spacing w:after="0"/>
              <w:rPr>
                <w:sz w:val="20"/>
                <w:szCs w:val="20"/>
                <w:color w:val="auto"/>
              </w:rPr>
            </w:pPr>
            <w:r>
              <w:rPr>
                <w:rFonts w:ascii="Arial" w:cs="Arial" w:eastAsia="Arial" w:hAnsi="Arial"/>
                <w:sz w:val="18"/>
                <w:szCs w:val="18"/>
                <w:b w:val="1"/>
                <w:bCs w:val="1"/>
                <w:color w:val="auto"/>
              </w:rPr>
              <w:t>Grand</w:t>
            </w: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(Title of Each Class)</w:t>
            </w:r>
          </w:p>
        </w:tc>
        <w:tc>
          <w:tcPr>
            <w:tcW w:w="3680" w:type="dxa"/>
            <w:vAlign w:val="bottom"/>
          </w:tcPr>
          <w:p>
            <w:pPr>
              <w:spacing w:after="0"/>
              <w:rPr>
                <w:sz w:val="16"/>
                <w:szCs w:val="16"/>
                <w:color w:val="auto"/>
              </w:rPr>
            </w:pPr>
          </w:p>
        </w:tc>
        <w:tc>
          <w:tcPr>
            <w:tcW w:w="2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494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Canyon Education, Inc.</w:t>
            </w:r>
          </w:p>
        </w:tc>
        <w:tc>
          <w:tcPr>
            <w:tcW w:w="2900" w:type="dxa"/>
            <w:vAlign w:val="bottom"/>
          </w:tcPr>
          <w:p>
            <w:pPr>
              <w:jc w:val="center"/>
              <w:spacing w:after="0" w:line="178" w:lineRule="exact"/>
              <w:rPr>
                <w:sz w:val="20"/>
                <w:szCs w:val="20"/>
                <w:color w:val="auto"/>
              </w:rPr>
            </w:pPr>
            <w:r>
              <w:rPr>
                <w:rFonts w:ascii="Arial" w:cs="Arial" w:eastAsia="Arial" w:hAnsi="Arial"/>
                <w:sz w:val="18"/>
                <w:szCs w:val="18"/>
                <w:b w:val="1"/>
                <w:bCs w:val="1"/>
                <w:color w:val="auto"/>
                <w:w w:val="96"/>
              </w:rPr>
              <w:t>The NASDAQ Global Market</w:t>
            </w:r>
          </w:p>
        </w:tc>
        <w:tc>
          <w:tcPr>
            <w:tcW w:w="0" w:type="dxa"/>
            <w:vAlign w:val="bottom"/>
          </w:tcPr>
          <w:p>
            <w:pPr>
              <w:spacing w:after="0"/>
              <w:rPr>
                <w:sz w:val="1"/>
                <w:szCs w:val="1"/>
                <w:color w:val="auto"/>
              </w:rPr>
            </w:pPr>
          </w:p>
        </w:tc>
      </w:tr>
      <w:tr>
        <w:trPr>
          <w:trHeight w:val="234"/>
        </w:trPr>
        <w:tc>
          <w:tcPr>
            <w:tcW w:w="5500" w:type="dxa"/>
            <w:vAlign w:val="bottom"/>
            <w:gridSpan w:val="3"/>
          </w:tcPr>
          <w:p>
            <w:pPr>
              <w:ind w:left="20"/>
              <w:spacing w:after="0"/>
              <w:rPr>
                <w:sz w:val="20"/>
                <w:szCs w:val="20"/>
                <w:color w:val="auto"/>
              </w:rPr>
            </w:pPr>
            <w:r>
              <w:rPr>
                <w:rFonts w:ascii="Arial" w:cs="Arial" w:eastAsia="Arial" w:hAnsi="Arial"/>
                <w:sz w:val="18"/>
                <w:szCs w:val="18"/>
                <w:b w:val="1"/>
                <w:bCs w:val="1"/>
                <w:color w:val="auto"/>
              </w:rPr>
              <w:t>Common stock, $.01 par value</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1"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None</w:t>
      </w:r>
    </w:p>
    <w:p>
      <w:pPr>
        <w:spacing w:after="0" w:line="202" w:lineRule="exact"/>
        <w:rPr>
          <w:sz w:val="24"/>
          <w:szCs w:val="24"/>
          <w:color w:val="auto"/>
        </w:rPr>
      </w:pPr>
    </w:p>
    <w:p>
      <w:pPr>
        <w:jc w:val="center"/>
        <w:ind w:right="-41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00"/>
          </w:cols>
          <w:pgMar w:left="240" w:top="230" w:right="659" w:bottom="1440" w:gutter="0" w:footer="0" w:header="0"/>
        </w:sectPr>
      </w:pPr>
    </w:p>
    <w:bookmarkStart w:id="1" w:name="page2"/>
    <w:bookmarkEnd w:id="1"/>
    <w:p>
      <w:pPr>
        <w:spacing w:after="0" w:line="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9" w:lineRule="exact"/>
        <w:rPr>
          <w:sz w:val="20"/>
          <w:szCs w:val="20"/>
          <w:color w:val="auto"/>
        </w:rPr>
      </w:pPr>
    </w:p>
    <w:p>
      <w:pPr>
        <w:sectPr>
          <w:pgSz w:w="11900" w:h="16838" w:orient="portrait"/>
          <w:cols w:equalWidth="0" w:num="5">
            <w:col w:w="8920" w:space="160"/>
            <w:col w:w="280" w:space="80"/>
            <w:col w:w="160" w:space="180"/>
            <w:col w:w="220" w:space="100"/>
            <w:col w:w="1320"/>
          </w:cols>
          <w:pgMar w:left="240" w:top="91" w:right="239" w:bottom="1440" w:gutter="0" w:footer="0" w:header="0"/>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9060" w:space="180"/>
            <w:col w:w="260" w:space="100"/>
            <w:col w:w="160" w:space="180"/>
            <w:col w:w="220" w:space="80"/>
            <w:col w:w="1180"/>
          </w:cols>
          <w:pgMar w:left="240" w:top="91" w:right="239" w:bottom="1440" w:gutter="0" w:footer="0" w:header="0"/>
          <w:type w:val="continuous"/>
        </w:sectPr>
      </w:pPr>
    </w:p>
    <w:p>
      <w:pPr>
        <w:spacing w:after="0" w:line="37" w:lineRule="exact"/>
        <w:rPr>
          <w:sz w:val="20"/>
          <w:szCs w:val="20"/>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100" w:firstLine="45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91" w:right="239" w:bottom="1440" w:gutter="0" w:footer="0" w:header="0"/>
          <w:type w:val="continuous"/>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91"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91"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Securities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9400" w:space="160"/>
            <w:col w:w="280" w:space="80"/>
            <w:col w:w="160" w:space="180"/>
            <w:col w:w="220" w:space="100"/>
            <w:col w:w="840"/>
          </w:cols>
          <w:pgMar w:left="240" w:top="91" w:right="2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number of shares of common stock outstanding as of February 12, 2016 was 46,486,319</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of June 30, 2015, the last business day of the registrant’s most recently completed second fiscal quarter, the registrant’s common stock was listed on the NASDAQ Global Market. As of June 30, 2015, the aggregate market value of the registrant’s common stock held by non-affiliates was approximately $2.0 billion.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Certain portions of the registrant’s Definitive Proxy Statement for its 2016 Annual Meeting of Stockholders (which is expected to be filed with the Commission within 120 days after the end of the registrant’s 2015 fiscal year) are incorporated by reference into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20" w:type="dxa"/>
            <w:vAlign w:val="bottom"/>
            <w:gridSpan w:val="11"/>
          </w:tcPr>
          <w:p>
            <w:pPr>
              <w:jc w:val="center"/>
              <w:ind w:right="3500"/>
              <w:spacing w:after="0"/>
              <w:rPr>
                <w:sz w:val="20"/>
                <w:szCs w:val="20"/>
                <w:color w:val="auto"/>
              </w:rPr>
            </w:pPr>
            <w:r>
              <w:rPr>
                <w:rFonts w:ascii="Arial" w:cs="Arial" w:eastAsia="Arial" w:hAnsi="Arial"/>
                <w:sz w:val="18"/>
                <w:szCs w:val="18"/>
                <w:color w:val="auto"/>
                <w:w w:val="98"/>
              </w:rPr>
              <w:t>GRAND CANYON EDUCATION, INC.</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780" w:type="dxa"/>
            <w:vAlign w:val="bottom"/>
            <w:gridSpan w:val="7"/>
          </w:tcPr>
          <w:p>
            <w:pPr>
              <w:jc w:val="center"/>
              <w:ind w:right="4820"/>
              <w:spacing w:after="0"/>
              <w:rPr>
                <w:sz w:val="20"/>
                <w:szCs w:val="20"/>
                <w:color w:val="auto"/>
              </w:rPr>
            </w:pPr>
            <w:r>
              <w:rPr>
                <w:rFonts w:ascii="Arial" w:cs="Arial" w:eastAsia="Arial" w:hAnsi="Arial"/>
                <w:sz w:val="18"/>
                <w:szCs w:val="18"/>
                <w:color w:val="auto"/>
                <w:w w:val="95"/>
              </w:rPr>
              <w:t>FORM 10-K</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0" w:type="dxa"/>
            <w:vAlign w:val="bottom"/>
            <w:gridSpan w:val="6"/>
          </w:tcPr>
          <w:p>
            <w:pPr>
              <w:jc w:val="center"/>
              <w:ind w:right="5000"/>
              <w:spacing w:after="0"/>
              <w:rPr>
                <w:sz w:val="20"/>
                <w:szCs w:val="20"/>
                <w:color w:val="auto"/>
              </w:rPr>
            </w:pPr>
            <w:r>
              <w:rPr>
                <w:rFonts w:ascii="Arial" w:cs="Arial" w:eastAsia="Arial" w:hAnsi="Arial"/>
                <w:sz w:val="18"/>
                <w:szCs w:val="18"/>
                <w:color w:val="auto"/>
              </w:rPr>
              <w:t>INDEX</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10420" w:type="dxa"/>
            <w:vAlign w:val="bottom"/>
            <w:gridSpan w:val="27"/>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gridSpan w:val="2"/>
            <w:vMerge w:val="continue"/>
          </w:tcPr>
          <w:p>
            <w:pPr>
              <w:spacing w:after="0"/>
              <w:rPr>
                <w:sz w:val="13"/>
                <w:szCs w:val="13"/>
                <w:color w:val="auto"/>
              </w:rPr>
            </w:pPr>
          </w:p>
        </w:tc>
        <w:tc>
          <w:tcPr>
            <w:tcW w:w="10420" w:type="dxa"/>
            <w:vAlign w:val="bottom"/>
            <w:gridSpan w:val="27"/>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390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Special Note Regarding Forward-Looking Statements</w:t>
              </w:r>
            </w:hyperlink>
          </w:p>
        </w:tc>
        <w:tc>
          <w:tcPr>
            <w:tcW w:w="712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6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Item 1A. Risk Factors</w:t>
              </w:r>
            </w:hyperlink>
          </w:p>
        </w:tc>
        <w:tc>
          <w:tcPr>
            <w:tcW w:w="9060" w:type="dxa"/>
            <w:vAlign w:val="bottom"/>
            <w:gridSpan w:val="1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1B. Unresolved Staff Comments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3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41">
              <w:r>
                <w:rPr>
                  <w:rFonts w:ascii="Arial" w:cs="Arial" w:eastAsia="Arial" w:hAnsi="Arial"/>
                  <w:sz w:val="18"/>
                  <w:szCs w:val="18"/>
                  <w:color w:val="0000EE"/>
                  <w:w w:val="90"/>
                </w:rPr>
                <w:t>Item 2. Properties</w:t>
              </w:r>
            </w:hyperlink>
          </w:p>
        </w:tc>
        <w:tc>
          <w:tcPr>
            <w:tcW w:w="1420" w:type="dxa"/>
            <w:vAlign w:val="bottom"/>
            <w:tcBorders>
              <w:top w:val="single" w:sz="8" w:color="0000EE"/>
            </w:tcBorders>
            <w:gridSpan w:val="7"/>
          </w:tcPr>
          <w:p>
            <w:pPr>
              <w:spacing w:after="0"/>
              <w:rPr>
                <w:sz w:val="24"/>
                <w:szCs w:val="24"/>
                <w:color w:val="auto"/>
              </w:rPr>
            </w:pPr>
          </w:p>
        </w:tc>
        <w:tc>
          <w:tcPr>
            <w:tcW w:w="794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Item 3. Legal Proceedings</w:t>
              </w:r>
            </w:hyperlink>
          </w:p>
        </w:tc>
        <w:tc>
          <w:tcPr>
            <w:tcW w:w="8760" w:type="dxa"/>
            <w:vAlign w:val="bottom"/>
            <w:gridSpan w:val="1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34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Item 4. Mine Safety Disclosures</w:t>
              </w:r>
            </w:hyperlink>
          </w:p>
        </w:tc>
        <w:tc>
          <w:tcPr>
            <w:tcW w:w="832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020" w:type="dxa"/>
            <w:vAlign w:val="bottom"/>
            <w:gridSpan w:val="29"/>
          </w:tcPr>
          <w:p>
            <w:pPr>
              <w:spacing w:after="0"/>
              <w:rPr>
                <w:rFonts w:ascii="Arial" w:cs="Arial" w:eastAsia="Arial" w:hAnsi="Arial"/>
                <w:sz w:val="18"/>
                <w:szCs w:val="18"/>
                <w:b w:val="1"/>
                <w:bCs w:val="1"/>
                <w:color w:val="0000EE"/>
              </w:rPr>
            </w:pPr>
            <w:hyperlink w:anchor="page42">
              <w:r>
                <w:rPr>
                  <w:rFonts w:ascii="Arial" w:cs="Arial" w:eastAsia="Arial" w:hAnsi="Arial"/>
                  <w:sz w:val="18"/>
                  <w:szCs w:val="18"/>
                  <w:b w:val="1"/>
                  <w:bCs w:val="1"/>
                  <w:color w:val="0000EE"/>
                </w:rPr>
                <w:t>PART II</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5. Market for Registrant’s Common Equity, Related Stockholder Matters and Issuer Purchases of Equity Securities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8680" w:type="dxa"/>
            <w:vAlign w:val="bottom"/>
            <w:tcBorders>
              <w:top w:val="single" w:sz="8" w:color="0000EE"/>
            </w:tcBorders>
            <w:gridSpan w:val="2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6. Selected Consolidated Financial and Other Data</w:t>
              </w:r>
            </w:hyperlink>
          </w:p>
        </w:tc>
        <w:tc>
          <w:tcPr>
            <w:tcW w:w="19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Item 7. 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506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2"/>
          </w:tcPr>
          <w:p>
            <w:pPr>
              <w:spacing w:after="0"/>
              <w:rPr>
                <w:sz w:val="24"/>
                <w:szCs w:val="24"/>
                <w:color w:val="auto"/>
              </w:rPr>
            </w:pPr>
          </w:p>
        </w:tc>
        <w:tc>
          <w:tcPr>
            <w:tcW w:w="364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8. Consolidated Financial Statements and Supplementary Data</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708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Item 9. Changes in and Disagreements With Accountants on Accounting and Financial Disclosure</w:t>
              </w:r>
            </w:hyperlink>
          </w:p>
        </w:tc>
        <w:tc>
          <w:tcPr>
            <w:tcW w:w="358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48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87">
              <w:r>
                <w:rPr>
                  <w:rFonts w:ascii="Arial" w:cs="Arial" w:eastAsia="Arial" w:hAnsi="Arial"/>
                  <w:sz w:val="18"/>
                  <w:szCs w:val="18"/>
                  <w:color w:val="0000EE"/>
                  <w:w w:val="90"/>
                </w:rPr>
                <w:t>Item 9A. Controls and Procedures</w:t>
              </w:r>
            </w:hyperlink>
          </w:p>
        </w:tc>
        <w:tc>
          <w:tcPr>
            <w:tcW w:w="818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0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89">
              <w:r>
                <w:rPr>
                  <w:rFonts w:ascii="Arial" w:cs="Arial" w:eastAsia="Arial" w:hAnsi="Arial"/>
                  <w:sz w:val="18"/>
                  <w:szCs w:val="18"/>
                  <w:color w:val="0000EE"/>
                  <w:w w:val="93"/>
                </w:rPr>
                <w:t>Item 9B. Other Information</w:t>
              </w:r>
            </w:hyperlink>
          </w:p>
        </w:tc>
        <w:tc>
          <w:tcPr>
            <w:tcW w:w="866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PART III</w:t>
              </w:r>
            </w:hyperlink>
          </w:p>
        </w:tc>
        <w:tc>
          <w:tcPr>
            <w:tcW w:w="10280" w:type="dxa"/>
            <w:vAlign w:val="bottom"/>
            <w:gridSpan w:val="2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10. Directors, Executive Officers and Corporate Governance</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24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89">
              <w:r>
                <w:rPr>
                  <w:rFonts w:ascii="Arial" w:cs="Arial" w:eastAsia="Arial" w:hAnsi="Arial"/>
                  <w:sz w:val="18"/>
                  <w:szCs w:val="18"/>
                  <w:color w:val="0000EE"/>
                  <w:w w:val="90"/>
                </w:rPr>
                <w:t>Item 11. Executive Compensation</w:t>
              </w:r>
            </w:hyperlink>
          </w:p>
        </w:tc>
        <w:tc>
          <w:tcPr>
            <w:tcW w:w="2280" w:type="dxa"/>
            <w:vAlign w:val="bottom"/>
            <w:tcBorders>
              <w:top w:val="single" w:sz="8" w:color="0000EE"/>
            </w:tcBorders>
            <w:gridSpan w:val="6"/>
          </w:tcPr>
          <w:p>
            <w:pPr>
              <w:spacing w:after="0"/>
              <w:rPr>
                <w:sz w:val="24"/>
                <w:szCs w:val="24"/>
                <w:color w:val="auto"/>
              </w:rPr>
            </w:pPr>
          </w:p>
        </w:tc>
        <w:tc>
          <w:tcPr>
            <w:tcW w:w="592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12. Security Ownership of Certain Beneficial Owners and Management and Related Stockholder Matters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7940" w:type="dxa"/>
            <w:vAlign w:val="bottom"/>
            <w:tcBorders>
              <w:top w:val="single" w:sz="8" w:color="0000EE"/>
            </w:tcBorders>
            <w:gridSpan w:val="26"/>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13. Certain Relationships and Related Transactions, and Director Independence</w:t>
              </w:r>
            </w:hyperlink>
          </w:p>
        </w:tc>
        <w:tc>
          <w:tcPr>
            <w:tcW w:w="272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60" w:type="dxa"/>
            <w:vAlign w:val="bottom"/>
          </w:tcPr>
          <w:p>
            <w:pPr>
              <w:spacing w:after="0"/>
              <w:rPr>
                <w:sz w:val="24"/>
                <w:szCs w:val="24"/>
                <w:color w:val="auto"/>
              </w:rPr>
            </w:pPr>
          </w:p>
        </w:tc>
        <w:tc>
          <w:tcPr>
            <w:tcW w:w="6100" w:type="dxa"/>
            <w:vAlign w:val="bottom"/>
            <w:tcBorders>
              <w:top w:val="single" w:sz="8" w:color="0000EE"/>
            </w:tcBorders>
            <w:gridSpan w:val="23"/>
          </w:tcPr>
          <w:p>
            <w:pPr>
              <w:spacing w:after="0"/>
              <w:rPr>
                <w:rFonts w:ascii="Arial" w:cs="Arial" w:eastAsia="Arial" w:hAnsi="Arial"/>
                <w:sz w:val="18"/>
                <w:szCs w:val="18"/>
                <w:color w:val="0000EE"/>
              </w:rPr>
            </w:pPr>
            <w:hyperlink w:anchor="page89">
              <w:r>
                <w:rPr>
                  <w:rFonts w:ascii="Arial" w:cs="Arial" w:eastAsia="Arial" w:hAnsi="Arial"/>
                  <w:sz w:val="18"/>
                  <w:szCs w:val="18"/>
                  <w:color w:val="0000EE"/>
                </w:rPr>
                <w:t>Item 14. Principal Accounting Fees and Services</w:t>
              </w:r>
            </w:hyperlink>
          </w:p>
        </w:tc>
        <w:tc>
          <w:tcPr>
            <w:tcW w:w="45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780" w:type="dxa"/>
            <w:vAlign w:val="bottom"/>
            <w:gridSpan w:val="10"/>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29"/>
          </w:tcPr>
          <w:p>
            <w:pPr>
              <w:spacing w:after="0"/>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PART IV</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gridSpan w:val="14"/>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60" w:type="dxa"/>
            <w:vAlign w:val="bottom"/>
          </w:tcPr>
          <w:p>
            <w:pPr>
              <w:spacing w:after="0"/>
              <w:rPr>
                <w:sz w:val="24"/>
                <w:szCs w:val="24"/>
                <w:color w:val="auto"/>
              </w:rPr>
            </w:pPr>
          </w:p>
        </w:tc>
        <w:tc>
          <w:tcPr>
            <w:tcW w:w="10660" w:type="dxa"/>
            <w:vAlign w:val="bottom"/>
            <w:gridSpan w:val="28"/>
          </w:tcPr>
          <w:p>
            <w:pPr>
              <w:spacing w:after="0"/>
              <w:rPr>
                <w:rFonts w:ascii="Arial" w:cs="Arial" w:eastAsia="Arial" w:hAnsi="Arial"/>
                <w:sz w:val="18"/>
                <w:szCs w:val="18"/>
                <w:color w:val="0000EE"/>
              </w:rPr>
            </w:pPr>
            <w:hyperlink w:anchor="page90">
              <w:r>
                <w:rPr>
                  <w:rFonts w:ascii="Arial" w:cs="Arial" w:eastAsia="Arial" w:hAnsi="Arial"/>
                  <w:sz w:val="18"/>
                  <w:szCs w:val="18"/>
                  <w:color w:val="0000EE"/>
                </w:rPr>
                <w:t>Item 15. Exhibits and Consolidated Financial Statement Schedules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60" w:type="dxa"/>
            <w:vAlign w:val="bottom"/>
            <w:gridSpan w:val="14"/>
            <w:shd w:val="clear" w:color="auto" w:fill="0000EE"/>
          </w:tcPr>
          <w:p>
            <w:pPr>
              <w:spacing w:after="0" w:line="20" w:lineRule="exact"/>
              <w:rPr>
                <w:sz w:val="1"/>
                <w:szCs w:val="1"/>
                <w:color w:val="auto"/>
              </w:rPr>
            </w:pPr>
          </w:p>
        </w:tc>
        <w:tc>
          <w:tcPr>
            <w:tcW w:w="58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20" w:type="dxa"/>
            <w:vAlign w:val="bottom"/>
            <w:gridSpan w:val="29"/>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5"/>
              </w:rPr>
              <w:t>Exhibit Index</w:t>
            </w:r>
          </w:p>
        </w:tc>
        <w:tc>
          <w:tcPr>
            <w:tcW w:w="100" w:type="dxa"/>
            <w:vAlign w:val="bottom"/>
            <w:tcBorders>
              <w:top w:val="single" w:sz="8" w:color="0000EE"/>
            </w:tcBorders>
          </w:tcPr>
          <w:p>
            <w:pPr>
              <w:spacing w:after="0"/>
              <w:rPr>
                <w:sz w:val="24"/>
                <w:szCs w:val="24"/>
                <w:color w:val="auto"/>
              </w:rPr>
            </w:pPr>
          </w:p>
        </w:tc>
        <w:tc>
          <w:tcPr>
            <w:tcW w:w="9920" w:type="dxa"/>
            <w:vAlign w:val="bottom"/>
            <w:gridSpan w:val="22"/>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6460" w:type="dxa"/>
            <w:vAlign w:val="bottom"/>
            <w:gridSpan w:val="24"/>
          </w:tcPr>
          <w:p>
            <w:pPr>
              <w:jc w:val="center"/>
              <w:ind w:left="4870"/>
              <w:spacing w:after="0"/>
              <w:rPr>
                <w:sz w:val="20"/>
                <w:szCs w:val="20"/>
                <w:color w:val="auto"/>
              </w:rPr>
            </w:pPr>
            <w:r>
              <w:rPr>
                <w:rFonts w:ascii="Arial" w:cs="Arial" w:eastAsia="Arial" w:hAnsi="Arial"/>
                <w:sz w:val="18"/>
                <w:szCs w:val="18"/>
                <w:color w:val="auto"/>
                <w:w w:val="99"/>
              </w:rPr>
              <w:t>2</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This Annual Report on Form 10-K, including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contains certain “forward-looking statements,” which include information relating to future events, future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strategies, expectations, competitive environment, regulation, and availability of resources. 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9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94" w:lineRule="exact"/>
        <w:rPr>
          <w:sz w:val="20"/>
          <w:szCs w:val="20"/>
          <w:color w:val="auto"/>
        </w:rPr>
      </w:pPr>
    </w:p>
    <w:p>
      <w:pPr>
        <w:ind w:left="1480" w:right="100" w:hanging="446"/>
        <w:spacing w:after="0" w:line="308"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30" w:lineRule="exact"/>
        <w:rPr>
          <w:rFonts w:ascii="Arial" w:cs="Arial" w:eastAsia="Arial" w:hAnsi="Arial"/>
          <w:sz w:val="18"/>
          <w:szCs w:val="18"/>
          <w:color w:val="auto"/>
        </w:rPr>
      </w:pPr>
    </w:p>
    <w:p>
      <w:pPr>
        <w:ind w:left="1480" w:hanging="446"/>
        <w:spacing w:after="0" w:line="342" w:lineRule="auto"/>
        <w:tabs>
          <w:tab w:leader="none" w:pos="1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damage to our reputation or other adverse effects as a result of negative publicity in the media, in the industry or in connection with governmental reports or investigations or otherwise, affecting us or other companies in the for-profit postsecondary education sector;</w:t>
      </w:r>
    </w:p>
    <w:p>
      <w:pPr>
        <w:spacing w:after="0" w:line="29" w:lineRule="exact"/>
        <w:rPr>
          <w:rFonts w:ascii="Arial" w:cs="Arial" w:eastAsia="Arial" w:hAnsi="Arial"/>
          <w:sz w:val="16"/>
          <w:szCs w:val="16"/>
          <w:color w:val="auto"/>
        </w:rPr>
      </w:pPr>
    </w:p>
    <w:p>
      <w:pPr>
        <w:ind w:left="1480" w:right="54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w:t>
      </w:r>
    </w:p>
    <w:p>
      <w:pPr>
        <w:spacing w:after="0" w:line="75" w:lineRule="exact"/>
        <w:rPr>
          <w:rFonts w:ascii="Arial" w:cs="Arial" w:eastAsia="Arial" w:hAnsi="Arial"/>
          <w:sz w:val="18"/>
          <w:szCs w:val="18"/>
          <w:color w:val="auto"/>
        </w:rPr>
      </w:pPr>
    </w:p>
    <w:p>
      <w:pPr>
        <w:ind w:left="1480" w:right="460" w:hanging="446"/>
        <w:spacing w:after="0" w:line="264"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risks and challenges associated with strategic initiatives, including the potential conversion of our university operations to non-profit status, the expansion of our campus, potential acquisitions of, or investments in, new businesses, acquisitions of new properties, or the development of new campuses;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 and faculty;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growth of our enrollment;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convert prospective students to enrolled students and to retain active students;</w:t>
      </w:r>
    </w:p>
    <w:p>
      <w:pPr>
        <w:spacing w:after="0" w:line="130" w:lineRule="exact"/>
        <w:rPr>
          <w:rFonts w:ascii="Arial" w:cs="Arial" w:eastAsia="Arial" w:hAnsi="Arial"/>
          <w:sz w:val="18"/>
          <w:szCs w:val="18"/>
          <w:color w:val="auto"/>
        </w:rPr>
      </w:pPr>
    </w:p>
    <w:p>
      <w:pPr>
        <w:ind w:left="1480" w:right="10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competition, including competition for qualified executives and other personnel;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the competitive environment for marketing our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30" w:lineRule="exact"/>
        <w:rPr>
          <w:rFonts w:ascii="Arial" w:cs="Arial" w:eastAsia="Arial" w:hAnsi="Arial"/>
          <w:sz w:val="18"/>
          <w:szCs w:val="18"/>
          <w:color w:val="auto"/>
        </w:rPr>
      </w:pPr>
    </w:p>
    <w:p>
      <w:pPr>
        <w:ind w:left="1480" w:right="180" w:hanging="446"/>
        <w:spacing w:after="0" w:line="308" w:lineRule="auto"/>
        <w:tabs>
          <w:tab w:leader="none" w:pos="14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students; and</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under the headings “Risk Factors,” “Management’s Discussion and Analysis of Financial Condition and Results of Operations,” “Business,” and “Regulation.”</w:t>
      </w:r>
    </w:p>
    <w:p>
      <w:pPr>
        <w:spacing w:after="0" w:line="170"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We are a comprehensive regionally accredited university that offers approximately 200 graduate and undergraduate degree programs and certificates across eight colleges both online and on ground at our 200+ acre campus in Phoenix, Arizona, at leased facilities and at facilities owned by third party employers of our students. We are committed to providing an academically rigorous educational experience with a focus on professionally relevant programs that meet the objectives of our students. Our undergraduate programs are designed to be innovative and meet the future needs of employers, while providing students with the needed critical thinking and effective communication skills developed through a Christian-oriented,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 We utilize an integrated, innovative approach to marketing, recruiting, and retaining both traditional aged students attending on our campus in Phoenix, Arizona and working adult students attending on our campus or at off-site locations in cohorts (referred to by us as professional studies students) or online, which has enabled us to increase enrollment to approximately 74,500 students at December 31, 2015. At December 31, 2015, 79.6% of our students were enrolled in our online programs, and, of our working adult students (online and professional studies students), 47.8% were pursuing masters or doctoral degrees.</w:t>
      </w:r>
    </w:p>
    <w:p>
      <w:pPr>
        <w:spacing w:after="0" w:line="173"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define working adults as students age 25 or older who are pursuing a degree while employed. As of December 31, 2015, 87.1% of our online and professional studies students were age 25 or older. We believe that working adults are attracted to the convenience and flexibility of our online programs because they can study and interact with faculty and classmates during times that suit their schedules. We also believe that working adults, particularly those who have some college experience, represent an attractive student population because they are better able to more readily recognize the benefits of a postsecondary degree, have higher persistence and completion rates than other students, and to finance their education generally.</w:t>
      </w:r>
    </w:p>
    <w:p>
      <w:pPr>
        <w:spacing w:after="0" w:line="15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2015, we continued to increase the number of students in attendance at our expanding traditional ground campus. We attribute the significant growth in our enrollment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a public university. We plan to increase enrollment growth for our traditional campus over the next few years, and seek to have 17,500 traditional ground students in attendance at the beginning of our 2016-2017 academic year. In November 2012, we accepted an invitation to become a member of the Division I Western Athletic Conference beginning with the 2013-2014 academic year, and in 2013 we began the four-year process to reclassify our NCAA membership from Division II to Division I. During the reclassification process we are considered a Division I university and are playing full conference schedules but are ineligible to compete for national championships which, for example, precludes us from playing in the end-of-year NCAA basketball tournament during that period of time.</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experienced significant growth in enrollment, net revenue, and operating income over the last several years. Our enrollment at December 31, 2015 was approximately 74,500, representing an increase of approximately 9.9% over our enrollment at December 31, 2014. Our net revenue and operating income for the year ended December 31, 2015 were $778.2 million and $210.4 million, respectively, representing increases of 12.6% and 16.3%, respectively, over the year ended December 31, 2014. Our net revenue and operating income for the year ended December 31, 2014 were $691.1 million and $180.8 million, respectively, representing increases of 15.5% and 26.2%, respectively, over the year ended December 31, 2013. We seek to achieve continued growth in a manner that reinforces our reputation for providing academically rigorous, professionally relevant educational programs that advance the educations and careers of our students.</w:t>
      </w:r>
    </w:p>
    <w:p>
      <w:pPr>
        <w:spacing w:after="0" w:line="18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We have been regionally accredited by the Higher Learning Commission and its predecessor since 1968, and we were reaccredited in 2007 for the maximum term of ten years. We are regulated by the Department of Education as a result of our participation in the federal student financial aid programs authorized by Title IV of the Higher Education Act (hereafter, Title IV), and, at the state level, we are licensed to operate and offer our programs by the Arizona State Board for Private Postsecondary Education (AZPPSE), the Arizona Department of Education (ADE) and Arizona State Board of Education for Institutional Recommendation Programs and the Arizona Board of Nursing. In addition, we have specialized accreditations for certain programs from the National Addiction Studies Accreditation Commission (NASAC), the Accreditation Council for Business Schools and Programs (ACBSP), the Commission on Collegiate Nursing Education (CCNE), and the Commission on Accreditation of Athletic Training Education (CAATE). In addition, we are a candidate for accreditation by the National Council for Accreditation of Teacher Education (NCATE). We believe that our institution-wide state authorization and regional accreditation, together with these specialized accreditations, reflect the quality of our programs, enhance their marketability to students, and improve the employability of our graduates.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Grand Canyon College was founded in Prescott, Arizona in 1949 as a traditional, private, non-profit college and moved to its existing campus in Phoenix, Arizona in 1951. Established as a Baptist-affiliated institution with a strong emphasis on religious studies, the school initially focused on offering bachelor’s degree programs in education. Over the years, the school expanded its curricula to include programs in the sciences, nursing, business, music, and arts. The college obtained regional accreditation in 1968 from the Commission on Institutions of Higher Education, North Central Association of Colleges and Schools, the predecessor to the Higher Learning Commission, and began offering nursing programs and master’s degree programs in education and business in the 1980s. In 1989, it achieved university status and became Grand Canyon University. The university introduced its first distance learning programs in 1997, and launched its first online programs in 2003 in business and education. In early 2000, it discontinued its Baptist affiliation and became an interdenominational Christian university.</w:t>
      </w:r>
    </w:p>
    <w:p>
      <w:pPr>
        <w:spacing w:after="0" w:line="192" w:lineRule="exact"/>
        <w:rPr>
          <w:sz w:val="20"/>
          <w:szCs w:val="20"/>
          <w:color w:val="auto"/>
        </w:rPr>
      </w:pPr>
    </w:p>
    <w:p>
      <w:pPr>
        <w:ind w:right="600" w:firstLine="456"/>
        <w:spacing w:after="0" w:line="308" w:lineRule="auto"/>
        <w:rPr>
          <w:sz w:val="20"/>
          <w:szCs w:val="20"/>
          <w:color w:val="auto"/>
        </w:rPr>
      </w:pPr>
      <w:r>
        <w:rPr>
          <w:rFonts w:ascii="Arial" w:cs="Arial" w:eastAsia="Arial" w:hAnsi="Arial"/>
          <w:sz w:val="17"/>
          <w:szCs w:val="17"/>
          <w:color w:val="auto"/>
        </w:rPr>
        <w:t>In late 2003, the school’s Board of Trustees initiated a process to evaluate alternatives as a result of the school’s poor financial condition and, in February 2004, a group of investors acquired the assets of the school and converted the school into a for-profit institution.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to Academic Quality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Some of the key elements that we focus on to promote a high level of academic quality include:</w:t>
      </w:r>
    </w:p>
    <w:p>
      <w:pPr>
        <w:spacing w:after="0" w:line="131" w:lineRule="exact"/>
        <w:rPr>
          <w:sz w:val="20"/>
          <w:szCs w:val="20"/>
          <w:color w:val="auto"/>
        </w:rPr>
      </w:pPr>
    </w:p>
    <w:p>
      <w:pPr>
        <w:ind w:left="1480" w:right="60" w:hanging="446"/>
        <w:spacing w:after="0" w:line="254"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Academically rigorous, professionally relevant curricula. </w:t>
      </w:r>
      <w:r>
        <w:rPr>
          <w:rFonts w:ascii="Arial" w:cs="Arial" w:eastAsia="Arial" w:hAnsi="Arial"/>
          <w:sz w:val="18"/>
          <w:szCs w:val="18"/>
          <w:color w:val="auto"/>
        </w:rPr>
        <w:t>We prepare learners to become global citizens, critical thinkers,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communicators and responsible leaders by providing an academically challenging, values-based curriculum from the context of our Christian heritage. We create academically rigorous curricula that are designed to enable all students to gain the foundational knowledge, professional competencies, and demonstrable skills required to be successful in their chosen fields. Our curriculum is designed and delivered by faculty and industry-specific subject-matter experts who are committed to high quality, rigorous education and professional preparedness. We design our curricula to address specific objectives that pre-career and working-adult students need and are seeking. Through this combination, we believe that we produce graduates that can compete with integrity and become leaders in their chosen fields.</w:t>
      </w:r>
    </w:p>
    <w:p>
      <w:pPr>
        <w:spacing w:after="0" w:line="97" w:lineRule="exact"/>
        <w:rPr>
          <w:rFonts w:ascii="Arial" w:cs="Arial" w:eastAsia="Arial" w:hAnsi="Arial"/>
          <w:sz w:val="18"/>
          <w:szCs w:val="18"/>
          <w:color w:val="auto"/>
        </w:rPr>
      </w:pPr>
    </w:p>
    <w:p>
      <w:pPr>
        <w:ind w:left="1480" w:right="200" w:hanging="446"/>
        <w:spacing w:after="0" w:line="271"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Qualified faculty. </w:t>
      </w:r>
      <w:r>
        <w:rPr>
          <w:rFonts w:ascii="Arial" w:cs="Arial" w:eastAsia="Arial" w:hAnsi="Arial"/>
          <w:sz w:val="17"/>
          <w:szCs w:val="17"/>
          <w:color w:val="auto"/>
        </w:rPr>
        <w:t>We demonstrate our commitment to high quality education by hiring qualified faculty with relevant practical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Substantially all of our current faculty members hold at least a master’s degree in their respective fields and approximately 46% of our faculty members of record are doctorate prepared. Further, the University has implemented a full time faculty model for online course instruction. In 2015, almost all of the online first year courses were taught by an online, full time faculty member. We believe the presence of a full time faculty member in the classroom for the first year students results in increased student retention. We invest in the professional development of our faculty members by providing online and ground pedagogical training along with hosting events that encourage the development and sharing of best practices. Additionally, we also monitor and evaluate teaching effectiveness through assessment content reviews, peer reviews, and student evaluations.</w:t>
      </w:r>
    </w:p>
    <w:p>
      <w:pPr>
        <w:spacing w:after="0" w:line="84" w:lineRule="exact"/>
        <w:rPr>
          <w:rFonts w:ascii="Arial" w:cs="Arial" w:eastAsia="Arial" w:hAnsi="Arial"/>
          <w:sz w:val="17"/>
          <w:szCs w:val="17"/>
          <w:color w:val="auto"/>
        </w:rPr>
      </w:pPr>
    </w:p>
    <w:p>
      <w:pPr>
        <w:ind w:left="1480" w:right="100" w:hanging="446"/>
        <w:spacing w:after="0" w:line="257"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Centralized program design and curriculum development. </w:t>
      </w:r>
      <w:r>
        <w:rPr>
          <w:rFonts w:ascii="Arial" w:cs="Arial" w:eastAsia="Arial" w:hAnsi="Arial"/>
          <w:sz w:val="18"/>
          <w:szCs w:val="18"/>
          <w:color w:val="auto"/>
        </w:rPr>
        <w:t>We employ a college driven highly collaboratively designed curriculum</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process to ensure a consistent learning experience. We continuously review our programs at least every 3 years in an effort to ensure that they remain consistent, up-to-date, relevant, and effective in producing the desired learning outcomes. We also annually review programmatic assessment results, mission based competency results, graduation rates, retention rates and constituency surveys to identify opportunities for course modifications and upgrades.</w:t>
      </w:r>
    </w:p>
    <w:p>
      <w:pPr>
        <w:spacing w:after="0" w:line="93" w:lineRule="exact"/>
        <w:rPr>
          <w:rFonts w:ascii="Arial" w:cs="Arial" w:eastAsia="Arial" w:hAnsi="Arial"/>
          <w:sz w:val="18"/>
          <w:szCs w:val="18"/>
          <w:color w:val="auto"/>
        </w:rPr>
      </w:pPr>
    </w:p>
    <w:p>
      <w:pPr>
        <w:ind w:left="1480" w:right="80" w:hanging="446"/>
        <w:spacing w:after="0" w:line="255"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Effective student services. </w:t>
      </w:r>
      <w:r>
        <w:rPr>
          <w:rFonts w:ascii="Arial" w:cs="Arial" w:eastAsia="Arial" w:hAnsi="Arial"/>
          <w:sz w:val="18"/>
          <w:szCs w:val="18"/>
          <w:color w:val="auto"/>
        </w:rPr>
        <w:t>We establish teams comprised of admissions and student services advisor personnel that act as the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contact point for each of our students, beginning at the application stage and continuing through graduation. We also continually focus on improving the technology used to support student learning, including delivering a new online learning platform and further improving student services through the implementation of online interfaces. As a result, many of our support services, including academic, administrative, financial, library, and career services, are accessible online, generally allowing users to access these services at a time and in a manner that is convenient to them.</w:t>
      </w:r>
    </w:p>
    <w:p>
      <w:pPr>
        <w:spacing w:after="0" w:line="98" w:lineRule="exact"/>
        <w:rPr>
          <w:rFonts w:ascii="Arial" w:cs="Arial" w:eastAsia="Arial" w:hAnsi="Arial"/>
          <w:sz w:val="18"/>
          <w:szCs w:val="18"/>
          <w:color w:val="auto"/>
        </w:rPr>
      </w:pPr>
    </w:p>
    <w:p>
      <w:pPr>
        <w:ind w:left="1480" w:right="180" w:hanging="446"/>
        <w:spacing w:after="0" w:line="271" w:lineRule="auto"/>
        <w:tabs>
          <w:tab w:leader="none" w:pos="148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Continual academic oversight. </w:t>
      </w:r>
      <w:r>
        <w:rPr>
          <w:rFonts w:ascii="Arial" w:cs="Arial" w:eastAsia="Arial" w:hAnsi="Arial"/>
          <w:sz w:val="17"/>
          <w:szCs w:val="17"/>
          <w:color w:val="auto"/>
        </w:rPr>
        <w:t>We have centralized the support functions of assessment for all of our programs through our Office of</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While each of our colleges continuously evaluates the desired learning outcomes for each of their programs, the Office of Assessment provides data collection and analysis support. We continuously assess outcomes data to determine whether our students graduate with the knowledge, competencies, and skills that are necessary to succeed in the workplace. The Office of Assessment also initiates and manages periodic examinations of the mission-based competencies in our curricula by full-time and adjunct reviewers to evaluate and verify mission-based competency attainment. Based on these processes and student feedback from both programmatic and mission-based assessment, we determine whether to modify or discontinue programs that do not meet our standards or market needs, or to create new programs.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also offer the following features in an effort to enrich the academic experience of current and prospective students:</w:t>
      </w:r>
    </w:p>
    <w:p>
      <w:pPr>
        <w:spacing w:after="0" w:line="131" w:lineRule="exact"/>
        <w:rPr>
          <w:sz w:val="20"/>
          <w:szCs w:val="20"/>
          <w:color w:val="auto"/>
        </w:rPr>
      </w:pPr>
    </w:p>
    <w:p>
      <w:pPr>
        <w:ind w:left="1480" w:right="20" w:hanging="446"/>
        <w:spacing w:after="0" w:line="255" w:lineRule="auto"/>
        <w:tabs>
          <w:tab w:leader="none" w:pos="14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Flexibility in program delivery. </w:t>
      </w:r>
      <w:r>
        <w:rPr>
          <w:rFonts w:ascii="Arial" w:cs="Arial" w:eastAsia="Arial" w:hAnsi="Arial"/>
          <w:sz w:val="18"/>
          <w:szCs w:val="18"/>
          <w:color w:val="auto"/>
        </w:rPr>
        <w:t>We seek to meet market demands by providing students with the flexibility to take courses exclusively</w:t>
      </w:r>
      <w:r>
        <w:rPr>
          <w:rFonts w:ascii="Arial" w:cs="Arial" w:eastAsia="Arial" w:hAnsi="Arial"/>
          <w:sz w:val="18"/>
          <w:szCs w:val="18"/>
          <w:i w:val="1"/>
          <w:iCs w:val="1"/>
          <w:color w:val="auto"/>
        </w:rPr>
        <w:t xml:space="preserve"> </w:t>
      </w:r>
      <w:r>
        <w:rPr>
          <w:rFonts w:ascii="Arial" w:cs="Arial" w:eastAsia="Arial" w:hAnsi="Arial"/>
          <w:sz w:val="18"/>
          <w:szCs w:val="18"/>
          <w:color w:val="auto"/>
        </w:rPr>
        <w:t>online or to combine online coursework with various campus and onsite options. For example, based on market demand, particularly in connection with our nursing programs, we have established satellite locations at multiple hospitals that allow nursing students to take clinical courses onsite while completing other course work online. We have established similar onsite arrangements with other major employers, including schools and school districts through which students can pursue student teaching opportunities. This flexibility raises our profile among employers, encourages students to take and complete courses, and eliminates inconveniences that tend to lessen student persistence.</w:t>
      </w:r>
    </w:p>
    <w:p>
      <w:pPr>
        <w:spacing w:after="0" w:line="94" w:lineRule="exact"/>
        <w:rPr>
          <w:rFonts w:ascii="Arial" w:cs="Arial" w:eastAsia="Arial" w:hAnsi="Arial"/>
          <w:sz w:val="18"/>
          <w:szCs w:val="18"/>
          <w:color w:val="auto"/>
        </w:rPr>
      </w:pPr>
    </w:p>
    <w:p>
      <w:pPr>
        <w:ind w:left="1480" w:hanging="446"/>
        <w:spacing w:after="0" w:line="297" w:lineRule="auto"/>
        <w:tabs>
          <w:tab w:leader="none" w:pos="14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Small class size. </w:t>
      </w:r>
      <w:r>
        <w:rPr>
          <w:rFonts w:ascii="Arial" w:cs="Arial" w:eastAsia="Arial" w:hAnsi="Arial"/>
          <w:sz w:val="16"/>
          <w:szCs w:val="16"/>
          <w:color w:val="auto"/>
        </w:rPr>
        <w:t>At December 31, 2015, 93.4% of our online and professional studies classes had 25 or fewer students. Our average, class</w:t>
      </w:r>
      <w:r>
        <w:rPr>
          <w:rFonts w:ascii="Arial" w:cs="Arial" w:eastAsia="Arial" w:hAnsi="Arial"/>
          <w:sz w:val="16"/>
          <w:szCs w:val="16"/>
          <w:i w:val="1"/>
          <w:iCs w:val="1"/>
          <w:color w:val="auto"/>
        </w:rPr>
        <w:t xml:space="preserve"> </w:t>
      </w:r>
      <w:r>
        <w:rPr>
          <w:rFonts w:ascii="Arial" w:cs="Arial" w:eastAsia="Arial" w:hAnsi="Arial"/>
          <w:sz w:val="16"/>
          <w:szCs w:val="16"/>
          <w:color w:val="auto"/>
        </w:rPr>
        <w:t>size on our ground traditional campus is 25 students. These class sizes provide each student with the opportunity to interact directly with course faculty and to receive individualized feedback and attention while also affording our faculty with the opportunity to engage proactively with a manageable number of students. We believe this interaction enhances the academic quality of our programs by promoting opportunities for students to participate actively and thus build the requisite knowledge, competencies, and skills.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 and Program Approvals</w:t>
      </w:r>
    </w:p>
    <w:p>
      <w:pPr>
        <w:spacing w:after="0" w:line="12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believe that the quality of our academic programs is evidenced by our university, college-, and program-specific accreditations and approvals. Grand Canyon University has been continuously accredited by the Higher Learning Commission and its predecessor since 1968, most recently obtaining reaccreditation in 2007 for the ten-year period through 2017. We are licensed in Arizona by the Arizona State Board for Private Postsecondary Education. In addition, we have obtained the following specialized accreditations and approvals for our core program offerings: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0" w:type="dxa"/>
            <w:vAlign w:val="bottom"/>
            <w:gridSpan w:val="4"/>
          </w:tcPr>
          <w:p>
            <w:pPr>
              <w:jc w:val="center"/>
              <w:ind w:right="1240"/>
              <w:spacing w:after="0"/>
              <w:rPr>
                <w:sz w:val="20"/>
                <w:szCs w:val="20"/>
                <w:color w:val="auto"/>
              </w:rPr>
            </w:pPr>
            <w:r>
              <w:rPr>
                <w:rFonts w:ascii="Arial" w:cs="Arial" w:eastAsia="Arial" w:hAnsi="Arial"/>
                <w:sz w:val="14"/>
                <w:szCs w:val="14"/>
                <w:b w:val="1"/>
                <w:bCs w:val="1"/>
                <w:color w:val="auto"/>
                <w:w w:val="92"/>
              </w:rPr>
              <w:t>Specialized Accreditations and Program</w:t>
            </w:r>
          </w:p>
        </w:tc>
        <w:tc>
          <w:tcPr>
            <w:tcW w:w="2100" w:type="dxa"/>
            <w:vAlign w:val="bottom"/>
          </w:tcPr>
          <w:p>
            <w:pPr>
              <w:spacing w:after="0"/>
              <w:rPr>
                <w:sz w:val="14"/>
                <w:szCs w:val="14"/>
                <w:color w:val="auto"/>
              </w:rPr>
            </w:pPr>
          </w:p>
        </w:tc>
      </w:tr>
      <w:tr>
        <w:trPr>
          <w:trHeight w:val="185"/>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College</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60" w:type="dxa"/>
            <w:vAlign w:val="bottom"/>
            <w:gridSpan w:val="2"/>
          </w:tcPr>
          <w:p>
            <w:pPr>
              <w:jc w:val="center"/>
              <w:ind w:right="2380"/>
              <w:spacing w:after="0"/>
              <w:rPr>
                <w:sz w:val="20"/>
                <w:szCs w:val="20"/>
                <w:color w:val="auto"/>
              </w:rPr>
            </w:pPr>
            <w:r>
              <w:rPr>
                <w:rFonts w:ascii="Arial" w:cs="Arial" w:eastAsia="Arial" w:hAnsi="Arial"/>
                <w:sz w:val="14"/>
                <w:szCs w:val="14"/>
                <w:b w:val="1"/>
                <w:bCs w:val="1"/>
                <w:color w:val="auto"/>
                <w:w w:val="93"/>
              </w:rPr>
              <w:t>Approvals</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5"/>
              </w:rPr>
              <w:t>Current Period</w:t>
            </w:r>
          </w:p>
        </w:tc>
      </w:tr>
      <w:tr>
        <w:trPr>
          <w:trHeight w:val="195"/>
        </w:trPr>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i w:val="1"/>
                <w:iCs w:val="1"/>
                <w:color w:val="auto"/>
                <w:w w:val="72"/>
              </w:rPr>
              <w:t>College</w:t>
            </w:r>
          </w:p>
        </w:tc>
        <w:tc>
          <w:tcPr>
            <w:tcW w:w="3520" w:type="dxa"/>
            <w:vAlign w:val="bottom"/>
          </w:tcPr>
          <w:p>
            <w:pPr>
              <w:ind w:left="160"/>
              <w:spacing w:after="0" w:line="195" w:lineRule="exact"/>
              <w:rPr>
                <w:sz w:val="20"/>
                <w:szCs w:val="20"/>
                <w:color w:val="auto"/>
              </w:rPr>
            </w:pPr>
            <w:r>
              <w:rPr>
                <w:rFonts w:ascii="Arial" w:cs="Arial" w:eastAsia="Arial" w:hAnsi="Arial"/>
                <w:sz w:val="18"/>
                <w:szCs w:val="18"/>
                <w:i w:val="1"/>
                <w:iCs w:val="1"/>
                <w:color w:val="auto"/>
              </w:rPr>
              <w:t>of Nursing and Health Care Professions</w:t>
            </w:r>
          </w:p>
        </w:tc>
        <w:tc>
          <w:tcPr>
            <w:tcW w:w="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5020" w:type="dxa"/>
            <w:vAlign w:val="bottom"/>
            <w:tcBorders>
              <w:top w:val="single" w:sz="8" w:color="auto"/>
            </w:tcBorders>
            <w:gridSpan w:val="5"/>
          </w:tcPr>
          <w:p>
            <w:pPr>
              <w:ind w:left="160"/>
              <w:spacing w:after="0" w:line="195" w:lineRule="exact"/>
              <w:rPr>
                <w:sz w:val="20"/>
                <w:szCs w:val="20"/>
                <w:color w:val="auto"/>
              </w:rPr>
            </w:pPr>
            <w:r>
              <w:rPr>
                <w:rFonts w:ascii="Arial" w:cs="Arial" w:eastAsia="Arial" w:hAnsi="Arial"/>
                <w:sz w:val="18"/>
                <w:szCs w:val="18"/>
                <w:color w:val="auto"/>
                <w:w w:val="95"/>
              </w:rPr>
              <w:t>The Commission on Collegiate Nursing Education accredits our</w:t>
            </w:r>
          </w:p>
        </w:tc>
        <w:tc>
          <w:tcPr>
            <w:tcW w:w="100" w:type="dxa"/>
            <w:vAlign w:val="bottom"/>
          </w:tcPr>
          <w:p>
            <w:pPr>
              <w:spacing w:after="0"/>
              <w:rPr>
                <w:sz w:val="16"/>
                <w:szCs w:val="16"/>
                <w:color w:val="auto"/>
              </w:rPr>
            </w:pPr>
          </w:p>
        </w:tc>
        <w:tc>
          <w:tcPr>
            <w:tcW w:w="21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2006 – 2016 (B.S.)</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w w:val="96"/>
              </w:rPr>
              <w:t>Bachelor of Science in Nursing and Master of Science in Nursing</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2011 – 2021 (M.S.)</w:t>
            </w: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rPr>
              <w:t>degree programs.</w:t>
            </w:r>
          </w:p>
        </w:tc>
        <w:tc>
          <w:tcPr>
            <w:tcW w:w="2100" w:type="dxa"/>
            <w:vAlign w:val="bottom"/>
          </w:tcPr>
          <w:p>
            <w:pPr>
              <w:spacing w:after="0"/>
              <w:rPr>
                <w:sz w:val="20"/>
                <w:szCs w:val="20"/>
                <w:color w:val="auto"/>
              </w:rPr>
            </w:pPr>
          </w:p>
        </w:tc>
      </w:tr>
      <w:tr>
        <w:trPr>
          <w:trHeight w:val="310"/>
        </w:trPr>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gridSpan w:val="6"/>
          </w:tcPr>
          <w:p>
            <w:pPr>
              <w:ind w:left="160"/>
              <w:spacing w:after="0"/>
              <w:rPr>
                <w:sz w:val="20"/>
                <w:szCs w:val="20"/>
                <w:color w:val="auto"/>
              </w:rPr>
            </w:pPr>
            <w:r>
              <w:rPr>
                <w:rFonts w:ascii="Arial" w:cs="Arial" w:eastAsia="Arial" w:hAnsi="Arial"/>
                <w:sz w:val="18"/>
                <w:szCs w:val="18"/>
                <w:color w:val="auto"/>
              </w:rPr>
              <w:t>The Arizona State Board of Nursing approves our Bachelor of</w:t>
            </w:r>
          </w:p>
        </w:tc>
        <w:tc>
          <w:tcPr>
            <w:tcW w:w="2100" w:type="dxa"/>
            <w:vAlign w:val="bottom"/>
          </w:tcPr>
          <w:p>
            <w:pPr>
              <w:jc w:val="center"/>
              <w:spacing w:after="0"/>
              <w:rPr>
                <w:sz w:val="20"/>
                <w:szCs w:val="20"/>
                <w:color w:val="auto"/>
              </w:rPr>
            </w:pPr>
            <w:r>
              <w:rPr>
                <w:rFonts w:ascii="Arial" w:cs="Arial" w:eastAsia="Arial" w:hAnsi="Arial"/>
                <w:sz w:val="18"/>
                <w:szCs w:val="18"/>
                <w:color w:val="auto"/>
                <w:w w:val="91"/>
              </w:rPr>
              <w:t>2006 – 2016 (B.S.)</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rPr>
              <w:t>Science in Nursing and Master of Science in Nursing degree</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2011 – 2021 (M.S.)</w:t>
            </w: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rPr>
              <w:t>programs.</w:t>
            </w:r>
          </w:p>
        </w:tc>
        <w:tc>
          <w:tcPr>
            <w:tcW w:w="2100" w:type="dxa"/>
            <w:vAlign w:val="bottom"/>
          </w:tcPr>
          <w:p>
            <w:pPr>
              <w:spacing w:after="0"/>
              <w:rPr>
                <w:sz w:val="20"/>
                <w:szCs w:val="20"/>
                <w:color w:val="auto"/>
              </w:rPr>
            </w:pPr>
          </w:p>
        </w:tc>
      </w:tr>
      <w:tr>
        <w:trPr>
          <w:trHeight w:val="310"/>
        </w:trPr>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gridSpan w:val="6"/>
          </w:tcPr>
          <w:p>
            <w:pPr>
              <w:ind w:left="160"/>
              <w:spacing w:after="0"/>
              <w:rPr>
                <w:sz w:val="20"/>
                <w:szCs w:val="20"/>
                <w:color w:val="auto"/>
              </w:rPr>
            </w:pPr>
            <w:r>
              <w:rPr>
                <w:rFonts w:ascii="Arial" w:cs="Arial" w:eastAsia="Arial" w:hAnsi="Arial"/>
                <w:sz w:val="18"/>
                <w:szCs w:val="18"/>
                <w:color w:val="auto"/>
                <w:w w:val="97"/>
              </w:rPr>
              <w:t>The Commission on Accreditation of Athletic Training Education</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2008 – 2018</w:t>
            </w: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rPr>
              <w:t>accredits our Bachelor of Science in Athletic Training.</w:t>
            </w:r>
          </w:p>
        </w:tc>
        <w:tc>
          <w:tcPr>
            <w:tcW w:w="2100" w:type="dxa"/>
            <w:vAlign w:val="bottom"/>
          </w:tcPr>
          <w:p>
            <w:pPr>
              <w:spacing w:after="0"/>
              <w:rPr>
                <w:sz w:val="20"/>
                <w:szCs w:val="20"/>
                <w:color w:val="auto"/>
              </w:rPr>
            </w:pPr>
          </w:p>
        </w:tc>
      </w:tr>
      <w:tr>
        <w:trPr>
          <w:trHeight w:val="310"/>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College of Education</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gridSpan w:val="6"/>
          </w:tcPr>
          <w:p>
            <w:pPr>
              <w:ind w:left="160"/>
              <w:spacing w:after="0"/>
              <w:rPr>
                <w:sz w:val="20"/>
                <w:szCs w:val="20"/>
                <w:color w:val="auto"/>
              </w:rPr>
            </w:pPr>
            <w:r>
              <w:rPr>
                <w:rFonts w:ascii="Arial" w:cs="Arial" w:eastAsia="Arial" w:hAnsi="Arial"/>
                <w:sz w:val="18"/>
                <w:szCs w:val="18"/>
                <w:color w:val="auto"/>
                <w:w w:val="94"/>
              </w:rPr>
              <w:t>The Arizona Department of Education and Arizona State Board of</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2014 – 2016 (teacher)</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w w:val="95"/>
              </w:rPr>
              <w:t>Education approves our College of Education to offer Institutional</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2014 – 2018 (principal)</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w w:val="96"/>
              </w:rPr>
              <w:t>Recommendations for the certification of elementary, secondary,</w:t>
            </w:r>
          </w:p>
        </w:tc>
        <w:tc>
          <w:tcPr>
            <w:tcW w:w="2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rPr>
              <w:t>and special education teachers (B.A./B.S./M.Ed.) and school</w:t>
            </w:r>
          </w:p>
        </w:tc>
        <w:tc>
          <w:tcPr>
            <w:tcW w:w="210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rPr>
              <w:t>principals (M.Ed.).</w:t>
            </w:r>
          </w:p>
        </w:tc>
        <w:tc>
          <w:tcPr>
            <w:tcW w:w="2100" w:type="dxa"/>
            <w:vAlign w:val="bottom"/>
          </w:tcPr>
          <w:p>
            <w:pPr>
              <w:spacing w:after="0"/>
              <w:rPr>
                <w:sz w:val="20"/>
                <w:szCs w:val="20"/>
                <w:color w:val="auto"/>
              </w:rPr>
            </w:pPr>
          </w:p>
        </w:tc>
      </w:tr>
      <w:tr>
        <w:trPr>
          <w:trHeight w:val="310"/>
        </w:trPr>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120" w:type="dxa"/>
            <w:vAlign w:val="bottom"/>
            <w:gridSpan w:val="6"/>
          </w:tcPr>
          <w:p>
            <w:pPr>
              <w:ind w:left="160"/>
              <w:spacing w:after="0"/>
              <w:rPr>
                <w:sz w:val="20"/>
                <w:szCs w:val="20"/>
                <w:color w:val="auto"/>
              </w:rPr>
            </w:pPr>
            <w:r>
              <w:rPr>
                <w:rFonts w:ascii="Arial" w:cs="Arial" w:eastAsia="Arial" w:hAnsi="Arial"/>
                <w:sz w:val="18"/>
                <w:szCs w:val="18"/>
                <w:color w:val="auto"/>
                <w:w w:val="97"/>
              </w:rPr>
              <w:t>Our College of Education is a candidate for accreditation by the</w:t>
            </w:r>
          </w:p>
        </w:tc>
        <w:tc>
          <w:tcPr>
            <w:tcW w:w="2100" w:type="dxa"/>
            <w:vAlign w:val="bottom"/>
          </w:tcPr>
          <w:p>
            <w:pPr>
              <w:jc w:val="center"/>
              <w:spacing w:after="0"/>
              <w:rPr>
                <w:sz w:val="20"/>
                <w:szCs w:val="20"/>
                <w:color w:val="auto"/>
              </w:rPr>
            </w:pPr>
            <w:r>
              <w:rPr>
                <w:rFonts w:ascii="Arial" w:cs="Arial" w:eastAsia="Arial" w:hAnsi="Arial"/>
                <w:sz w:val="18"/>
                <w:szCs w:val="18"/>
                <w:color w:val="auto"/>
                <w:w w:val="89"/>
              </w:rPr>
              <w:t>2011 – 2016</w:t>
            </w: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rPr>
              <w:t>National Council for Accreditation of Teacher Education</w:t>
            </w:r>
          </w:p>
        </w:tc>
        <w:tc>
          <w:tcPr>
            <w:tcW w:w="2100" w:type="dxa"/>
            <w:vAlign w:val="bottom"/>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20" w:type="dxa"/>
            <w:vAlign w:val="bottom"/>
            <w:gridSpan w:val="6"/>
          </w:tcPr>
          <w:p>
            <w:pPr>
              <w:ind w:left="140"/>
              <w:spacing w:after="0" w:line="190" w:lineRule="exact"/>
              <w:rPr>
                <w:sz w:val="20"/>
                <w:szCs w:val="20"/>
                <w:color w:val="auto"/>
              </w:rPr>
            </w:pPr>
            <w:r>
              <w:rPr>
                <w:rFonts w:ascii="Arial" w:cs="Arial" w:eastAsia="Arial" w:hAnsi="Arial"/>
                <w:sz w:val="18"/>
                <w:szCs w:val="18"/>
                <w:color w:val="auto"/>
                <w:w w:val="91"/>
              </w:rPr>
              <w:t>(NCATE), www.ncate.org. Candidacy status means that the College</w:t>
            </w:r>
          </w:p>
        </w:tc>
        <w:tc>
          <w:tcPr>
            <w:tcW w:w="210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rPr>
              <w:t>of Education has met preconditions for accreditation but is not</w:t>
            </w:r>
          </w:p>
        </w:tc>
        <w:tc>
          <w:tcPr>
            <w:tcW w:w="2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w w:val="93"/>
              </w:rPr>
              <w:t>accredited. NCATE has merged with another accrediting body and</w:t>
            </w:r>
          </w:p>
        </w:tc>
        <w:tc>
          <w:tcPr>
            <w:tcW w:w="2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w w:val="97"/>
              </w:rPr>
              <w:t>is now the Council for the Accreditation of Educator Preparation</w:t>
            </w:r>
          </w:p>
        </w:tc>
        <w:tc>
          <w:tcPr>
            <w:tcW w:w="2100" w:type="dxa"/>
            <w:vAlign w:val="bottom"/>
          </w:tcPr>
          <w:p>
            <w:pPr>
              <w:spacing w:after="0"/>
              <w:rPr>
                <w:sz w:val="18"/>
                <w:szCs w:val="18"/>
                <w:color w:val="auto"/>
              </w:rPr>
            </w:pPr>
          </w:p>
        </w:tc>
      </w:tr>
      <w:tr>
        <w:trPr>
          <w:trHeight w:val="190"/>
        </w:trPr>
        <w:tc>
          <w:tcPr>
            <w:tcW w:w="4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120" w:type="dxa"/>
            <w:vAlign w:val="bottom"/>
            <w:gridSpan w:val="6"/>
          </w:tcPr>
          <w:p>
            <w:pPr>
              <w:ind w:left="140"/>
              <w:spacing w:after="0" w:line="190" w:lineRule="exact"/>
              <w:rPr>
                <w:sz w:val="20"/>
                <w:szCs w:val="20"/>
                <w:color w:val="auto"/>
              </w:rPr>
            </w:pPr>
            <w:r>
              <w:rPr>
                <w:rFonts w:ascii="Arial" w:cs="Arial" w:eastAsia="Arial" w:hAnsi="Arial"/>
                <w:sz w:val="18"/>
                <w:szCs w:val="18"/>
                <w:color w:val="auto"/>
              </w:rPr>
              <w:t>(CAEP), www.caepnet.org. We have maintained our NCATE</w:t>
            </w:r>
          </w:p>
        </w:tc>
        <w:tc>
          <w:tcPr>
            <w:tcW w:w="2100" w:type="dxa"/>
            <w:vAlign w:val="bottom"/>
          </w:tcPr>
          <w:p>
            <w:pPr>
              <w:spacing w:after="0"/>
              <w:rPr>
                <w:sz w:val="16"/>
                <w:szCs w:val="16"/>
                <w:color w:val="auto"/>
              </w:rPr>
            </w:pPr>
          </w:p>
        </w:tc>
      </w:tr>
      <w:tr>
        <w:trPr>
          <w:trHeight w:val="20"/>
        </w:trPr>
        <w:tc>
          <w:tcPr>
            <w:tcW w:w="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rPr>
              <w:t>candidacy status and are proceeding through the CAEP</w:t>
            </w:r>
          </w:p>
        </w:tc>
        <w:tc>
          <w:tcPr>
            <w:tcW w:w="2100" w:type="dxa"/>
            <w:vAlign w:val="bottom"/>
          </w:tcPr>
          <w:p>
            <w:pPr>
              <w:spacing w:after="0"/>
              <w:rPr>
                <w:sz w:val="19"/>
                <w:szCs w:val="19"/>
                <w:color w:val="auto"/>
              </w:rPr>
            </w:pPr>
          </w:p>
        </w:tc>
      </w:tr>
      <w:tr>
        <w:trPr>
          <w:trHeight w:val="230"/>
        </w:trPr>
        <w:tc>
          <w:tcPr>
            <w:tcW w:w="4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gridSpan w:val="6"/>
          </w:tcPr>
          <w:p>
            <w:pPr>
              <w:ind w:left="140"/>
              <w:spacing w:after="0"/>
              <w:rPr>
                <w:sz w:val="20"/>
                <w:szCs w:val="20"/>
                <w:color w:val="auto"/>
              </w:rPr>
            </w:pPr>
            <w:r>
              <w:rPr>
                <w:rFonts w:ascii="Arial" w:cs="Arial" w:eastAsia="Arial" w:hAnsi="Arial"/>
                <w:sz w:val="18"/>
                <w:szCs w:val="18"/>
                <w:color w:val="auto"/>
                <w:w w:val="99"/>
              </w:rPr>
              <w:t>accreditation process. This candidacy covers our initial teacher</w:t>
            </w:r>
          </w:p>
        </w:tc>
        <w:tc>
          <w:tcPr>
            <w:tcW w:w="2100" w:type="dxa"/>
            <w:vAlign w:val="bottom"/>
          </w:tcPr>
          <w:p>
            <w:pPr>
              <w:spacing w:after="0"/>
              <w:rPr>
                <w:sz w:val="20"/>
                <w:szCs w:val="20"/>
                <w:color w:val="auto"/>
              </w:rPr>
            </w:pPr>
          </w:p>
        </w:tc>
      </w:tr>
    </w:tbl>
    <w:p>
      <w:pPr>
        <w:ind w:left="4340"/>
        <w:spacing w:after="0"/>
        <w:rPr>
          <w:sz w:val="20"/>
          <w:szCs w:val="20"/>
          <w:color w:val="auto"/>
        </w:rPr>
      </w:pPr>
      <w:r>
        <w:rPr>
          <w:rFonts w:ascii="Arial" w:cs="Arial" w:eastAsia="Arial" w:hAnsi="Arial"/>
          <w:sz w:val="18"/>
          <w:szCs w:val="18"/>
          <w:color w:val="auto"/>
        </w:rPr>
        <w:t>preparation programs and advanced educator preparation</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programs.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380" w:type="dxa"/>
            <w:vAlign w:val="bottom"/>
            <w:gridSpan w:val="2"/>
          </w:tcPr>
          <w:p>
            <w:pPr>
              <w:ind w:left="1180"/>
              <w:spacing w:after="0"/>
              <w:rPr>
                <w:sz w:val="20"/>
                <w:szCs w:val="20"/>
                <w:color w:val="auto"/>
              </w:rPr>
            </w:pPr>
            <w:r>
              <w:rPr>
                <w:rFonts w:ascii="Arial" w:cs="Arial" w:eastAsia="Arial" w:hAnsi="Arial"/>
                <w:sz w:val="14"/>
                <w:szCs w:val="14"/>
                <w:b w:val="1"/>
                <w:bCs w:val="1"/>
                <w:color w:val="auto"/>
              </w:rPr>
              <w:t>Specialized Accreditations and Program</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College</w:t>
            </w:r>
          </w:p>
        </w:tc>
        <w:tc>
          <w:tcPr>
            <w:tcW w:w="200" w:type="dxa"/>
            <w:vAlign w:val="bottom"/>
          </w:tcPr>
          <w:p>
            <w:pPr>
              <w:spacing w:after="0"/>
              <w:rPr>
                <w:sz w:val="16"/>
                <w:szCs w:val="16"/>
                <w:color w:val="auto"/>
              </w:rPr>
            </w:pPr>
          </w:p>
        </w:tc>
        <w:tc>
          <w:tcPr>
            <w:tcW w:w="5380" w:type="dxa"/>
            <w:vAlign w:val="bottom"/>
            <w:gridSpan w:val="2"/>
          </w:tcPr>
          <w:p>
            <w:pPr>
              <w:ind w:left="2100"/>
              <w:spacing w:after="0"/>
              <w:rPr>
                <w:sz w:val="20"/>
                <w:szCs w:val="20"/>
                <w:color w:val="auto"/>
              </w:rPr>
            </w:pPr>
            <w:r>
              <w:rPr>
                <w:rFonts w:ascii="Arial" w:cs="Arial" w:eastAsia="Arial" w:hAnsi="Arial"/>
                <w:sz w:val="14"/>
                <w:szCs w:val="14"/>
                <w:b w:val="1"/>
                <w:bCs w:val="1"/>
                <w:color w:val="auto"/>
              </w:rPr>
              <w:t>Approvals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7"/>
              </w:rPr>
              <w:t>Current Period</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4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440" w:type="dxa"/>
            <w:vAlign w:val="bottom"/>
            <w:gridSpan w:val="2"/>
          </w:tcPr>
          <w:p>
            <w:pPr>
              <w:spacing w:after="0" w:line="195" w:lineRule="exact"/>
              <w:rPr>
                <w:sz w:val="20"/>
                <w:szCs w:val="20"/>
                <w:color w:val="auto"/>
              </w:rPr>
            </w:pPr>
            <w:r>
              <w:rPr>
                <w:rFonts w:ascii="Arial" w:cs="Arial" w:eastAsia="Arial" w:hAnsi="Arial"/>
                <w:sz w:val="18"/>
                <w:szCs w:val="18"/>
                <w:i w:val="1"/>
                <w:iCs w:val="1"/>
                <w:color w:val="auto"/>
              </w:rPr>
              <w:t>Colangelo College of Business</w:t>
            </w: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5040" w:type="dxa"/>
            <w:vAlign w:val="bottom"/>
          </w:tcPr>
          <w:p>
            <w:pPr>
              <w:ind w:left="180"/>
              <w:spacing w:after="0" w:line="195" w:lineRule="exact"/>
              <w:rPr>
                <w:sz w:val="20"/>
                <w:szCs w:val="20"/>
                <w:color w:val="auto"/>
              </w:rPr>
            </w:pPr>
            <w:r>
              <w:rPr>
                <w:rFonts w:ascii="Arial" w:cs="Arial" w:eastAsia="Arial" w:hAnsi="Arial"/>
                <w:sz w:val="18"/>
                <w:szCs w:val="18"/>
                <w:color w:val="auto"/>
                <w:w w:val="97"/>
              </w:rPr>
              <w:t>The Accreditation Council for Business Schools and Programs</w:t>
            </w:r>
          </w:p>
        </w:tc>
        <w:tc>
          <w:tcPr>
            <w:tcW w:w="340" w:type="dxa"/>
            <w:vAlign w:val="bottom"/>
            <w:vMerge w:val="continue"/>
          </w:tcPr>
          <w:p>
            <w:pPr>
              <w:spacing w:after="0"/>
              <w:rPr>
                <w:sz w:val="16"/>
                <w:szCs w:val="16"/>
                <w:color w:val="auto"/>
              </w:rPr>
            </w:pPr>
          </w:p>
        </w:tc>
        <w:tc>
          <w:tcPr>
            <w:tcW w:w="1400" w:type="dxa"/>
            <w:vAlign w:val="bottom"/>
          </w:tcPr>
          <w:p>
            <w:pPr>
              <w:jc w:val="center"/>
              <w:spacing w:after="0" w:line="195" w:lineRule="exact"/>
              <w:rPr>
                <w:sz w:val="20"/>
                <w:szCs w:val="20"/>
                <w:color w:val="auto"/>
              </w:rPr>
            </w:pPr>
            <w:r>
              <w:rPr>
                <w:rFonts w:ascii="Arial" w:cs="Arial" w:eastAsia="Arial" w:hAnsi="Arial"/>
                <w:sz w:val="18"/>
                <w:szCs w:val="18"/>
                <w:color w:val="auto"/>
                <w:w w:val="89"/>
              </w:rPr>
              <w:t>2007 – 2017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9"/>
              </w:rPr>
              <w:t>accredits our Executive Master of Business Administration degree</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9"/>
              </w:rPr>
              <w:t>program, Master of Business Administration degree program, and</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8"/>
              </w:rPr>
              <w:t>our Bachelor of Science degree programs in Accounting, Business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Administration, Marketing, Finance and Economics,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Entrepreneurial Studies, and Sports Management.</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40" w:type="dxa"/>
            <w:vAlign w:val="bottom"/>
            <w:gridSpan w:val="2"/>
          </w:tcPr>
          <w:p>
            <w:pPr>
              <w:spacing w:after="0"/>
              <w:rPr>
                <w:sz w:val="20"/>
                <w:szCs w:val="20"/>
                <w:color w:val="auto"/>
              </w:rPr>
            </w:pPr>
            <w:r>
              <w:rPr>
                <w:rFonts w:ascii="Arial" w:cs="Arial" w:eastAsia="Arial" w:hAnsi="Arial"/>
                <w:sz w:val="18"/>
                <w:szCs w:val="18"/>
                <w:i w:val="1"/>
                <w:iCs w:val="1"/>
                <w:color w:val="auto"/>
              </w:rPr>
              <w:t>College of Fine Arts and Production</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5380" w:type="dxa"/>
            <w:vAlign w:val="bottom"/>
            <w:gridSpan w:val="2"/>
          </w:tcPr>
          <w:p>
            <w:pPr>
              <w:ind w:left="180"/>
              <w:spacing w:after="0"/>
              <w:rPr>
                <w:sz w:val="20"/>
                <w:szCs w:val="20"/>
                <w:color w:val="auto"/>
              </w:rPr>
            </w:pPr>
            <w:r>
              <w:rPr>
                <w:rFonts w:ascii="Arial" w:cs="Arial" w:eastAsia="Arial" w:hAnsi="Arial"/>
                <w:sz w:val="18"/>
                <w:szCs w:val="18"/>
                <w:color w:val="auto"/>
                <w:w w:val="99"/>
              </w:rPr>
              <w:t>The Arizona Department of Education and Arizona State Board of</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2014 – 2016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Education approves the College of Fine Arts and Production to</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w w:val="97"/>
              </w:rPr>
              <w:t>offer programs leading to initial teacher licensure in the area of arts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80" w:type="dxa"/>
            <w:vAlign w:val="bottom"/>
            <w:gridSpan w:val="2"/>
          </w:tcPr>
          <w:p>
            <w:pPr>
              <w:ind w:left="160"/>
              <w:spacing w:after="0"/>
              <w:rPr>
                <w:sz w:val="20"/>
                <w:szCs w:val="20"/>
                <w:color w:val="auto"/>
              </w:rPr>
            </w:pPr>
            <w:r>
              <w:rPr>
                <w:rFonts w:ascii="Arial" w:cs="Arial" w:eastAsia="Arial" w:hAnsi="Arial"/>
                <w:sz w:val="18"/>
                <w:szCs w:val="18"/>
                <w:color w:val="auto"/>
              </w:rPr>
              <w:t>education for the elementary and secondary levels.</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firstLine="456"/>
        <w:spacing w:after="0" w:line="308" w:lineRule="auto"/>
        <w:rPr>
          <w:sz w:val="20"/>
          <w:szCs w:val="20"/>
          <w:color w:val="auto"/>
        </w:rPr>
      </w:pPr>
      <w:r>
        <w:rPr>
          <w:rFonts w:ascii="Arial" w:cs="Arial" w:eastAsia="Arial" w:hAnsi="Arial"/>
          <w:sz w:val="17"/>
          <w:szCs w:val="17"/>
          <w:color w:val="auto"/>
        </w:rPr>
        <w:t>Our regional accreditation with the Higher Learning Commission, and our specialized accreditations and approvals for our core programs, reflect the quality of, and standards we set for, our programs, enhance their marketability, and improve the employability of our graduates.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Curricula</w:t>
      </w:r>
    </w:p>
    <w:p>
      <w:pPr>
        <w:spacing w:after="0" w:line="12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offer the degrees of Doctor of Education, Doctor of Business Administration, Doctor of Nursing Practice, Doctor of Philosophy, Education Specialist, Master of Divinity, Master of Arts, Master of Education, Master of Business Administration and Master of Public Administration, Master of Public Health, Master of Science, Bachelor of Arts, and Bachelor of Science and a variety of programs leading to each of these degrees. Many of our degree programs also offer a selection of emphases. We also offer certificate programs, which consist of a series of courses focused on a particular area of study, for both the post-baccalaureate and post-graduate students who seek to enhance their skills and knowledge or achieve additional licensure.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approximately 200 graduate and undergraduate degree programs and certificates through our eight distinct colleges:</w:t>
      </w:r>
    </w:p>
    <w:p>
      <w:pPr>
        <w:spacing w:after="0" w:line="131" w:lineRule="exact"/>
        <w:rPr>
          <w:sz w:val="20"/>
          <w:szCs w:val="20"/>
          <w:color w:val="auto"/>
        </w:rPr>
      </w:pPr>
    </w:p>
    <w:p>
      <w:pPr>
        <w:ind w:left="1480" w:right="180" w:hanging="446"/>
        <w:spacing w:after="0" w:line="259"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College of Nursing and Health Care Professions, which, as a result of, among other things, the strong pass rates of our Bachelor of Science in Nursing (pre-licensure) students on the National Council Licensure Examination (“NCLEX”), has a strong reputation within the Arizona nursing community and is the largest nursing program in Arizona when considering total college enrollment (bachelor and masters students);</w:t>
      </w:r>
    </w:p>
    <w:p>
      <w:pPr>
        <w:spacing w:after="0" w:line="92" w:lineRule="exact"/>
        <w:rPr>
          <w:rFonts w:ascii="Arial" w:cs="Arial" w:eastAsia="Arial" w:hAnsi="Arial"/>
          <w:sz w:val="18"/>
          <w:szCs w:val="18"/>
          <w:color w:val="auto"/>
        </w:rPr>
      </w:pPr>
    </w:p>
    <w:p>
      <w:pPr>
        <w:ind w:left="1480" w:right="640" w:hanging="446"/>
        <w:spacing w:after="0" w:line="308" w:lineRule="auto"/>
        <w:tabs>
          <w:tab w:leader="none" w:pos="1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College of Doctoral Studies, which utilizes innovative technology, collaboration, and learning communities to develop expert practitioners and researchers who can become leaders in the disciplines and communities they serve;</w:t>
      </w:r>
    </w:p>
    <w:p>
      <w:pPr>
        <w:spacing w:after="0" w:line="51" w:lineRule="exact"/>
        <w:rPr>
          <w:rFonts w:ascii="Arial" w:cs="Arial" w:eastAsia="Arial" w:hAnsi="Arial"/>
          <w:sz w:val="17"/>
          <w:szCs w:val="17"/>
          <w:color w:val="auto"/>
        </w:rPr>
      </w:pPr>
    </w:p>
    <w:p>
      <w:pPr>
        <w:ind w:left="1480" w:right="200" w:hanging="446"/>
        <w:spacing w:after="0" w:line="308" w:lineRule="auto"/>
        <w:tabs>
          <w:tab w:leader="none" w:pos="1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College of Humanities and Social Sciences, which develops and provides many of the general education course requirements in our other colleges and also serves as one of the vehicles through which we offer programs in additional targeted disciplines;</w:t>
      </w:r>
    </w:p>
    <w:p>
      <w:pPr>
        <w:spacing w:after="0" w:line="51" w:lineRule="exact"/>
        <w:rPr>
          <w:rFonts w:ascii="Arial" w:cs="Arial" w:eastAsia="Arial" w:hAnsi="Arial"/>
          <w:sz w:val="17"/>
          <w:szCs w:val="17"/>
          <w:color w:val="auto"/>
        </w:rPr>
      </w:pPr>
    </w:p>
    <w:p>
      <w:pPr>
        <w:ind w:left="1480" w:right="480" w:hanging="446"/>
        <w:spacing w:after="0" w:line="286" w:lineRule="auto"/>
        <w:tabs>
          <w:tab w:leader="none" w:pos="1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College of Science, Engineering, and Technology, which with science, engineering, technology, and mathematics professions in extremely high demand, driving our economy, continuously evolving, and redefining modern day life is focused on preparing exceptionally competent graduates to enter the dynamic and highly competitive workforce of the 21</w:t>
      </w:r>
      <w:r>
        <w:rPr>
          <w:rFonts w:ascii="Arial" w:cs="Arial" w:eastAsia="Arial" w:hAnsi="Arial"/>
          <w:sz w:val="14"/>
          <w:szCs w:val="14"/>
          <w:color w:val="auto"/>
        </w:rPr>
        <w:t>st</w:t>
      </w:r>
      <w:r>
        <w:rPr>
          <w:rFonts w:ascii="Arial" w:cs="Arial" w:eastAsia="Arial" w:hAnsi="Arial"/>
          <w:sz w:val="17"/>
          <w:szCs w:val="17"/>
          <w:color w:val="auto"/>
        </w:rPr>
        <w:t xml:space="preserve"> century;</w:t>
      </w:r>
    </w:p>
    <w:p>
      <w:pPr>
        <w:spacing w:after="0" w:line="70" w:lineRule="exact"/>
        <w:rPr>
          <w:rFonts w:ascii="Arial" w:cs="Arial" w:eastAsia="Arial" w:hAnsi="Arial"/>
          <w:sz w:val="17"/>
          <w:szCs w:val="17"/>
          <w:color w:val="auto"/>
        </w:rPr>
      </w:pPr>
    </w:p>
    <w:p>
      <w:pPr>
        <w:ind w:left="1480" w:right="620" w:hanging="446"/>
        <w:spacing w:after="0" w:line="342" w:lineRule="auto"/>
        <w:tabs>
          <w:tab w:leader="none" w:pos="1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College of Education, which has greater than a 60-year history as one of Arizona’s leading teacher’s colleges and consistently graduates teachers who meet or exceed state averages on the Arizona Educator Proficiency Assessment exams;</w:t>
      </w:r>
    </w:p>
    <w:p>
      <w:pPr>
        <w:spacing w:after="0" w:line="29" w:lineRule="exact"/>
        <w:rPr>
          <w:rFonts w:ascii="Arial" w:cs="Arial" w:eastAsia="Arial" w:hAnsi="Arial"/>
          <w:sz w:val="16"/>
          <w:szCs w:val="16"/>
          <w:color w:val="auto"/>
        </w:rPr>
      </w:pPr>
    </w:p>
    <w:p>
      <w:pPr>
        <w:ind w:left="1480" w:right="16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Colangelo College of Business, which has a well-known brand among our target student population, an advisory board that includes nationally recognized business leaders, and a reputation for offering professionally relevant degree programs;</w:t>
      </w:r>
    </w:p>
    <w:p>
      <w:pPr>
        <w:spacing w:after="0" w:line="75" w:lineRule="exact"/>
        <w:rPr>
          <w:rFonts w:ascii="Arial" w:cs="Arial" w:eastAsia="Arial" w:hAnsi="Arial"/>
          <w:sz w:val="18"/>
          <w:szCs w:val="18"/>
          <w:color w:val="auto"/>
        </w:rPr>
      </w:pPr>
    </w:p>
    <w:p>
      <w:pPr>
        <w:ind w:left="1480" w:right="14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College of Fine Arts and Production, which continues the long and highly regarded tradition that the University has in the Fine Arts;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College of Theology, which serves as one of the many vehicles through which the University affirms its Christian heritage.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20" w:firstLine="456"/>
        <w:spacing w:after="0" w:line="277" w:lineRule="auto"/>
        <w:rPr>
          <w:sz w:val="20"/>
          <w:szCs w:val="20"/>
          <w:color w:val="auto"/>
        </w:rPr>
      </w:pPr>
      <w:r>
        <w:rPr>
          <w:rFonts w:ascii="Arial" w:cs="Arial" w:eastAsia="Arial" w:hAnsi="Arial"/>
          <w:sz w:val="18"/>
          <w:szCs w:val="18"/>
          <w:color w:val="auto"/>
        </w:rPr>
        <w:t>Under the overall leadership of our senior academic affairs personnel and the deans of the individual colleges, each of the colleges organizes its academic programs through various departments and schools.</w:t>
      </w:r>
    </w:p>
    <w:p>
      <w:pPr>
        <w:spacing w:after="0" w:line="170"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We have established relationships with community colleges, health-care systems, school districts, and other employers through which we offer programs to provide flexibility and convenience to students and their employers. For example, for our nursing programs, we offer clinical courses onsite at hospitals and other health-care centers with which we have partnerships, and also arrange to allow these students to complete their clinical work onsite.</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currently offer our ground-based programs to traditional students through three 15-week semesters in a calendar year and to online students in five, seven, eight or sixteen week courses throughout the calendar year. Traditional students generally enroll in three or four courses per semester while online students typically concentrate on one course at a time. We require our online students to be actively engaged in their online student classroom at least three or four times each week, depending on the content and degree level of the class, in order to maintain an active dialogue with their professors and classmates. Our online programs provide a digital record of student interactions for the course instructor to assess students’ levels of engagement and demonstration of required competencies.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Program Development</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To aid us in the identification of potentially new degree programs or emphasis areas, we investigate market demand and review proposals developed by faculty, staff, students, alumni, college specific advisory boards comprised of leaders in their field or other partners. We then perform an analysis of the consistency of the proposed program or emphasis with our mission, long-term demand, and development costs. If, following this analysis, the University Development Committee decides to proceed with a new program, our college faculty and administrators approve subject-matter experts with whom our Curriculum Design and Development Team members, including instructional designers, curriculum developers, librarians, and editors, work to design the program competencies so that it is consistent with our academically rigorous, professionally oriented program standards. The program is then reviewed by the dean of the applicable college, the Program Standards and Evaluation Faculty Committee, the Academic Affairs Committee, and finally, our Provost and Chief Academic Officer. Upon accreditation and regulatory approval, the subject matter experts develop course syllabi, and our Marketing Department creates a marketing plan to publicize the new program. Our average program development process is six months from proposal to course introduction. The development process is typically longer if we are expanding into a new field or offering a new level of degree.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Assessment</w:t>
      </w:r>
    </w:p>
    <w:p>
      <w:pPr>
        <w:spacing w:after="0" w:line="12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Our Office of Assessment serves as our central resource for measuring learning outcomes and student satisfaction and driving systematically engineered and data-driven continuous-improvement cycles for updating our curricula. Among other things, the assessment team reviews student course satisfaction surveys; analyzes archived student assignments to assess whether a given program is developing students’ foundational knowledge, professional competencies, and college skills to achieve the expected learning outcomes; and provides feedback as to program effectiveness. Based on this data and the conclusions of the assessment team, we modify programs as necessary to meet our student satisfaction and educational development standards.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Faculty</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Our faculty includes full-time faculty, as well as adjunct faculty with relevant practical experience whom we employ to teach on a course-by-course basis for a specified fee. Our current faculty members hold at least a master’s degree in their respective fields and approximately 46% of our teaching faculty of record hold doctorate degrees.</w:t>
      </w:r>
    </w:p>
    <w:p>
      <w:pPr>
        <w:spacing w:after="0" w:line="18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believe that the quality of our faculty is critical to our success, particularly because faculty members have more interaction with our students than any other university employee. Accordingly, we regularly review the performance of our faculty, including, but not limited to, engaging our full-time faculty and other specialists to conduct peer reviews of our adjunct faculty, monitoring the amount of contact and the quality of feedback that faculty have with students in our online programs, reviewing student feedback, conducting content reviews and evaluating the learning outcomes achieved by students. If we determine that a faculty member is not performing at the level that we require, we work with the faculty member to improve performance, including, among other things, assigning him or her a mentor or through other means. If the faculty member’s performance does not improve, we terminate the faculty member’s contract and employment.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Student Support Services</w:t>
      </w:r>
    </w:p>
    <w:p>
      <w:pPr>
        <w:spacing w:after="0" w:line="121"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Encouraging students that enter Grand Canyon University to complete their degree programs is critical to our success. We focus on developing and providing resources that simplify the student enrollment process, acclimate students to our programs and our online environment, support the student educational experience, and track student performance toward degree completion. Many of our support services, including academic, administrative, and library services, are accessible online and are available to our online and ground students, allowing users to access these services at a time and in a manner that is generally convenient to them. The student support services we provide include:</w:t>
      </w:r>
    </w:p>
    <w:p>
      <w:pPr>
        <w:spacing w:after="0" w:line="173"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i w:val="1"/>
          <w:iCs w:val="1"/>
          <w:color w:val="auto"/>
        </w:rPr>
        <w:t xml:space="preserve">Academic services. </w:t>
      </w:r>
      <w:r>
        <w:rPr>
          <w:rFonts w:ascii="Arial" w:cs="Arial" w:eastAsia="Arial" w:hAnsi="Arial"/>
          <w:sz w:val="17"/>
          <w:szCs w:val="17"/>
          <w:color w:val="auto"/>
        </w:rPr>
        <w:t>We provide students with a variety of services designed to support their academic studies. Our Learning Lounge offers research</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writing services, and other tutoring services. Learning sessions are offered on a one-on-one basis and group sessions.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Administrative services. </w:t>
      </w:r>
      <w:r>
        <w:rPr>
          <w:rFonts w:ascii="Arial" w:cs="Arial" w:eastAsia="Arial" w:hAnsi="Arial"/>
          <w:sz w:val="18"/>
          <w:szCs w:val="18"/>
          <w:color w:val="auto"/>
        </w:rPr>
        <w:t>We provide students with the ability to access a variety of administrative services both telephonically and via the Internet. For</w:t>
      </w:r>
      <w:r>
        <w:rPr>
          <w:rFonts w:ascii="Arial" w:cs="Arial" w:eastAsia="Arial" w:hAnsi="Arial"/>
          <w:sz w:val="18"/>
          <w:szCs w:val="18"/>
          <w:i w:val="1"/>
          <w:iCs w:val="1"/>
          <w:color w:val="auto"/>
        </w:rPr>
        <w:t xml:space="preserve"> </w:t>
      </w:r>
      <w:r>
        <w:rPr>
          <w:rFonts w:ascii="Arial" w:cs="Arial" w:eastAsia="Arial" w:hAnsi="Arial"/>
          <w:sz w:val="18"/>
          <w:szCs w:val="18"/>
          <w:color w:val="auto"/>
        </w:rPr>
        <w:t>example, students can apply for financial aid, pay their tuition, order their transcripts online, and apply for graduation. We believe this online accessibility provides the convenience and self-service capabilities that our students value. Our student services advisors provide personalized online and telephonic support to our students.</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Library services. </w:t>
      </w:r>
      <w:r>
        <w:rPr>
          <w:rFonts w:ascii="Arial" w:cs="Arial" w:eastAsia="Arial" w:hAnsi="Arial"/>
          <w:sz w:val="18"/>
          <w:szCs w:val="18"/>
          <w:color w:val="auto"/>
        </w:rPr>
        <w:t>We provide a mix of online and ground resources, services, and instruction to support the educational and research endeavors of all</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faculty, and staff, including ground and online libraries and a qualified library staff that is available to help faculty and students with research, teaching, and library resource instruction. Collectively, our library services meet, or exceed, the requirements set by relevant accrediting bodies for us to offer undergraduate, master’s, and doctoral programs.</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Career services. </w:t>
      </w:r>
      <w:r>
        <w:rPr>
          <w:rFonts w:ascii="Arial" w:cs="Arial" w:eastAsia="Arial" w:hAnsi="Arial"/>
          <w:sz w:val="16"/>
          <w:szCs w:val="16"/>
          <w:color w:val="auto"/>
        </w:rPr>
        <w:t>For those students seeking to change careers or explore new career opportunities, we offer career services support, including resume</w:t>
      </w:r>
      <w:r>
        <w:rPr>
          <w:rFonts w:ascii="Arial" w:cs="Arial" w:eastAsia="Arial" w:hAnsi="Arial"/>
          <w:sz w:val="16"/>
          <w:szCs w:val="16"/>
          <w:i w:val="1"/>
          <w:iCs w:val="1"/>
          <w:color w:val="auto"/>
        </w:rPr>
        <w:t xml:space="preserve"> </w:t>
      </w:r>
      <w:r>
        <w:rPr>
          <w:rFonts w:ascii="Arial" w:cs="Arial" w:eastAsia="Arial" w:hAnsi="Arial"/>
          <w:sz w:val="16"/>
          <w:szCs w:val="16"/>
          <w:color w:val="auto"/>
        </w:rPr>
        <w:t>review and evaluation, career planning workshops, and access to career services specialists for advice and support. Other resources that we offer include a Job Readiness Program, which advises students on matters such as people skills, resumes and cover letters, mock interviews, and business etiquette; a job board, which advertises employment postings and career exploration opportunities; career counseling appointments and consultations; and career fairs.</w:t>
      </w:r>
    </w:p>
    <w:p>
      <w:pPr>
        <w:spacing w:after="0" w:line="154"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i w:val="1"/>
          <w:iCs w:val="1"/>
          <w:color w:val="auto"/>
        </w:rPr>
        <w:t xml:space="preserve">Technology support services. </w:t>
      </w:r>
      <w:r>
        <w:rPr>
          <w:rFonts w:ascii="Arial" w:cs="Arial" w:eastAsia="Arial" w:hAnsi="Arial"/>
          <w:sz w:val="18"/>
          <w:szCs w:val="18"/>
          <w:color w:val="auto"/>
        </w:rPr>
        <w:t>We provide online technical support 18 hours per day during the week and 17 hours per day on weekends to help our</w:t>
      </w:r>
      <w:r>
        <w:rPr>
          <w:rFonts w:ascii="Arial" w:cs="Arial" w:eastAsia="Arial" w:hAnsi="Arial"/>
          <w:sz w:val="18"/>
          <w:szCs w:val="18"/>
          <w:i w:val="1"/>
          <w:iCs w:val="1"/>
          <w:color w:val="auto"/>
        </w:rPr>
        <w:t xml:space="preserve"> </w:t>
      </w:r>
      <w:r>
        <w:rPr>
          <w:rFonts w:ascii="Arial" w:cs="Arial" w:eastAsia="Arial" w:hAnsi="Arial"/>
          <w:sz w:val="18"/>
          <w:szCs w:val="18"/>
          <w:color w:val="auto"/>
        </w:rPr>
        <w:t>students remedy technology-related issues. We also provide online tutorials and “Frequently Asked Questions” for students who are new to online coursework.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Recruitment, Admissions and Retention</w:t>
      </w:r>
    </w:p>
    <w:p>
      <w:pPr>
        <w:spacing w:after="0" w:line="121" w:lineRule="exact"/>
        <w:rPr>
          <w:sz w:val="20"/>
          <w:szCs w:val="20"/>
          <w:color w:val="auto"/>
        </w:rPr>
      </w:pPr>
    </w:p>
    <w:p>
      <w:pPr>
        <w:ind w:right="140" w:firstLine="456"/>
        <w:spacing w:after="0" w:line="271" w:lineRule="auto"/>
        <w:rPr>
          <w:sz w:val="20"/>
          <w:szCs w:val="20"/>
          <w:color w:val="auto"/>
        </w:rPr>
      </w:pPr>
      <w:r>
        <w:rPr>
          <w:rFonts w:ascii="Arial" w:cs="Arial" w:eastAsia="Arial" w:hAnsi="Arial"/>
          <w:sz w:val="17"/>
          <w:szCs w:val="17"/>
          <w:i w:val="1"/>
          <w:iCs w:val="1"/>
          <w:color w:val="auto"/>
        </w:rPr>
        <w:t xml:space="preserve">Marketing. </w:t>
      </w:r>
      <w:r>
        <w:rPr>
          <w:rFonts w:ascii="Arial" w:cs="Arial" w:eastAsia="Arial" w:hAnsi="Arial"/>
          <w:sz w:val="17"/>
          <w:szCs w:val="17"/>
          <w:color w:val="auto"/>
        </w:rPr>
        <w:t>We engage in a range of marketing activities designed to position us as a provider of academically rigorous, professionally relevant</w:t>
      </w:r>
      <w:r>
        <w:rPr>
          <w:rFonts w:ascii="Arial" w:cs="Arial" w:eastAsia="Arial" w:hAnsi="Arial"/>
          <w:sz w:val="17"/>
          <w:szCs w:val="17"/>
          <w:i w:val="1"/>
          <w:iCs w:val="1"/>
          <w:color w:val="auto"/>
        </w:rPr>
        <w:t xml:space="preserve"> </w:t>
      </w:r>
      <w:r>
        <w:rPr>
          <w:rFonts w:ascii="Arial" w:cs="Arial" w:eastAsia="Arial" w:hAnsi="Arial"/>
          <w:sz w:val="17"/>
          <w:szCs w:val="17"/>
          <w:color w:val="auto"/>
        </w:rPr>
        <w:t>educational programs, build strong brand recognition in our core disciplines, differentiate us from other educational providers, raise awareness among prospective students, generate enrollment inquiries, and stimulate student and alumni referrals. We target our online programs to working adults focused on program quality, convenience, and career advancement goals. We target our ground programs to traditional college students, working adults seeking a high quality education in a traditional college setting, and working adults seeking to take classes with a cohort onsite at our leased facilities or at their employer’s facility. In marketing our programs to prospective students, we emphasize the value of the educational experience and the academic rigor and professional relevancy of the programs, as well as the cost of the program. We believe this approach reinforces the qualities that we want associated with our brand and also attracts students who tend to be more persistent in starting and finishing their programs.</w:t>
      </w:r>
    </w:p>
    <w:p>
      <w:pPr>
        <w:spacing w:after="0" w:line="1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Recruitment. </w:t>
      </w:r>
      <w:r>
        <w:rPr>
          <w:rFonts w:ascii="Arial" w:cs="Arial" w:eastAsia="Arial" w:hAnsi="Arial"/>
          <w:sz w:val="18"/>
          <w:szCs w:val="18"/>
          <w:color w:val="auto"/>
        </w:rPr>
        <w:t>Once a prospective student has indicated an interest in enrolling in one of our programs, our lead management system identifies and</w:t>
      </w:r>
      <w:r>
        <w:rPr>
          <w:rFonts w:ascii="Arial" w:cs="Arial" w:eastAsia="Arial" w:hAnsi="Arial"/>
          <w:sz w:val="18"/>
          <w:szCs w:val="18"/>
          <w:i w:val="1"/>
          <w:iCs w:val="1"/>
          <w:color w:val="auto"/>
        </w:rPr>
        <w:t xml:space="preserve"> </w:t>
      </w:r>
      <w:r>
        <w:rPr>
          <w:rFonts w:ascii="Arial" w:cs="Arial" w:eastAsia="Arial" w:hAnsi="Arial"/>
          <w:sz w:val="18"/>
          <w:szCs w:val="18"/>
          <w:color w:val="auto"/>
        </w:rPr>
        <w:t>directs an admissions advisor to initiate immediate communication. The admissions advisor serves as the primary, direct contact for the prospective student and the advisor’s goal is to help that individual gain sufficient knowledge and understanding of our programs so that he or she can assess whether there is a good match between our offerings and the prospective student’s goals. Upon the prospective student’s submission of an application, the admissions advisor, together with our student services personnel, works with the applicant to gain acceptance, arrange financial aid, if needed, register for courses, and prepare for matriculation.</w:t>
      </w:r>
    </w:p>
    <w:p>
      <w:pPr>
        <w:spacing w:after="0" w:line="193"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i w:val="1"/>
          <w:iCs w:val="1"/>
          <w:color w:val="auto"/>
        </w:rPr>
        <w:t xml:space="preserve">Admissions. </w:t>
      </w:r>
      <w:r>
        <w:rPr>
          <w:rFonts w:ascii="Arial" w:cs="Arial" w:eastAsia="Arial" w:hAnsi="Arial"/>
          <w:sz w:val="17"/>
          <w:szCs w:val="17"/>
          <w:color w:val="auto"/>
        </w:rPr>
        <w:t>Admission to Grand Canyon University is available to qualified students who are at least 16 years of age. Undergraduate applicants may</w:t>
      </w:r>
      <w:r>
        <w:rPr>
          <w:rFonts w:ascii="Arial" w:cs="Arial" w:eastAsia="Arial" w:hAnsi="Arial"/>
          <w:sz w:val="17"/>
          <w:szCs w:val="17"/>
          <w:i w:val="1"/>
          <w:iCs w:val="1"/>
          <w:color w:val="auto"/>
        </w:rPr>
        <w:t xml:space="preserve"> </w:t>
      </w:r>
      <w:r>
        <w:rPr>
          <w:rFonts w:ascii="Arial" w:cs="Arial" w:eastAsia="Arial" w:hAnsi="Arial"/>
          <w:sz w:val="17"/>
          <w:szCs w:val="17"/>
          <w:color w:val="auto"/>
        </w:rPr>
        <w:t>qualify in various ways, including by having a high school diploma, certain minimum grade point average levels, certain minimum composite scores on the Scholastic Aptitude Test or on the ACT test, or certain minimum scores on the General Education Development (GED) tests. Some of our programs require a higher grade point average and/or other criteria to qualify for admission. Applicants to our graduate programs must generally have an undergraduate degree from an accredited college, university, or program with a grade point average of 2.8 or greater, or a graduate degree from an accredited college, university, or program. In addition, some students who do not meet the qualifications for admission may be accepted with specification. A student being considered for such admission may be asked to submit additional information such as personal references and an essay addressing academic history. Students may also need to schedule an interview to help clarify academic goals and help us make an informed decision.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Retention. </w:t>
      </w:r>
      <w:r>
        <w:rPr>
          <w:rFonts w:ascii="Arial" w:cs="Arial" w:eastAsia="Arial" w:hAnsi="Arial"/>
          <w:sz w:val="16"/>
          <w:szCs w:val="16"/>
          <w:color w:val="auto"/>
        </w:rPr>
        <w:t>A key component in retaining our students is providing an outstanding learning experience. We feel that our team-based, proactive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to recruitment and enhanced student services results in increased retention due to our systematic approach to contacting students at key milestones during their enrollment, providing encouragement and highlighting their achievements. Our student services advisors proactively assist each student with the student’s selection of an appropriate payment option, and monitor the student’s progress and account balance to ensure a smooth financial aid experience and to help ensure our students are well prepared for the financial obligations they incur. These advisors also assist students with their academic schedules and regularly monitor “triggering events,” such as the failure to participate in the classroom or failure to matriculate in a timely manner, which signal that a student may be at-risk for dropping out. Upon identifying an at-risk student, these advisors proactively interact with the student to resolve any issues and encourage the student to continue with his or her program. We have found that personally involving our employees in the student educational process, and proactively seeking to resolve issues before they become larger problems, can significantly increase retention rates among students. These frequent interactions between student services advisors and students are a key component to our retention strategy.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Enrollment</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At December 31, 2015, we had 74,506 students enrolled in our courses, of which 59,311, or 79.6%, were enrolled in our online programs, and 15,195, or 20.4%, were enrolled in our ground programs. Of our students in online programs, which were geographically distributed throughout all 50 states of the United States, and Canada, and in professional studies programs, 87.1% were age 25 or older. Of our traditional on-campus students, 93.8% were under age 25 and, although we draw students from throughout the United States, a majority were from Arizona.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is a summary of our student enrollment at December 31, 2015 and 2014 by degree type and by instructional delivery method:</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72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December 31, 2015</w:t>
            </w:r>
            <w:r>
              <w:rPr>
                <w:rFonts w:ascii="Arial" w:cs="Arial" w:eastAsia="Arial" w:hAnsi="Arial"/>
                <w:sz w:val="12"/>
                <w:szCs w:val="12"/>
                <w:b w:val="1"/>
                <w:bCs w:val="1"/>
                <w:color w:val="auto"/>
              </w:rPr>
              <w:t>(1)</w:t>
            </w:r>
          </w:p>
        </w:tc>
        <w:tc>
          <w:tcPr>
            <w:tcW w:w="22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 2014</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6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 of Total</w:t>
            </w:r>
          </w:p>
        </w:tc>
        <w:tc>
          <w:tcPr>
            <w:tcW w:w="7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Graduate degree </w:t>
            </w:r>
            <w:r>
              <w:rPr>
                <w:rFonts w:ascii="Arial" w:cs="Arial" w:eastAsia="Arial" w:hAnsi="Arial"/>
                <w:sz w:val="15"/>
                <w:szCs w:val="15"/>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26,319</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Undergraduate degree</w:t>
            </w:r>
          </w:p>
        </w:tc>
        <w:tc>
          <w:tcPr>
            <w:tcW w:w="780" w:type="dxa"/>
            <w:vAlign w:val="bottom"/>
          </w:tcPr>
          <w:p>
            <w:pPr>
              <w:jc w:val="right"/>
              <w:spacing w:after="0"/>
              <w:rPr>
                <w:sz w:val="20"/>
                <w:szCs w:val="20"/>
                <w:color w:val="auto"/>
              </w:rPr>
            </w:pPr>
            <w:r>
              <w:rPr>
                <w:rFonts w:ascii="Arial" w:cs="Arial" w:eastAsia="Arial" w:hAnsi="Arial"/>
                <w:sz w:val="18"/>
                <w:szCs w:val="18"/>
                <w:color w:val="auto"/>
              </w:rPr>
              <w:t>45,269</w:t>
            </w:r>
          </w:p>
        </w:tc>
        <w:tc>
          <w:tcPr>
            <w:tcW w:w="6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60.8%</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41,487</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74,506</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67,806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72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December 31, 2015</w:t>
            </w:r>
            <w:r>
              <w:rPr>
                <w:rFonts w:ascii="Arial" w:cs="Arial" w:eastAsia="Arial" w:hAnsi="Arial"/>
                <w:sz w:val="12"/>
                <w:szCs w:val="12"/>
                <w:b w:val="1"/>
                <w:bCs w:val="1"/>
                <w:color w:val="auto"/>
              </w:rPr>
              <w:t>(1)</w:t>
            </w:r>
          </w:p>
        </w:tc>
        <w:tc>
          <w:tcPr>
            <w:tcW w:w="22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 2014</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6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7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58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59,311</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55,060</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 xml:space="preserve">Ground </w:t>
            </w:r>
            <w:r>
              <w:rPr>
                <w:rFonts w:ascii="Arial" w:cs="Arial" w:eastAsia="Arial" w:hAnsi="Arial"/>
                <w:sz w:val="15"/>
                <w:szCs w:val="15"/>
                <w:color w:val="auto"/>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15,195</w:t>
            </w:r>
          </w:p>
        </w:tc>
        <w:tc>
          <w:tcPr>
            <w:tcW w:w="6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20.4%</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12,746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Borders>
              <w:right w:val="single" w:sz="8" w:color="auto"/>
            </w:tcBorders>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74,506</w:t>
            </w:r>
          </w:p>
        </w:tc>
        <w:tc>
          <w:tcPr>
            <w:tcW w:w="620" w:type="dxa"/>
            <w:vAlign w:val="bottom"/>
            <w:tcBorders>
              <w:left w:val="single" w:sz="8" w:color="CCEEFF"/>
              <w:righ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67,806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40" w:hanging="452"/>
        <w:spacing w:after="0" w:line="258"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Enrollment at December 31, 2015 and 2014 represents individual students who attended a course during the last two months of the calendar quarter. Includes 679 and 585 students pursuing non-degree certificates at December 31, 2015 and 2014, respectively.</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6,302 and 5,570 students pursuing doctoral degrees at December 31, 2015 and 2014, respectively.</w:t>
      </w:r>
    </w:p>
    <w:p>
      <w:pPr>
        <w:spacing w:after="0" w:line="9" w:lineRule="exact"/>
        <w:rPr>
          <w:rFonts w:ascii="Arial" w:cs="Arial" w:eastAsia="Arial" w:hAnsi="Arial"/>
          <w:sz w:val="15"/>
          <w:szCs w:val="15"/>
          <w:color w:val="auto"/>
        </w:rPr>
      </w:pPr>
    </w:p>
    <w:p>
      <w:pPr>
        <w:ind w:left="460" w:right="400" w:hanging="452"/>
        <w:spacing w:after="0" w:line="250"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As of December 31, 2015 and 2014, 47.8% and 46.0%, respectively, of our working adult students (online and professional studies students) were pursuing graduate or doctoral degrees.</w:t>
      </w: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our traditional on-campus students, as well as our professional studies students.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Tuition and Fees</w:t>
      </w:r>
    </w:p>
    <w:p>
      <w:pPr>
        <w:spacing w:after="0" w:line="121"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For the 2014-15 academic year (the academic year begins in May), our prices per credit hour range from $350 to $465 for undergraduate online and professional studies courses, $325 to $600 for graduate online courses, $630 for doctoral online programs, and $688 for undergraduate courses for ground students. For our active duty military and active reserve online and professional studies students, our prices per credit hour are $250 for undergraduate, $400 for graduate courses and $599 for doctoral courses.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 A tuition increase of approximately 1% was implemented for the majority of online programs in September 2015. The University has not raised tuition for its traditional ground programs in seven years.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Based on current tuition rates, tuition for a full program would generally equate to between $15,450 and $37,000 for an online master’s program, between $42,600 and $56,400 for a full four-year online bachelor’s program, $38,400 for a full doctoral program, and approximately $66,000 for a full four-year bachelor’s program taken on our ground campus. The tuition amounts referred to above assume no reductions for transfer credits or scholarships, which many of our students utilize to reduce their total program costs. For example, the average student on our ground traditional campus will pay approximately $8,300 in tuition in the 2015-16 school year after scholarships. Thus, based on the number of transfer credits and the scholarships they receive it is likely that a student will pay less than $34,000 in tuition for a bachelor’s degree on our ground campus. For the years ended December 31, 2015, 2014 and 2013, our revenue was reduced by approximately $163.9 million, $140.0 million and $111.8 million, respectively, as a result of scholarships that we offered to our students. The increase in scholarships reflects our increasing use of academic scholarships, to attract high performing students to our ground traditional campus.</w:t>
      </w:r>
    </w:p>
    <w:p>
      <w:pPr>
        <w:spacing w:after="0" w:line="19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have established a refund policy for tuition and fees based upon individual course start dates. Under our policy, for courses offered through a working adult modality, generally if a student drops or withdraws from a course before the course begins, 100% of the charges for tuition and fees are refunded. If a student drops or withdraws from a course during the first week of the course, 75% of the charges for tuition are refunded. If a student drops or withdraws from a course during or after the second week of a course, tuition charges and fees are not refunded. Most fees, including materials fees, are non-refundable for non-traditional students after the start of a course. We will refund tuition and fees according to the above policy unless a student attending courses online is a resident of a state that requires us to comply with different, state specific guidelines. For traditional students attending 15-week courses, generally if a student withdraws before the course begins, 100% of the charges for tuition and fees are refunded. If a student withdraws during the first week of the course, 90% of the charges for tuition are refunded and instructional fees and ground campus-related fees are refunded. If a student drops or withdraws from a course during the second week of a course, 75% of the tuition charges are refunded but most fees are non-refundable. If a student drops during the third week of a course, 50% of the tuition charges are refunded and during or after the fourth week, there are no refunds for tuition charges. Fees charged by us include graduation fees as well as fees for access to certain educational resources such as online materials. This tuition and fees refund policy is different from, and applies in addition to, the return of Title IV funds policy we are required to follow as a condition of our participation in the Title IV programs.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Student Financing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students finance their education through a combination of methods, as follows: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Title IV programs. </w:t>
      </w:r>
      <w:r>
        <w:rPr>
          <w:rFonts w:ascii="Arial" w:cs="Arial" w:eastAsia="Arial" w:hAnsi="Arial"/>
          <w:sz w:val="18"/>
          <w:szCs w:val="18"/>
          <w:color w:val="auto"/>
        </w:rPr>
        <w:t>The federal government provides for grants and loans to students under the Title IV programs, and students can use those funds at</w:t>
      </w:r>
      <w:r>
        <w:rPr>
          <w:rFonts w:ascii="Arial" w:cs="Arial" w:eastAsia="Arial" w:hAnsi="Arial"/>
          <w:sz w:val="18"/>
          <w:szCs w:val="18"/>
          <w:i w:val="1"/>
          <w:iCs w:val="1"/>
          <w:color w:val="auto"/>
        </w:rPr>
        <w:t xml:space="preserve"> </w:t>
      </w:r>
      <w:r>
        <w:rPr>
          <w:rFonts w:ascii="Arial" w:cs="Arial" w:eastAsia="Arial" w:hAnsi="Arial"/>
          <w:sz w:val="18"/>
          <w:szCs w:val="18"/>
          <w:color w:val="auto"/>
        </w:rPr>
        <w:t>any institution that has been certified as eligible by the Department of Education. Student financial aid under the Title IV programs is primarily awarded on the basis of a student’s financial need, which is generally defined as the difference between the cost of attending the institution and the amount the student and the student’s family can reasonably contribute to that cost. All students receiving Title IV program funds must maintain satisfactory academic progress toward completion of their program of study. In addition, each school must ensure that Title IV program funds are properly accounted for and disbursed in the correct amounts to eligible students.</w:t>
      </w:r>
    </w:p>
    <w:p>
      <w:pPr>
        <w:spacing w:after="0" w:line="193"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During fiscal 2015 and 2014, we derived approximately 74.8% and 76.5%, respectively, of our net revenues (calculated on a cash basis in accordance with Department of Education standards currently in effect) from tuition financed under the Title IV programs. The primary Title IV programs that our students receive funding from are the Federal Direct Loan program or FDL Program, and the Federal Pell Grant, or Pell, Program.</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Student loans administered through the FDL Program are currently the most significant source of U.S. federal student aid. There are two types of federal student loans: subsidized loans, which are based on the U.S. federal statutory calculation of student need, and unsubsidized loans, which are not need-based. Neither type of student loan is based on creditworthiness although annual and aggregate loan limits apply based on a student’s grade level. Students are not responsible for interest on subsidized loans while the student is enrolled in school. However, the interest subsidy was temporarily eliminated for those students who received a direct Stafford loan with a first disbursement made on or after July 1, 2012 and before July 1, 2014. The interest subsidy for subsidized loans was reinstated for direct Stafford loans with a first disbursement after July 1, 2014. Students are responsible for the interest on unsubsidized loans while enrolled in school, but have the option to defer payment while enrolled. Repayment on federal student loans begins six months after the date the student ceases to be enrolled. The loans are repayable over the course of 10 years and, in some cases, longer. Both graduate and undergraduate students are eligible for loans. During 2015, federal student loans (both subsidized and unsubsidized) represented approximately 82.8% of the gross Title IV funds that we received.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Grants under the Pell Program (Pell Grants) are awarded based on need and only to undergraduate students who have not earned a bachelor’s or professional degree. Unlike loans, Pell Grants are not repayable. During fiscal year 2015, Pell Grants represented approximately 13.7% of the gross Title IV funds that we received. For the 2014-2015 award year, the maximum amount available under Pell Grants was $5,730 and the maximum income that makes an applicant for Title IV Program funds eligible for an automatic zero Expected Family Contribution was $24,000. For the 2015-16 award year, the maximum amount available under Pell Grants was increased to $5,775 and the maximum income that makes an applicant for Title IV Program funds eligible for an automatic zero Expected Family Contribution remained at $24,000.</w:t>
      </w:r>
    </w:p>
    <w:p>
      <w:pPr>
        <w:spacing w:after="0" w:line="178"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Our students also receive funding under other Title IV programs, including the Federal Perkins Loan Program, the Federal Supplemental Educational Opportunity Grant Program, the Federal Work-Study Program, and the Teacher Education Assistance for College and Higher Education Grant Program.</w:t>
      </w:r>
    </w:p>
    <w:p>
      <w:pPr>
        <w:spacing w:after="0" w:line="124"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i w:val="1"/>
          <w:iCs w:val="1"/>
          <w:color w:val="auto"/>
        </w:rPr>
        <w:t xml:space="preserve">Other financial aid programs. </w:t>
      </w:r>
      <w:r>
        <w:rPr>
          <w:rFonts w:ascii="Arial" w:cs="Arial" w:eastAsia="Arial" w:hAnsi="Arial"/>
          <w:sz w:val="16"/>
          <w:szCs w:val="16"/>
          <w:color w:val="auto"/>
        </w:rPr>
        <w:t>In addition to the Title IV programs listed above, eligible students may participate in several other financial aid programs</w:t>
      </w:r>
      <w:r>
        <w:rPr>
          <w:rFonts w:ascii="Arial" w:cs="Arial" w:eastAsia="Arial" w:hAnsi="Arial"/>
          <w:sz w:val="16"/>
          <w:szCs w:val="16"/>
          <w:i w:val="1"/>
          <w:iCs w:val="1"/>
          <w:color w:val="auto"/>
        </w:rPr>
        <w:t xml:space="preserve"> </w:t>
      </w:r>
      <w:r>
        <w:rPr>
          <w:rFonts w:ascii="Arial" w:cs="Arial" w:eastAsia="Arial" w:hAnsi="Arial"/>
          <w:sz w:val="16"/>
          <w:szCs w:val="16"/>
          <w:color w:val="auto"/>
        </w:rPr>
        <w:t>or receive support from other governmental sources. These include veterans educational benefits administered by the U.S. Department of Veterans Affairs and state financial aid programs. During fiscal 2015 and 2014, we derived an immaterial amount of our net revenue from tuition financed by such programs.</w:t>
      </w:r>
    </w:p>
    <w:p>
      <w:pPr>
        <w:spacing w:after="0" w:line="14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Private loans. </w:t>
      </w:r>
      <w:r>
        <w:rPr>
          <w:rFonts w:ascii="Arial" w:cs="Arial" w:eastAsia="Arial" w:hAnsi="Arial"/>
          <w:sz w:val="18"/>
          <w:szCs w:val="18"/>
          <w:color w:val="auto"/>
        </w:rPr>
        <w:t>Some of our students also use private loan programs to help finance their education. Students can apply to a number of different lenders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private loans at current market interest rates. Private loans are intended to fund a portion of students’ cost of education not covered by the Title IV programs and other financial aid. During fiscal 2015 and 2014, payments derived from private loans constituted less than 1% of our net revenues for each year,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Other sources. </w:t>
      </w:r>
      <w:r>
        <w:rPr>
          <w:rFonts w:ascii="Arial" w:cs="Arial" w:eastAsia="Arial" w:hAnsi="Arial"/>
          <w:sz w:val="17"/>
          <w:szCs w:val="17"/>
          <w:color w:val="auto"/>
        </w:rPr>
        <w:t>We derived the remainder of our net revenue from tuition that is self-funded or attributable to employer tuition reimbursements.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Systems and Management</w:t>
      </w:r>
    </w:p>
    <w:p>
      <w:pPr>
        <w:spacing w:after="0" w:line="121"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We believe that we have established secure, reliable and scalable technology systems that provide a high quality educational environment and that give us the capability to substantially grow our online and traditional programs and enrollment.</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i w:val="1"/>
          <w:iCs w:val="1"/>
          <w:color w:val="auto"/>
        </w:rPr>
        <w:t>Online course delivery and management</w:t>
      </w:r>
      <w:r>
        <w:rPr>
          <w:rFonts w:ascii="Arial" w:cs="Arial" w:eastAsia="Arial" w:hAnsi="Arial"/>
          <w:sz w:val="16"/>
          <w:szCs w:val="16"/>
          <w:color w:val="auto"/>
        </w:rPr>
        <w:t>. In 2010, we entered into an agreement with an affiliated entity to develop a new learning management system</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use. Through this agreement, we prepaid perpetual license fees, acquired source code rights for the software developed, and prepaid maintenance and service fees, for an aggregate amount of $4.9 million. Through our modular implementation of this platform, called LoudCloud, we have a platform that can scale to support our growing student population. The platform provides in depth analytics that allows us to closely monitor student success and the quality of our instructional resources. All ground and online students receive online course delivery and resources through this learning management platform.</w:t>
      </w:r>
    </w:p>
    <w:p>
      <w:pPr>
        <w:spacing w:after="0" w:line="15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 xml:space="preserve">Internal administration. </w:t>
      </w:r>
      <w:r>
        <w:rPr>
          <w:rFonts w:ascii="Arial" w:cs="Arial" w:eastAsia="Arial" w:hAnsi="Arial"/>
          <w:sz w:val="18"/>
          <w:szCs w:val="18"/>
          <w:color w:val="auto"/>
        </w:rPr>
        <w:t>We utilize a commercial customer relations management software package to distribute, manage, track, and report on all</w:t>
      </w:r>
      <w:r>
        <w:rPr>
          <w:rFonts w:ascii="Arial" w:cs="Arial" w:eastAsia="Arial" w:hAnsi="Arial"/>
          <w:sz w:val="18"/>
          <w:szCs w:val="18"/>
          <w:i w:val="1"/>
          <w:iCs w:val="1"/>
          <w:color w:val="auto"/>
        </w:rPr>
        <w:t xml:space="preserve"> </w:t>
      </w:r>
      <w:r>
        <w:rPr>
          <w:rFonts w:ascii="Arial" w:cs="Arial" w:eastAsia="Arial" w:hAnsi="Arial"/>
          <w:sz w:val="18"/>
          <w:szCs w:val="18"/>
          <w:color w:val="auto"/>
        </w:rPr>
        <w:t>interactions with prospective student leads as well as all active and inactive students. This software is scalable to capacity levels well in excess of current requirements. We also utilize a commercial software package to track Title IV funds, student records, grades, accounts receivable, accounts payable and general ledger.</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i w:val="1"/>
          <w:iCs w:val="1"/>
          <w:color w:val="auto"/>
        </w:rPr>
        <w:t xml:space="preserve">Infrastructure. </w:t>
      </w:r>
      <w:r>
        <w:rPr>
          <w:rFonts w:ascii="Arial" w:cs="Arial" w:eastAsia="Arial" w:hAnsi="Arial"/>
          <w:sz w:val="18"/>
          <w:szCs w:val="18"/>
          <w:color w:val="auto"/>
        </w:rPr>
        <w:t>We operate two data centers, one at our campus and one at another Phoenix-area location. All of our servers are networked and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redundant data backup. We manage our technology environment internally. Our wide area network uses fully redundant technology to ensure maximum uptime, bandwidth capacity and network performance while allowing the flexibility needed to bring on additional data centers and remote sites as needed. Student access is load balanced for maximum performance. Real-time monitoring provides current system status across server, network, and storage components.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Ground Campus</w:t>
      </w:r>
    </w:p>
    <w:p>
      <w:pPr>
        <w:spacing w:after="0" w:line="12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own our ground campus, which is located on 200+ acres in the center of the Phoenix, Arizona metropolitan area, near downtown Phoenix. Our on-campus facilities currently consist of classroom buildings, lecture halls, a 300-seat theater, a newly renovated library, a media arts complex that provides communications students with audio and video equipment, a 55,000 square foot recreation center for both student-athletes and on-campus students, a 140,000 square foot/ 7,500 seat basketball and entertainment arena, a gymnasium, an activity center that contains a food court, a bowling alley and other student services, a student union which was recently remodeled and expanded, residence halls, apartments, campus pools, athletic facilities and parking garages. Additionally, we have several office buildings used for administration. In order to accommodate the continued growth of our traditional ground population, we completed four additional residence halls, an additional classroom building for our College of Science, Engineering and Technology and a third parking structure prior to the 2015/2016 school year and has recently started construction on three apartment style residence halls, a 170,000 square foot classroom building for its College of Science, Engineering and Technology, a student service center and a fourth parking structure.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7" w:lineRule="auto"/>
        <w:rPr>
          <w:sz w:val="20"/>
          <w:szCs w:val="20"/>
          <w:color w:val="auto"/>
        </w:rPr>
      </w:pPr>
      <w:r>
        <w:rPr>
          <w:rFonts w:ascii="Arial" w:cs="Arial" w:eastAsia="Arial" w:hAnsi="Arial"/>
          <w:sz w:val="17"/>
          <w:szCs w:val="17"/>
          <w:color w:val="auto"/>
        </w:rPr>
        <w:t>We have 22 intercollegiate athletic teams that currently compete in Division I of the National Collegiate Athletic Association (“NCAA”). Our athletic facilities include the University Arena (a 7,500 seat venue for all men’s and women’s basketball games plus select other GCU athletic competitions, concerts, speakers and other events), and a competition/practice gymnasium, which accommodates basketball, volleyball, and wrestling competitive events. In addition, the University’s 55,000 square foot student recreation center has state of the art training facilities for our 400 student-athletes plus practice space and locker rooms for men’s and women’s basketball and wrestling. Our baseball, softball and track and field programs utilize on-campus practice and competition sites. An on-campus soccer facility which includes classrooms and team locker facilities in addition to 3,000 permanent seats and grassed berm seating to accommodate another 3,000 fans will be completed in Spring 2016. In January 2016 the Grand Canyon University Championship golf course opened to the public. The men’s and women’s golf teams have dedicated practice facilities, a team room and coaches offices at the course. Tennis, cross-country and swimming programs utilize off-campus sites for practice and competition. The University won the 2012-13 and 2011-12 Learfield Sports Directors Cup as the top overall NCAA Division II intercollegiate athletic program based on the combined success in all of the sports in which we competed. We advanced 16 of 22 programs into NCAA Championship competition and gained top 10 finishes in nine separate sports. In November 2012, we accepted an invitation to be a member of the NCAA Division I Western Athletic Conference beginning with the 2013-14 academic year and in September 2013 we began playing full Division I schedules. In June 2015, the University completed requirements for year 2 of the four year reclassification period and were passed on to “year three” in the membership process. In the first two years of membership in the Western Athletic Conference the Women’s Indoor Track and Field, Softball, Baseball and Women’s Tennis teams won regular season conference titles. GCU televises home athletic events in multiple sports highlighted by the men’s basketball games that have averaged approximately 5,500 fans per night with most games played when the students are not on semester break at or near capacity.</w:t>
      </w:r>
    </w:p>
    <w:p>
      <w:pPr>
        <w:spacing w:after="0" w:line="193" w:lineRule="exact"/>
        <w:rPr>
          <w:sz w:val="20"/>
          <w:szCs w:val="20"/>
          <w:color w:val="auto"/>
        </w:rPr>
      </w:pPr>
    </w:p>
    <w:p>
      <w:pPr>
        <w:jc w:val="both"/>
        <w:ind w:right="180" w:firstLine="456"/>
        <w:spacing w:after="0" w:line="276" w:lineRule="auto"/>
        <w:rPr>
          <w:sz w:val="20"/>
          <w:szCs w:val="20"/>
          <w:color w:val="auto"/>
        </w:rPr>
      </w:pPr>
      <w:r>
        <w:rPr>
          <w:rFonts w:ascii="Arial" w:cs="Arial" w:eastAsia="Arial" w:hAnsi="Arial"/>
          <w:sz w:val="17"/>
          <w:szCs w:val="17"/>
          <w:color w:val="auto"/>
        </w:rPr>
        <w:t>We believe our ground-based programs and traditional campus not only offer our ground students, faculty, and staff an opportunity to participate in a traditional college experience, but also provide our online students, faculty, and staff with a sense of connection to a traditional university. Additionally, our full-time ground faculty play an important role in integrating online faculty into our academic programs and ensuring the overall consistency and quality of the ground and online student experience. We believe the mix of our online program with our traditional ground-based program with a greater than 60-year history and heritage differentiates us from other for-profit postsecondary education providers.</w:t>
      </w:r>
    </w:p>
    <w:p>
      <w:pPr>
        <w:spacing w:after="0" w:line="17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intend to continue to expand the size and enhance the profile and reputation of our ground campus by, among other things, adding faculty, excelling in the performance areas such as athletics, debate, theatre, music and dance, expanding upon our campus infrastructure and technological capabilities, and potentially adding additional locations in the Southwest United States. These activities will require significant capital expenditures.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of December 31, 2015, we employed over 3,650 full-time faculty, and staff and administrative personnel in university services, academic advising and academic support, enrollment services, university administration, financial aid, information technology, human resources, corporate accounting, finance, and other administrative functions. None of our employees is a party to any collective bargaining or similar agreement with us. We consider our relationships with our employees to be good.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right="620" w:firstLine="456"/>
        <w:spacing w:after="0" w:line="264" w:lineRule="auto"/>
        <w:rPr>
          <w:sz w:val="20"/>
          <w:szCs w:val="20"/>
          <w:color w:val="auto"/>
        </w:rPr>
      </w:pPr>
      <w:r>
        <w:rPr>
          <w:rFonts w:ascii="Arial" w:cs="Arial" w:eastAsia="Arial" w:hAnsi="Arial"/>
          <w:sz w:val="18"/>
          <w:szCs w:val="18"/>
          <w:color w:val="auto"/>
        </w:rPr>
        <w:t>There are more than 4,000 U.S. colleges and universities serving traditional and adult students. Competition is highly fragmented and varies by geography, program offerings, modality, ownership, quality level, and selectivity of admissions. No one institution has a significant share of the total postsecondary market.</w:t>
      </w:r>
    </w:p>
    <w:p>
      <w:pPr>
        <w:spacing w:after="0" w:line="18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Our ground program competes with Arizona State University, Northern Arizona University, and the University of Arizona, the in-state public universities, as well as two-year colleges within the state community college system. Our ground program also competes with geographically proximate universities with similar religious heritages, including Azusa Pacific University, Baylor University, and Pepperdine University. Our online programs compete with local, traditional universities geographically located near each of our prospective students, and with other for-profit postsecondary schools that offer online degrees, particularly those schools that offer online graduate programs within our core disciplines.</w:t>
      </w:r>
    </w:p>
    <w:p>
      <w:pPr>
        <w:spacing w:after="0" w:line="173"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Non-profit institutions receive substantial government subsidies, and have access to government and foundation grants, tax-deductible contributions and other financial resources generally not available to for-profit schools. Accordingly, non-profit institutions may have instructional and support resources that are superior to those in the for-profit sector. In addition, some of our competitors, including both traditional colleges and universities and other for-profit schools, have substantially greater name recognition and financial resources than we have, which may enable them to compete more effectively for potential students. We also expect to face increased competition as a result of new entrants to the online education market, including established colleges and universities that had not previously offered online education programs.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competitive factors in the postsecondary education market include:</w:t>
      </w:r>
    </w:p>
    <w:p>
      <w:pPr>
        <w:spacing w:after="0" w:line="131" w:lineRule="exact"/>
        <w:rPr>
          <w:sz w:val="20"/>
          <w:szCs w:val="20"/>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professionally relevant and accredited program offerings;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types of degrees offered and the marketability of those degrees;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reputation, regulatory approvals, and compliance history of the school;</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convenient, flexible and dependable access to programs and classes;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qualified and experienced faculty;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of the ground campus facilities;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of student support services;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 of the program;</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marketing and selling effectiveness;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time necessary to earn a degree.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own or are licensed to use various intellectual property rights, including copyrights, trademarks, service marks, trade secrets and domain names. We license the right to utilize the name of Jerry Colangelo in connection with our Colangelo School of Sports Business that we operate within the business school, and we have spent significant resources in related branding efforts. While such intellectual property rights are important to us, we do not believe that the loss of any individual property right or group of related rights would have a material adverse effect on our overall business.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 xml:space="preserve">Our Internet address is </w:t>
      </w:r>
      <w:r>
        <w:rPr>
          <w:rFonts w:ascii="Arial" w:cs="Arial" w:eastAsia="Arial" w:hAnsi="Arial"/>
          <w:sz w:val="16"/>
          <w:szCs w:val="16"/>
          <w:u w:val="single" w:color="auto"/>
          <w:color w:val="auto"/>
        </w:rPr>
        <w:t>www.gcu.edu</w:t>
      </w:r>
      <w:r>
        <w:rPr>
          <w:rFonts w:ascii="Arial" w:cs="Arial" w:eastAsia="Arial" w:hAnsi="Arial"/>
          <w:sz w:val="16"/>
          <w:szCs w:val="16"/>
          <w:color w:val="auto"/>
        </w:rPr>
        <w:t>. We make available free of charge on our website our Annual Report on Form 10-K, Quarterly Reports on Form 10-Q, Current Reports on Form 8-K,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are web cast live via our website. In addition to visiting our website, you may read and copy any document we file with the SEC at the SEC’s Public Reference Room at 100 F. Street NE, Washington, D.C. 20549 or at www.sec.gov. Please call the SEC at 1-800-SEC-0330 for information on the Public Reference Room.</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subject to extensive regulation by state education agencies, accrediting commissions, and the federal government through the Department of Education under the Higher Education Act. The regulations, standards, and policies of these agencies cover the vast majority of our operations, including our educational programs, facilities, instructional and administrative staff, administrative procedures, marketing, recruiting, financial operations, athletics and financial condition.</w:t>
      </w:r>
    </w:p>
    <w:p>
      <w:pPr>
        <w:spacing w:after="0" w:line="18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As an institution of higher education that grants degrees and certificates, we are required to be authorized by appropriate state education authorities. These state education authorities also exercise regulatory oversight of our institution. In addition, in order to participate in the federal student financial aid programs, we must be accredited by an accrediting commission recognized by the Department of Education. Accreditation is a non-governmental process through which an institution submits to qualitative review by an organization of peer institutions, based on the standards of the accrediting commission and the stated aims and purposes of the institution. The Higher Education Act requires accrediting commissions recognized by the Department of Education to review and monitor many aspects of an institution’s operations and to take appropriate action if the institution fails to meet the accrediting commission’s standards.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Our operations are also subject to regulation by the Department of Education due to our participation in the federal student financial aid programs under Title IV of the Higher Education Act. Those Title IV programs include educational loans with below-market interest rates that are issued by the federal government under the Federal Direct Loan program (the “FDL Program”), as well as grant programs for students with demonstrated financial need. To participate in the Title IV programs, a school must receive and maintain authorization by the appropriate state education agency or agencies, be accredited by an accrediting commission recognized by the Department of Education, and be certified as an eligible institution by the Department of Education.</w:t>
      </w:r>
    </w:p>
    <w:p>
      <w:pPr>
        <w:spacing w:after="0" w:line="15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business activities are planned and implemented to comply with the standards of these regulatory agencies. We employ a Vice President of Student Financial Aid Compliance who is knowledgeable about regulatory matters relevant to student financial aid programs and our Chief Financial Officer, Chief Risk Officer, Senior Vice President of Academic Affairs and General Counsel also provide oversight designed to ensure that we meet the requirements of our regulated operating environment.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Education Licensure and Regulation</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are authorized to offer our educational programs by the Arizona State Board for Private Postsecondary Education, the regulatory agency governing private postsecondary educational institutions in the State of Arizona, where we are located. We do not presently have campuses in any states other than Arizona, although we do have one location in Albuquerque, New Mexico. We are required by the Higher Education Act to maintain authorization from the Arizona State Board for Private Postsecondary Education in order to participate in the Title IV programs. This authorization is very important to us and our business.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Our failure to comply with the requirements of the Arizona State Board for Private Postsecondary Education could result in us losing our authorization to offer our educational programs, which would cause us to lose our eligibility to participate in the Title IV programs and could force us to cease operations. Alternatively, the Arizona State Board for Private Postsecondary Education could restrict our ability to offer certain degree and non-degree programs.</w:t>
      </w:r>
    </w:p>
    <w:p>
      <w:pPr>
        <w:spacing w:after="0" w:line="178"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We are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for which Arizona is a W-SARA member. There is a yearly renewal for participating in NC-SARA and AZ-SARA and institutions must agree to meet certain requirements to participate.</w:t>
      </w:r>
    </w:p>
    <w:p>
      <w:pPr>
        <w:spacing w:after="0" w:line="173"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Some states that do not participate in SARA impose regulatory requirements on out-of-state educational institutions operating within their boundaries, such as those having a physical facility or conducting certain academic activities within the state. We currently enroll students in all 50 states and the District of Columbia. Although we are currently licensed, authorized, in-process, or exempt in all non-SARA jurisdictions in which we operate, if we fail to comply with state licensing or authorization requirements for a state, or fail to obtain licenses or authorizations when required, we could lose our state license or authorization by that state or be subject to other sanctions, including restrictions on our activities in, and fines and penalties imposed by, that state, as well as fines, penalties, and sanctions imposed by the Department of Education. While we do not believe that any of the states in which we are currently licensed or authorized, other than Arizona, are individually material to our operations, the loss of licensure or authorization in any state could prohibit us from recruiting prospective students or offering services to current students in that state, which could significantly reduce our enrollments.</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Individual state laws establish standards in areas such as instruction, qualifications of faculty, administrative procedures, marketing, recruiting, financial operations, and other operational matters, some of which are different than the standards prescribed by the Department of Education or the Arizona State Board for Private Postsecondary Education. Laws in some states limit schools’ ability to offer educational programs and award degrees to residents of those states. Some states also prescribe financial regulations that are different from those of the Department of Education, and many require the posting of surety bonds. In non-SARA states, regulatory requirements for online education vary among the states, are not well developed in many states, are imprecise or unclear in some states, and can change frequently. 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Professional Licensure</w:t>
      </w:r>
    </w:p>
    <w:p>
      <w:pPr>
        <w:spacing w:after="0" w:line="121"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Many states have specific requirements that an individual must satisfy in order to be licensed as a professional in specified fields, including fields such as education and healthcare, and counseling.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52" w:lineRule="exact"/>
        <w:rPr>
          <w:sz w:val="20"/>
          <w:szCs w:val="20"/>
          <w:color w:val="auto"/>
        </w:rPr>
      </w:pPr>
    </w:p>
    <w:p>
      <w:pPr>
        <w:ind w:left="1480" w:right="880" w:hanging="446"/>
        <w:spacing w:after="0" w:line="277"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institution and the program were approved by the state in which the graduate seeks licensure, or by a professional association;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program from which the student graduated meets all requirements for professional licensure in that state;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institution and the program are accredited and, if so, by what accrediting commissions;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the institution’s degrees are recognized by other states in which a student may seek to work.</w:t>
      </w:r>
    </w:p>
    <w:p>
      <w:pPr>
        <w:spacing w:after="0" w:line="225"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College of Education is approved by the Arizona State Department of Education to offer Institutional Recommendations (credentials) for the certification of elementary, secondary, and special education teachers and school administrators. Our College of Nursing and Health Care Professions is approved by the Arizona State Board of Nursing for the Bachelor of Science in Nursing and advanced practice Master of Science in Nursing degrees. Our College of Humanities and Social Sciences is approved by the National Addiction Studies Accreditation Commission (NASAC). Due to varying requirements for professional licensure and certification in states other than Arizona, we inform students of the risks associated with obtaining professional licensure or certification and that it is each student’s responsibility to determine what state, local or professional licensure and certification requirements are necessary in his or her individual state.</w:t>
      </w:r>
    </w:p>
    <w:p>
      <w:pPr>
        <w:spacing w:after="0" w:line="189"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In addition, the Department of Education convened a negotiated rulemaking to discuss, among other issues, teacher training requirements under the Higher Education Act generally and in connection with institutional applicability for the TEACH Grant. In April 2012, the negotiating committee ceased its work without reaching consensus. On December 3, 2014, the Department of Education published proposed new federal standards in the Federal Register related to teacher training programs and new standards applicable to the TEACH Grant. The comment period for that proposed regulation ended on February 2, 2015. As with other Department of Education proposals, the Department of Education may change the proposed rule for a number of reasons, including in light of comments received. We are still evaluating the proposed rule and will follow this issue.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Accreditation</w:t>
      </w:r>
    </w:p>
    <w:p>
      <w:pPr>
        <w:spacing w:after="0" w:line="12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been continuously accredited since 1968 by the Higher Learning Commission and its predecessor, each a regional accrediting commission recognized by the Department of Education. Our accreditation was reaffirmed in 2007 for a ten-year period, and the next scheduled comprehensive evaluation will be conducted in 2016-2017.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the Department of Education,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6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There are six regional accrediting commissions recognized by the Department of Education, each with a specified geographic scope of coverage, which together cover the entire United States. Most traditional, public and private non-profit, degree-granting colleges and universities are accredited by one of these six regional accrediting commissions. The Higher Learning Commission, which accredits Grand Canyon University, is the same regional accrediting commission that accredits such universities as the University of Arizona, Arizona State University, and other degree-granting public, private non-profit, and proprietary colleges and universities in the states of Arizona, Arkansas, Colorado, Illinois, Indiana, Iowa, Kansas, Michigan, Minnesota, Missouri, Nebraska, New Mexico, North Dakota, Ohio, Oklahoma, South Dakota, West Virginia, Wisconsin, and Wyoming.</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Accreditation by the Higher Learning Commission is important to us for several reasons, including the fact that it enables our students to receive Title IV financial aid. Other colleges and universities depend, in part, on an institution’s accreditation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 If we fail to satisfy the standards of the Higher Learning Commission, we could lose our accreditation by that agency, which would cause us to lose our eligibility to participate in the Title IV programs.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In addition to institutional accreditation by the Higher Learning Commission, there are numerous specialized accrediting commissions that accredit specific programs or schools within their jurisdiction, many of which are in healthcare and professional fields. Accreditation of specific programs by one of these specialized accrediting commissions signifies that those programs have met the additional standards of those agencies. In addition to being institutionally accredited by the Higher Learning Commission, we also have the following specialized accreditations:</w:t>
      </w:r>
    </w:p>
    <w:p>
      <w:pPr>
        <w:spacing w:after="0" w:line="77" w:lineRule="exact"/>
        <w:rPr>
          <w:sz w:val="20"/>
          <w:szCs w:val="20"/>
          <w:color w:val="auto"/>
        </w:rPr>
      </w:pPr>
    </w:p>
    <w:p>
      <w:pPr>
        <w:ind w:left="1480" w:hanging="446"/>
        <w:spacing w:after="0" w:line="264"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Accreditation Council for Business Schools and Programs accredits our Master of Business Administration degree program and emphases and our Bachelor of Science degree programs in Accounting, Business Administration, Business Administration with emphasis in Business Intelligence, Marketing, Sports Management and Entrepreneurship;</w:t>
      </w:r>
    </w:p>
    <w:p>
      <w:pPr>
        <w:spacing w:after="0" w:line="86" w:lineRule="exact"/>
        <w:rPr>
          <w:rFonts w:ascii="Arial" w:cs="Arial" w:eastAsia="Arial" w:hAnsi="Arial"/>
          <w:sz w:val="18"/>
          <w:szCs w:val="18"/>
          <w:color w:val="auto"/>
        </w:rPr>
      </w:pPr>
    </w:p>
    <w:p>
      <w:pPr>
        <w:ind w:left="1480" w:right="20" w:hanging="446"/>
        <w:spacing w:after="0" w:line="277" w:lineRule="auto"/>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Commission on Collegiate Nursing Education accredits our Bachelor of Science in Nursing and Master of Science in Nursing degree programs;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Commission on Accreditation of Athletic Training Education accredits our Bachelor of Science in Athletic Training;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National Addiction Studies Accreditation Commission accredits our Master of Science in Addiction Counseling Program.</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If we fail to satisfy the standards of any of these specialized accrediting commissions, we could lose the specialized accreditation for the affected programs, which could result in materially reduced student enrollments in those programs and prevent our students from seeking and obtaining appropriate licensure in their fields.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Federal Student Financial Aid Programs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be eligible to participate in the Title IV programs, an institution must comply with specific requirements contained in the Higher Education Act and the regulations issued thereunder by the Department of Education. An institution must, among other things, be licensed or authorized to offer its educational programs by the state in which it is physically located (in our case, Arizona) and maintain institutional accreditation by an accrediting commission recognized by the Department of Education (in our case, the Higher Learning Commission).</w:t>
      </w:r>
    </w:p>
    <w:p>
      <w:pPr>
        <w:spacing w:after="0" w:line="187"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substantial amount of federal funds disbursed to schools through the Title IV programs, the large number of students and institutions participating in these programs, and allegations of fraud and abuse by certain for-profit educational institutions have caused Congress to require the Department of Education to exercise considerable regulatory oversight over for-profit educational institutions. As a result, our institution is subject to extensive oversight and review. Because the Department of Education periodically revises its regulations and changes its interpretations of existing laws and regulations, we cannot predict with certainty how the Title IV program requirements will be applied in all circumstances.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regulations and other factors relating to the Title IV programs that could adversely affect us include the following:</w:t>
      </w:r>
    </w:p>
    <w:p>
      <w:pPr>
        <w:spacing w:after="0" w:line="22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Congressional action. </w:t>
      </w:r>
      <w:r>
        <w:rPr>
          <w:rFonts w:ascii="Arial" w:cs="Arial" w:eastAsia="Arial" w:hAnsi="Arial"/>
          <w:sz w:val="16"/>
          <w:szCs w:val="16"/>
          <w:color w:val="auto"/>
        </w:rPr>
        <w:t>Congress must reauthorize the Higher Education Act on a periodic basis, usually every five to six years, and the most recent</w:t>
      </w:r>
      <w:r>
        <w:rPr>
          <w:rFonts w:ascii="Arial" w:cs="Arial" w:eastAsia="Arial" w:hAnsi="Arial"/>
          <w:sz w:val="16"/>
          <w:szCs w:val="16"/>
          <w:i w:val="1"/>
          <w:iCs w:val="1"/>
          <w:color w:val="auto"/>
        </w:rPr>
        <w:t xml:space="preserve"> </w:t>
      </w:r>
      <w:r>
        <w:rPr>
          <w:rFonts w:ascii="Arial" w:cs="Arial" w:eastAsia="Arial" w:hAnsi="Arial"/>
          <w:sz w:val="16"/>
          <w:szCs w:val="16"/>
          <w:color w:val="auto"/>
        </w:rPr>
        <w:t>reauthorization occurred in August 2008. The reauthorized Higher Education Act reauthorized all of the Title IV programs in which we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our industry generally. Because a significant percentage of our revenue is derived from the Title IV programs, any action by Congress that significantly reduces Title IV program funding or our ability or the ability of our students to participate in the Title IV programs could increase our costs of compliance, reduce the ability of some students to finance their education at our institution, require us to seek to arrange for other sources of financial aid for our students and materially decrease our student enrollment.</w:t>
      </w:r>
    </w:p>
    <w:p>
      <w:pPr>
        <w:spacing w:after="0" w:line="166"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 xml:space="preserve">Regulatory changes. </w:t>
      </w:r>
      <w:r>
        <w:rPr>
          <w:rFonts w:ascii="Arial" w:cs="Arial" w:eastAsia="Arial" w:hAnsi="Arial"/>
          <w:sz w:val="18"/>
          <w:szCs w:val="18"/>
          <w:color w:val="auto"/>
        </w:rPr>
        <w:t>Since October 2010, the Department of Education promulgated new rules related to Title IV program integrity issues. The most</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of these rules for our business are the following:</w:t>
      </w:r>
    </w:p>
    <w:p>
      <w:pPr>
        <w:spacing w:after="0" w:line="76" w:lineRule="exact"/>
        <w:rPr>
          <w:sz w:val="20"/>
          <w:szCs w:val="20"/>
          <w:color w:val="auto"/>
        </w:rPr>
      </w:pPr>
    </w:p>
    <w:p>
      <w:pPr>
        <w:ind w:left="1480" w:right="640" w:hanging="446"/>
        <w:spacing w:after="0" w:line="277" w:lineRule="auto"/>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Modification of the standards relating to the prohibition on payment of incentive compensation to employees involved in student recruitment and enrollment;</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Implementation of standards for state authorization of institutions of higher education; and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260" w:hanging="446"/>
        <w:spacing w:after="0" w:line="259" w:lineRule="auto"/>
        <w:tabs>
          <w:tab w:leader="none" w:pos="1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Expansion of the definition of misrepresentation, relating to the Department of Education’s authority to suspend or terminate an institution’s participation in Title IV programs if the institution engages in substantial misrepresentation about the nature of its educational program, its financial charges, or the employability of its graduates, and expansion of the sanctions that the Department of Education may impose for engaging in a substantial misrepresentation.</w:t>
      </w:r>
    </w:p>
    <w:p>
      <w:pPr>
        <w:spacing w:after="0" w:line="18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Although most of the rules were effective in July 2011, parts of the rules, including those related to state authorization of online programs and parts of the rule on misrepresentation, were vacated as a result of a June 2012 decision of the U.S. Court of Appeals for the District of Columbia.</w:t>
      </w:r>
    </w:p>
    <w:p>
      <w:pPr>
        <w:spacing w:after="0" w:line="14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On October 20, 2014, the Department of Education published the final rules related to the implementation of the Section 304 of the Violence Against Women Act of 2013. These rules, which add additional compliance requirements related to the Clery Act, address issues related to campus crime, sexual assault, and various administrative requirements in support of maintaining a campus free of sexual discrimination. Although these requirements have added modest costs associated with compliance, management does not believe these costs have had a material effect on our business.</w:t>
      </w:r>
    </w:p>
    <w:p>
      <w:pPr>
        <w:spacing w:after="0" w:line="154"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 xml:space="preserve">On October 31, 2014, the Department of Education published the final gainful employment rule. This was a follow up to a 2011 effort by the Department to adopt a definition of what it means to provide a program leading to “gainful employment in a recognized profession,” which was largely overturned by a 2012 district court decision. For more information see </w:t>
      </w:r>
      <w:r>
        <w:rPr>
          <w:rFonts w:ascii="Arial" w:cs="Arial" w:eastAsia="Arial" w:hAnsi="Arial"/>
          <w:sz w:val="18"/>
          <w:szCs w:val="18"/>
          <w:i w:val="1"/>
          <w:iCs w:val="1"/>
          <w:color w:val="auto"/>
        </w:rPr>
        <w:t>Gainful Employment Rule</w:t>
      </w:r>
      <w:r>
        <w:rPr>
          <w:rFonts w:ascii="Arial" w:cs="Arial" w:eastAsia="Arial" w:hAnsi="Arial"/>
          <w:sz w:val="18"/>
          <w:szCs w:val="18"/>
          <w:color w:val="auto"/>
        </w:rPr>
        <w:t xml:space="preserve"> below.</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June 2, 2015, the Department of Education released a memorandum regarding enforcement of the prohibition on the payment of incentive compensation by postsecondary institutions to any person or entity engaged in any student recruiting or admissions activities or in making decisions regarding the award of student financial assistance based directly or indirectly upon success in securing enrollments or financial aid. Institutions agree to comply with the incentive compensation rules as a condition of their participation in the Title IV financial aid programs. The memorandum indicated that the Department of Education will revert to its pre-2002 approach to measuring damages for noncompliance with the prohibition against incentive compensation. That approach holds institutions liable to the Department of Education for up to the entire amount of federal student aid provided to students who were recruited in violation of the incentive compensation prohibition. As a result, should an institution be found to have violated the incentive compensation prohibition, it may be required to return all federal student aid received for students who were recruited in violation of the prohibition.</w:t>
      </w:r>
    </w:p>
    <w:p>
      <w:pPr>
        <w:spacing w:after="0" w:line="166" w:lineRule="exact"/>
        <w:rPr>
          <w:sz w:val="20"/>
          <w:szCs w:val="20"/>
          <w:color w:val="auto"/>
        </w:rPr>
      </w:pPr>
    </w:p>
    <w:p>
      <w:pPr>
        <w:ind w:right="420" w:firstLine="456"/>
        <w:spacing w:after="0" w:line="279" w:lineRule="auto"/>
        <w:rPr>
          <w:sz w:val="20"/>
          <w:szCs w:val="20"/>
          <w:color w:val="auto"/>
        </w:rPr>
      </w:pPr>
      <w:r>
        <w:rPr>
          <w:rFonts w:ascii="Arial" w:cs="Arial" w:eastAsia="Arial" w:hAnsi="Arial"/>
          <w:sz w:val="17"/>
          <w:szCs w:val="17"/>
          <w:color w:val="auto"/>
        </w:rPr>
        <w:t>On September 12, 2015, the Department released its consumer data tool “The New Scorecard”. This data set was released in lieu of the previously contemplated college ranking system. The impact of this new consumer data tool cannot be predicted. However, if information in the data set is used to compare schools with materially different demographics and missions without appropriate qualifications, it could cast a negative light on the proprietary sector generally, and our reputation and enrollment could be adversely affected</w:t>
      </w:r>
    </w:p>
    <w:p>
      <w:pPr>
        <w:spacing w:after="0" w:line="171"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On October 27, 2015, the Department of Education announced the publication of final regulations to amend its cash management regulations, which we refer to as the Cash Management Regulations. The Cash Management Regulations go into effect on July 1, 2016. Among other topics, the Cash Management Regulations address arrangements between postsecondary institutions and financial account providers to disburse Title IV program credit balances to students, including through the use of debit or prepaid cards. The Cash Management Regulations require institutions to establish a process to facilitate student choice in how students receive Title IV program federal student financial aid credit balances; limit the personally identifiable information about students that may be shared with financial account providers; and require institutions to obtain student consent before opening an account in the student’s name. Under the Cash Management Regulations, an institution that has entered into an arrangement with a financial account provider must mitigate certain fees incurred by Title IV aid recipients, and certain types of fees are prohibited. The Cash Management Regulations require that contracts governing arrangements with financial account providers be publicly disclosed and evaluated in light of the best financial interests of students. The Cash Management Regulations also make other changes to requirements for the institutional administration of Title IV programs, including by clarifying how previously passed coursework is treated for Title IV eligibility purposes, altering the requirements for converting clock hours to credit hours, and updating other provisions in the Department of Education’s cash management regulations. For example, the Cash Management Regulations establish a requirement that institutions participating in the Title IV programs under the reimbursement or heightened cash monitoring payment methods must pay any credit balance due to a student before seeking reimbursement or a request for funds, respectively. The Cash Management Regulations also specify the circumstances under which an institution may include the cost of books and supplies as part of institutional tuition and fees charged to a student, such as if the institution has made arrangements with publishers to obtain books at below-market rates or if books or electronic course materials are not available elsewhere. We are currently assessing the impact of these regulations and are unable to predict the impact that compliance with the Cash Management Regulations might have on our operations and operating results, although we do not anticipate the impact to be material.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i w:val="1"/>
          <w:iCs w:val="1"/>
          <w:color w:val="auto"/>
        </w:rPr>
        <w:t xml:space="preserve">Eligibility and certification procedures. </w:t>
      </w:r>
      <w:r>
        <w:rPr>
          <w:rFonts w:ascii="Arial" w:cs="Arial" w:eastAsia="Arial" w:hAnsi="Arial"/>
          <w:sz w:val="17"/>
          <w:szCs w:val="17"/>
          <w:color w:val="auto"/>
        </w:rPr>
        <w:t>Each institution must apply periodically to the Department of Education for continued certification to</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in the Title IV programs. Such recertification generally is required every six years, but may be required earlier, including when an institution undergoes a change in control. An institution may also come under the Department of Education’s review when it expands its activities in certain ways, such as opening an additional location, adding a new educational program or modifying the academic credentials it offers. The Department of Education may place an institution on provisional certification status if it finds that the institution does not fully satisfy all of the eligibility and certification standards and in certain other circumstances, such as when an institution is certified for the first time or undergoes a change in control. During the period of provisional certification, the institution must comply with any additional conditions included in the school’s program participation agreement with the Department of Education. In addition, the Department of Education may more closely review an institution that is provisionally certified if it applies for recertification or approval to open a new location, add an educational program, acquire another school, or make any other significant change. If the Department of Education determines that a provisionally certified institution is unable to meet its responsibilities under its program participation agreement, it may seek to revoke the institution’s certification to participate in the Title IV programs without advance notice or opportunity for the institution to challenge the action. Students attending provisionally certified institutions remain eligible to receive Title IV program funds.</w:t>
      </w:r>
    </w:p>
    <w:p>
      <w:pPr>
        <w:spacing w:after="0" w:line="18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On October 28, 2013, the University received a new program participation agreement with full certification from the Department of Education, which gives the University the ability to participate in the Title IV programs through September 30, 2017.</w:t>
      </w:r>
    </w:p>
    <w:p>
      <w:pPr>
        <w:spacing w:after="0" w:line="17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i w:val="1"/>
          <w:iCs w:val="1"/>
          <w:color w:val="auto"/>
        </w:rPr>
        <w:t xml:space="preserve">Administrative capability. </w:t>
      </w:r>
      <w:r>
        <w:rPr>
          <w:rFonts w:ascii="Arial" w:cs="Arial" w:eastAsia="Arial" w:hAnsi="Arial"/>
          <w:sz w:val="16"/>
          <w:szCs w:val="16"/>
          <w:color w:val="auto"/>
        </w:rPr>
        <w:t>Department of Education regulations specify extensive criteria by which an institution must establish that it has the requisite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capability” to participate in the Title IV programs. To meet the administrative capability standards, an institution must, among other things:</w:t>
      </w:r>
    </w:p>
    <w:p>
      <w:pPr>
        <w:spacing w:after="0" w:line="29" w:lineRule="exact"/>
        <w:rPr>
          <w:sz w:val="20"/>
          <w:szCs w:val="20"/>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comply with all applicable Title IV program requirements;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an adequate number of qualified personnel to administer the Title IV programs;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acceptable standards for measuring the satisfactory academic progress of its students;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have student loan cohort default rates above specified levels;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have various procedures in place for awarding, disbursing and safeguarding Title IV funds and for maintaining required records;</w:t>
      </w:r>
    </w:p>
    <w:p>
      <w:pPr>
        <w:spacing w:after="0" w:line="142" w:lineRule="exact"/>
        <w:rPr>
          <w:rFonts w:ascii="Arial" w:cs="Arial" w:eastAsia="Arial" w:hAnsi="Arial"/>
          <w:sz w:val="17"/>
          <w:szCs w:val="17"/>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administer the Title IV programs with adequate checks and balances in its system of internal controls;</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be, and not have any principal or affiliate who is, debarred or suspended from federal contracting or engaging in activity that is cause for debarment or suspension;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financial aid counseling to its students;</w:t>
      </w:r>
    </w:p>
    <w:p>
      <w:pPr>
        <w:spacing w:after="0" w:line="130" w:lineRule="exact"/>
        <w:rPr>
          <w:rFonts w:ascii="Arial" w:cs="Arial" w:eastAsia="Arial" w:hAnsi="Arial"/>
          <w:sz w:val="18"/>
          <w:szCs w:val="18"/>
          <w:color w:val="auto"/>
        </w:rPr>
      </w:pPr>
    </w:p>
    <w:p>
      <w:pPr>
        <w:ind w:left="1480" w:right="300" w:hanging="446"/>
        <w:spacing w:after="0" w:line="264" w:lineRule="auto"/>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refer to the Department of Education’s Office of Inspector General any credible information indicating that any student, parent, employee, third-party servicer or other agent of the institution has engaged in any fraud or other illegal conduct involving the Title IV programs;</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submit all required reports and consolidated financial statements in a timely manner;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otherwise appear to lack administrative capability.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 institution fails to satisfy any of these criteria, the Department of Education may:</w:t>
      </w:r>
    </w:p>
    <w:p>
      <w:pPr>
        <w:spacing w:after="0" w:line="131" w:lineRule="exact"/>
        <w:rPr>
          <w:sz w:val="20"/>
          <w:szCs w:val="20"/>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the institution to repay Title IV funds its students previously received;</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transfer the institution from the advance method of payment of Title IV funds to heightened cash monitoring status or the reimbursement system of payment;</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place the institution on provisional certification status;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commence a proceeding to impose a fine or to limit, suspend or terminate the institution’s participation in the Title IV programs.</w:t>
      </w:r>
    </w:p>
    <w:p>
      <w:pPr>
        <w:spacing w:after="0" w:line="23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If we are found not to have satisfied the Department of Education’s administrative capability requirements, our students could lose, or be limited in their access to, Title IV program funding.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Financial responsibility. </w:t>
      </w:r>
      <w:r>
        <w:rPr>
          <w:rFonts w:ascii="Arial" w:cs="Arial" w:eastAsia="Arial" w:hAnsi="Arial"/>
          <w:sz w:val="18"/>
          <w:szCs w:val="18"/>
          <w:color w:val="auto"/>
        </w:rPr>
        <w:t>The Higher Education Act and Department of Education regulations establish extensive standards of financial responsibility</w:t>
      </w:r>
      <w:r>
        <w:rPr>
          <w:rFonts w:ascii="Arial" w:cs="Arial" w:eastAsia="Arial" w:hAnsi="Arial"/>
          <w:sz w:val="18"/>
          <w:szCs w:val="18"/>
          <w:i w:val="1"/>
          <w:iCs w:val="1"/>
          <w:color w:val="auto"/>
        </w:rPr>
        <w:t xml:space="preserve"> </w:t>
      </w:r>
      <w:r>
        <w:rPr>
          <w:rFonts w:ascii="Arial" w:cs="Arial" w:eastAsia="Arial" w:hAnsi="Arial"/>
          <w:sz w:val="18"/>
          <w:szCs w:val="18"/>
          <w:color w:val="auto"/>
        </w:rPr>
        <w:t>that institutions such as Grand Canyon University must satisfy in order to participate in the Title IV programs. The Department of Education evaluates institutions for compliance with these standards on an annual basis based on the institution’s annual audited consolidated financial statements, as well as when the institution applies to the Department of Education to have its eligibility to participate in the Title IV programs recertified. The most significant financial responsibility standard is the institution’s composite score, which is derived from a formula established by the Department of Education based on three financial ratios:</w:t>
      </w:r>
    </w:p>
    <w:p>
      <w:pPr>
        <w:spacing w:after="0" w:line="99" w:lineRule="exact"/>
        <w:rPr>
          <w:sz w:val="20"/>
          <w:szCs w:val="20"/>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equity ratio, which measures the institution’s capital resources, financial viability and ability to borrow;</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primary reserve ratio, which measures the institution’s ability to support current operations from expendable resources;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net income ratio, which measures the institution’s ability to operate at a profit or within its means.</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Department of Education assigns a strength factor to the results of each of these ratios on a scale from negative 1.0 to positive 3.0, with negative 1.0 reflecting financial weakness and positive 3.0 reflecting financial strength. The Department of Education then assigns a 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Department of Education oversight. Our composite scores for our fiscal years ended December 31, 2014, 2013 and 2012 were 3.0, 3.0 and 2.9, respectively, and, therefore, we are considered financially responsible for purposes of these regulations. We have not yet submitted our consolidated financial statements to the Department of Education for our 2015 fiscal year, but have calculated that our composite score for the 2015 fiscal year will be 2.6. We have modeled our composite score for future years using, among other estimates, our estimated ground campus capital expenditures and believe that our composite score will remain at a financially responsible level for the foreseeable future.</w:t>
      </w:r>
    </w:p>
    <w:p>
      <w:pPr>
        <w:spacing w:after="0" w:line="182"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 If the Department of Education were to determine that we did not meet the financial responsibility standards due to a failure to meet the composite score or other factors, we would expect to be able to establish financial responsibility on an alternative basis permitted by the Department of Education, which could include, in the Department of Education’s discretion, posting a letter of credit, accepting provisional certification, complying with additional Department of Education monitoring requirements, agreeing to receive Title IV program funds under an arrangement other than the Department of Education’s standard advance funding arrangement, such as the reimbursement system of payment or heightened cash monitoring, and complying with or accepting other limitations on our ability to increase the number of programs we offer or the number of students we enroll.</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requirement to post a letter of credit or other sanctions imposed by the Department of Education could increase our cost of regulatory compliance and adversely affect our cash flows. If we are unable to meet the minimum composite score or comply with the other standards of financial responsibility, and could not post a required letter of credit or comply with the alternative bases for establishing financial responsibility, our students could lose their access to Title IV program funding.</w:t>
      </w:r>
    </w:p>
    <w:p>
      <w:pPr>
        <w:spacing w:after="0" w:line="18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Return of Title IV funds for students who withdraw. </w:t>
      </w:r>
      <w:r>
        <w:rPr>
          <w:rFonts w:ascii="Arial" w:cs="Arial" w:eastAsia="Arial" w:hAnsi="Arial"/>
          <w:sz w:val="16"/>
          <w:szCs w:val="16"/>
          <w:color w:val="auto"/>
        </w:rPr>
        <w:t>When a student who has received Title IV program funds withdraws from school, the institution</w:t>
      </w:r>
      <w:r>
        <w:rPr>
          <w:rFonts w:ascii="Arial" w:cs="Arial" w:eastAsia="Arial" w:hAnsi="Arial"/>
          <w:sz w:val="16"/>
          <w:szCs w:val="16"/>
          <w:i w:val="1"/>
          <w:iCs w:val="1"/>
          <w:color w:val="auto"/>
        </w:rPr>
        <w:t xml:space="preserve"> </w:t>
      </w:r>
      <w:r>
        <w:rPr>
          <w:rFonts w:ascii="Arial" w:cs="Arial" w:eastAsia="Arial" w:hAnsi="Arial"/>
          <w:sz w:val="16"/>
          <w:szCs w:val="16"/>
          <w:color w:val="auto"/>
        </w:rPr>
        <w:t>must determine the amount of Title IV program funds the student has “earned” and then must return the unearned Title IV program funds (a “return to Title IV”) to the appropriate lender or the Department of Education in a timely manner, which is generally no later than 45 days after the date the institution determined that the student withdrew. If such payments are not timely made, the institution will be required to submit a letter of credit to the Department of Education equal to 25% of the Title IV funds that the institution should have returned for withdrawn students in its most recently completed fiscal year. Under Department of Education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Department of Education program review. We did not exceed this 5% threshold in our annual Title IV compliance audits for 2014 (the most recent year for which we have completed a Title IV compliance audit), 2013 or 2012.</w:t>
      </w:r>
    </w:p>
    <w:p>
      <w:pPr>
        <w:spacing w:after="0" w:line="16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The “90/10 Rule.” </w:t>
      </w:r>
      <w:r>
        <w:rPr>
          <w:rFonts w:ascii="Arial" w:cs="Arial" w:eastAsia="Arial" w:hAnsi="Arial"/>
          <w:sz w:val="18"/>
          <w:szCs w:val="18"/>
          <w:color w:val="auto"/>
        </w:rPr>
        <w:t>A requirement of the Higher Education Act, commonly referred to as the “90/10 Rule,” that is applicable only to for-profit,</w:t>
      </w:r>
      <w:r>
        <w:rPr>
          <w:rFonts w:ascii="Arial" w:cs="Arial" w:eastAsia="Arial" w:hAnsi="Arial"/>
          <w:sz w:val="18"/>
          <w:szCs w:val="18"/>
          <w:i w:val="1"/>
          <w:iCs w:val="1"/>
          <w:color w:val="auto"/>
        </w:rPr>
        <w:t xml:space="preserve"> </w:t>
      </w:r>
      <w:r>
        <w:rPr>
          <w:rFonts w:ascii="Arial" w:cs="Arial" w:eastAsia="Arial" w:hAnsi="Arial"/>
          <w:sz w:val="18"/>
          <w:szCs w:val="18"/>
          <w:color w:val="auto"/>
        </w:rPr>
        <w:t>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ectPr>
          <w:pgSz w:w="11900" w:h="16838" w:orient="portrait"/>
          <w:cols w:equalWidth="0" w:num="1">
            <w:col w:w="11420"/>
          </w:cols>
          <w:pgMar w:left="240" w:top="459" w:right="239"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Using the Department of Education’s cash-basis, regulatory formula under the 90/10 Rule as currently in effect, for our 2015, 2014, and 2013 fiscal years, we derived approximately 74.8%, 76.5%, and 78.5%, respectively, of our 90/10 Rule revenue from Title IV program funds.</w:t>
      </w:r>
    </w:p>
    <w:p>
      <w:pPr>
        <w:spacing w:after="0" w:line="14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a result of the continuing increase in the number of students attending our ground campus, who typically finance a greater percentage of their educational costs with non-Title IV sources of funds, we expect the percentage of our revenue that we receive from Title IV programs to remain stable or to continue to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 If we were to exceed the 90% threshold for two consecutive years such that we lost our eligibility to participate in the Title IV programs, or if Congress passed legislation changing how certain funds are counted under this rule, revising the percentage of income that proprietary schools must derive from non-federal sources, or both, it would have a material adverse effect on our business, prospects, financial condition, and results of operations.</w:t>
      </w:r>
    </w:p>
    <w:p>
      <w:pPr>
        <w:spacing w:after="0" w:line="16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Student loan defaults. </w:t>
      </w:r>
      <w:r>
        <w:rPr>
          <w:rFonts w:ascii="Arial" w:cs="Arial" w:eastAsia="Arial" w:hAnsi="Arial"/>
          <w:sz w:val="18"/>
          <w:szCs w:val="18"/>
          <w:color w:val="auto"/>
        </w:rPr>
        <w:t>Under the Higher Education Act, an educational institution may lose its eligibility to participate in some or all of the Title IV</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if defaults by its students on the repayment of their federal student loans exceed certain levels. For each federal fiscal year, the Department of Education calculates a rate of student defaults for each institution (known as a “cohort default rate”). The reauthorization of the Higher Education Act in 2008 extended the measurement period for cohort default rates so that the rate is calculated by determining the rate at which borrowers who became subject to their repayment obligation in one federal fiscal year default in that same year or by the end of the second year following federal fiscal year (the “three-year method”).</w:t>
      </w:r>
    </w:p>
    <w:p>
      <w:pPr>
        <w:spacing w:after="0" w:line="19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Department of Education applies legal thresholds to measure an institution’s compliance. If the Department of Education notifies an institution that its cohort default rates exceeded 30%, for each of its three most recent federal fiscal years, the institution’s participation in the 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the Department of Education that its most recent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 fiscal years. If an institution’s cohort default rate for any single federal fiscal year equals or exceeds 30%, the Department of Education may place the institution on provisional certification status.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cohort default rates on federal student loans for the 2012, 2011 and 2010 federal fiscal years, were 10.3%, 15.7% and 19.0%, respectively.</w:t>
      </w:r>
    </w:p>
    <w:p>
      <w:pPr>
        <w:spacing w:after="0" w:line="237"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i w:val="1"/>
          <w:iCs w:val="1"/>
          <w:color w:val="auto"/>
        </w:rPr>
        <w:t xml:space="preserve">Incentive compensation rule. </w:t>
      </w:r>
      <w:r>
        <w:rPr>
          <w:rFonts w:ascii="Arial" w:cs="Arial" w:eastAsia="Arial" w:hAnsi="Arial"/>
          <w:sz w:val="18"/>
          <w:szCs w:val="18"/>
          <w:color w:val="auto"/>
        </w:rPr>
        <w:t>An institution that participates in the Title IV programs may not provide any commission, bonus, or other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based directly or indirectly on success in securing enrollments or financial aid to any person or entity engaged in any student recruitment, admissions, or financial aid awarding activity. Prior to July 1, 2011, Department of Education regulations included 12 “safe harbors” that described payments and arrangements that did not violate the incentive compensation rule. Under new rules effective July 1, 2011, the 12 safe harbors were eliminated. The restrictions of the incentive compensation rule, which extend to any third-party companies that an educational institution contracts with for student recruitment, admissions, or financial aid awarding services, increase the uncertainty about what constitutes incentive compensation and which employees are covered by the regulation. This makes the development of effective and compliant performance metrics more difficult to establish. As such, these changes limit our ability to compensate our employees based on their performance of their job responsibilities, which could make it more difficult to attract and retain highly-qualified employees.</w:t>
      </w:r>
    </w:p>
    <w:p>
      <w:pPr>
        <w:spacing w:after="0" w:line="19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 xml:space="preserve">Compliance reviews. </w:t>
      </w:r>
      <w:r>
        <w:rPr>
          <w:rFonts w:ascii="Arial" w:cs="Arial" w:eastAsia="Arial" w:hAnsi="Arial"/>
          <w:sz w:val="17"/>
          <w:szCs w:val="17"/>
          <w:color w:val="auto"/>
        </w:rPr>
        <w:t>We are subject to announced and unannounced compliance reviews and audits by various external agencies, including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its Office of Inspector General, state licensing agencies, the applicable state approving agencies for financial assistance to veterans, and accrediting commissions. As part of the Department of Education’s ongoing monitoring of institutions’ administration of the Title IV programs, the Higher Education Act also requires institutions to annually submit to the Department of Education a Title IV compliance audit conducted by an independent certified public accountant in accordance with applicable federal and Department of Education audit standards. In addition, to enable the Department of Education to make a determination of an institution’s financial responsibility, each institution must annually submit audited financial statements prepared in accordance with Department of Education regulations.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Grand Canyon University covering the 2008-2009 and 2009-2010 award years. On September 27, 2013, the University and the Department of Education entered into an agreement that fully resolved the findings in the preliminary program review report and closed the program review. A second program review, focused on the University’s administration of the Title IV programs in which it participates, its administration of the Clery Act and related regulations, and its compliance with the requirements of the Drug-Free Schools and Communities Act for the 2012-2013 and 2013-2014 award years, was initiated in April 2014. The final program review determination letter received in June 2014 set forth three findings, each of which involved individual student-specific information gathering and/or reporting errors and all of which the University promptly corrected to the Department of Education’s satisfaction. Accordingly, the final program review determination letter concluded that the University had taken all corrective actions necessary to resolve the findings and that the program review had been closed with no further action required. See “Management’s Discussion and Analysis of Financial Condition and Results of Operations.”</w:t>
      </w:r>
    </w:p>
    <w:p>
      <w:pPr>
        <w:spacing w:after="0" w:line="16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Privacy of student records. </w:t>
      </w:r>
      <w:r>
        <w:rPr>
          <w:rFonts w:ascii="Arial" w:cs="Arial" w:eastAsia="Arial" w:hAnsi="Arial"/>
          <w:sz w:val="16"/>
          <w:szCs w:val="16"/>
          <w:color w:val="auto"/>
        </w:rPr>
        <w:t>The Family Educational Rights and Privacy Act of 1974, or FERPA, and the Department of Education’s FERPA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educational institutions to protect the privacy of students’ educational records by limiting an institution’s disclosure of a student’s personally identifiable information without the student’s prior written consent. FERPA also requires institutions to allow students to review and request changes to their educational records maintained by the institution, to notify students at least annually of this inspection right, and to maintain records in each student’s file listing requests for access to and disclosures of personally identifiable information and the interest of such party in that information. If an institution fails to comply with FERPA, the Department of Education may require corrective actions by the institution or may terminate an institution’s receipt of further federal funds. In addition, educational institutions are obligated to safeguard student information pursuant to the Gramm-Leach-Bliley Act, or GLBA, a federal law designed to protect consumers’ personal financial information held by financial institutions and other entities that provide financial services to consumers. GLBA and the applicable GLBA regulations require an institution to, among other things, develop and maintain a comprehensive, written information security program designed to protect against the unauthorized disclosure of personally identifiable financial information of students, parents, or other individuals with whom such institution has a customer relationship. If an institution fails to comply with the applicable GLBA requirements, it may be required to take corrective actions, be subject to monitoring and oversight by the Federal Trade Commission (FTC), and be subject to fines or penalties imposed by the FTC. For-profit educational institutions are also subject to the general deceptive practices jurisdiction of the FTC with respect to their collection, use, and disclosure of student information. The institution must also comply with the FTC Red Flags Rule, a section of the federal Fair Credit Reporting Act, that requires the establishment of guidelines and policies regarding identity theft related to student credit accounts.</w:t>
      </w:r>
    </w:p>
    <w:p>
      <w:pPr>
        <w:spacing w:after="0" w:line="169"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i w:val="1"/>
          <w:iCs w:val="1"/>
          <w:color w:val="auto"/>
        </w:rPr>
        <w:t xml:space="preserve">Potential effect of regulatory violations. </w:t>
      </w:r>
      <w:r>
        <w:rPr>
          <w:rFonts w:ascii="Arial" w:cs="Arial" w:eastAsia="Arial" w:hAnsi="Arial"/>
          <w:sz w:val="16"/>
          <w:szCs w:val="16"/>
          <w:color w:val="auto"/>
        </w:rPr>
        <w:t>If we fail to comply with the regulatory standards governing the Title IV programs, the Department of</w:t>
      </w:r>
      <w:r>
        <w:rPr>
          <w:rFonts w:ascii="Arial" w:cs="Arial" w:eastAsia="Arial" w:hAnsi="Arial"/>
          <w:sz w:val="16"/>
          <w:szCs w:val="16"/>
          <w:i w:val="1"/>
          <w:iCs w:val="1"/>
          <w:color w:val="auto"/>
        </w:rPr>
        <w:t xml:space="preserve"> </w:t>
      </w:r>
      <w:r>
        <w:rPr>
          <w:rFonts w:ascii="Arial" w:cs="Arial" w:eastAsia="Arial" w:hAnsi="Arial"/>
          <w:sz w:val="16"/>
          <w:szCs w:val="16"/>
          <w:color w:val="auto"/>
        </w:rPr>
        <w:t>Education could impose one or more sanctions, including transferring us to the reimbursement or cash monitoring system of payment, requiring us to repay Title IV program funds, requiring us to post a letter of credit in favor of the Department of Education as a condition for continued Title IV certification, taking emergency action against us, initiating proceedings to impose a fine or to limit, suspend, or terminate our participation in the Title IV programs, or referring the matter for civil or criminal prosecution. If such sanctions or proceedings were imposed against us and resulted in a substantial curtailment or termination of our participation in the Title IV programs, our enrollments, revenues, and results of operations would be materially and adversely affected.</w:t>
      </w:r>
    </w:p>
    <w:p>
      <w:pPr>
        <w:spacing w:after="0" w:line="165"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If we lost our eligibility to participate in the Title IV programs, or if the amount of available Title IV program funds was reduced, we would seek to arrange or provide alternative sources of revenue or financial aid for students. We believe that one or more private organizations would be willing to provide financial assistance to our students, but there is no assurance that this would be the case. The interest rate and other terms of such financial aid would likely not be as favorable as those for Title IV program funds, and we might be required to guarantee all or part of such alternative assistance or might incur other additional costs in connection with securing such alternative assistance. It is unlikely that we would be able to arrange alternative funding on any terms to replace all the Title IV funding our students receive. Accordingly, our loss of eligibility to participate in the Title IV programs, or a reduction in the amount of available Title IV program funding for our students, would have a material adverse effect on our results of operations, even if we could arrange or provide alternative sources of revenue or student financial aid.</w:t>
      </w:r>
    </w:p>
    <w:p>
      <w:pPr>
        <w:spacing w:after="0" w:line="17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addition to the actions that may be brought against us as a result of our participation in the Title IV programs, we are also subject to complaints and lawsuits relating to regulatory compliance brought not only by our regulatory agencies, but also by other government agencies and third parties, such as present or former students or employees and other members of the public.</w:t>
      </w:r>
    </w:p>
    <w:p>
      <w:pPr>
        <w:spacing w:after="0" w:line="181"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i w:val="1"/>
          <w:iCs w:val="1"/>
          <w:color w:val="auto"/>
        </w:rPr>
        <w:t>State authorization</w:t>
      </w:r>
      <w:r>
        <w:rPr>
          <w:rFonts w:ascii="Arial" w:cs="Arial" w:eastAsia="Arial" w:hAnsi="Arial"/>
          <w:sz w:val="18"/>
          <w:szCs w:val="18"/>
          <w:color w:val="auto"/>
        </w:rPr>
        <w:t>. States have the authority to assert jurisdiction, to the extent they so choose, over educational institutions that offer online degree</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in a state but that otherwise have no physical location or other presence in that state. On November 20, 2013, the Department of Education announced its intent to establish a negotiated rulemaking committee to address state authorization of distance and correspondence learning programs. While these negotiated rulemaking sessions were held, the committee failed to reach consensus on all topics by the May 2014 conclusion of those sessions. The Department of Education has not yet published a notice of proposed rulemaking, so we do not yet know whether or how any such proposed rules would impact the University or when such rules may be published. The regulations proposed by the Department of Education prior to the May 2014 negotiating session, however, would impose significant new regulatory burdens on postsecondary institutions that provide distance education, regardless of educational sector.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are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for which Arizona is a W-SARA member. There is a yearly renewal for participating in NC-SARA and AZ-SARA, and institutions must agree to meet certain requirements to participate.</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addition to Arizona, we have determined that our activities in some non-SARA states constitute a presence requiring licensure or authorization under the requirements of the state post-secondary education agency in those states, which we have obtained, while in other states we have determined that we are exempt under applicable state law from licensure or authorization requirements. In other states, we have obtained approvals to operate as we have determined necessary in connection with our marketing and recruiting activities. Although we have a process for evaluating the compliance of our online educational programs with state requirements regarding distance and correspondence learning, and have experienced no significant restrictions on our educational activities to date as a result of such requirements, state regulatory requirements for online education vary among the states, are not well developed in many states, are imprecise or unclear in some states and are subject to change. If we fail to comply with licensing or authorization requirements for a non-SARA state, or fail to obtain licenses or authorizations when required, we could lose our licensure or authorization from that state or be subject to other sanctions, including restrictions on our activities in that state, and fines and penalties, including Department of Education sanctions.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Approval of new programs. </w:t>
      </w:r>
      <w:r>
        <w:rPr>
          <w:rFonts w:ascii="Arial" w:cs="Arial" w:eastAsia="Arial" w:hAnsi="Arial"/>
          <w:sz w:val="18"/>
          <w:szCs w:val="18"/>
          <w:color w:val="auto"/>
        </w:rPr>
        <w:t>Department of Education rules effective July 1, 2011 imposed various requirements on an institution’s ability to add new</w:t>
      </w:r>
      <w:r>
        <w:rPr>
          <w:rFonts w:ascii="Arial" w:cs="Arial" w:eastAsia="Arial" w:hAnsi="Arial"/>
          <w:sz w:val="18"/>
          <w:szCs w:val="18"/>
          <w:i w:val="1"/>
          <w:iCs w:val="1"/>
          <w:color w:val="auto"/>
        </w:rPr>
        <w:t xml:space="preserve"> </w:t>
      </w:r>
      <w:r>
        <w:rPr>
          <w:rFonts w:ascii="Arial" w:cs="Arial" w:eastAsia="Arial" w:hAnsi="Arial"/>
          <w:sz w:val="18"/>
          <w:szCs w:val="18"/>
          <w:color w:val="auto"/>
        </w:rPr>
        <w:t>academic programs without prior approval of the Department of Education. While the U.S. District Court for the District of Columbia subsequently invalidated this requirement, we believe there remains some uncertainty regarding new program approval, which could adversely affect our ability to respond to emerging employment trends and add programs that are responsive to those trends, which in turn could decrease our attractiveness to certain students. In addition, a lack of certainty could increase the risk of future federal False Claims Act qui tam lawsuits in which private plaintiffs assert that students improperly received Title IV aid while attending a program that has not been approved.</w:t>
      </w:r>
    </w:p>
    <w:p>
      <w:pPr>
        <w:spacing w:after="0" w:line="19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i w:val="1"/>
          <w:iCs w:val="1"/>
          <w:color w:val="auto"/>
        </w:rPr>
        <w:t xml:space="preserve">Gainful employment rules. </w:t>
      </w:r>
      <w:r>
        <w:rPr>
          <w:rFonts w:ascii="Arial" w:cs="Arial" w:eastAsia="Arial" w:hAnsi="Arial"/>
          <w:sz w:val="17"/>
          <w:szCs w:val="17"/>
          <w:color w:val="auto"/>
        </w:rPr>
        <w:t>Under the Higher Education Act, proprietary schools are eligible to participate in Title IV programs in respect of educational</w:t>
      </w:r>
      <w:r>
        <w:rPr>
          <w:rFonts w:ascii="Arial" w:cs="Arial" w:eastAsia="Arial" w:hAnsi="Arial"/>
          <w:sz w:val="17"/>
          <w:szCs w:val="17"/>
          <w:i w:val="1"/>
          <w:iCs w:val="1"/>
          <w:color w:val="auto"/>
        </w:rPr>
        <w:t xml:space="preserve"> </w:t>
      </w:r>
      <w:r>
        <w:rPr>
          <w:rFonts w:ascii="Arial" w:cs="Arial" w:eastAsia="Arial" w:hAnsi="Arial"/>
          <w:sz w:val="17"/>
          <w:szCs w:val="17"/>
          <w:color w:val="auto"/>
        </w:rPr>
        <w:t>programs that lead to “gainful employment in a recognized occupation,” with the limited exception of qualified programs leading to a bachelor’s degree in liberal arts. Historically, this concept has not been defined in detail. In October 2014, the Department of Education published final regulations, effective July 1, 2015, on the metrics for determining whether an academic program prepares students for gainful employment in a recognized occupation. This rule establishes requirements related to the debt to earnings ratio of graduates of our programs, and sets additional disclosure requirements for students. Under the final regulations, which apply on a program-by-program basis, students enrolled in a program will be eligible for Title IV student financial aid only if that program satisfies at least one of two tests relating to student debt service-to-earnings ratios. The two tests specify minimum debt service-to-earnings ratios calculated on the basis of the earnings of program graduates. One test measures student loan debt service as a percentage of total earnings, and the other test measures student loan debt service as a percentage of discretionary earnings. The first year a program fails to meet at least one of the minimum ratios for the year, the institution will be required to provide a warning notice to prospective and enrolled students advising that the program has not met the minimum debt measurements and describes any actions planned to improve the program’s performance under the Debt Measurements. Programs that fail to meet at least one of the minimum ratios for two consecutive years or for two out of three of the most recent years for which Debt Measures were calculated, will be required to provide additional warning notices to students before enrollment. If the program does not meet any of the Debt Measures for three out of four years, it will lose its Title IV eligibility.</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final regulations, schools are also required to certify to the Department the following for each Title IV eligible program:</w:t>
      </w:r>
    </w:p>
    <w:p>
      <w:pPr>
        <w:spacing w:after="0" w:line="13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program is included in the schools’ accreditation;</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program is programmatically accredited, if required by a federal government entity, or by a government entity in any state in which the school is located or is required to obtain state approval;</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program satisfies any applicable state licensing and certification requirements for the occupations for which the program prepares students to enter; and</w:t>
      </w:r>
    </w:p>
    <w:p>
      <w:pPr>
        <w:spacing w:after="0" w:line="75"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program is not substantially similar to a program offered by the school that became ineligible due to the student debt service-to-earnings ratios.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We believe we have successfully submitted the certifications required for all pre-existing programs prior to the December 31, 2015 deadline for doing so. In addition, in July and September 2015 we successfully submitted the data required of the University under the gainful employment rule. We believe we have materially complied with the reporting requirements and have not otherwise been notified by the Department.</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Department of Education has indicated that the official 2014 gainful employment debt service-to-earnings ratios will most likely be issued in the winter of 2016. The expected timing of the issuance of the 2015 ratios has not yet been announced. We believe it is likely that some of University’s programs will be impacted by the regulations.</w:t>
      </w:r>
    </w:p>
    <w:p>
      <w:pPr>
        <w:spacing w:after="0" w:line="181"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The Department of Education has not yet announced the protocol for calculating and disseminating the debt service-to-earnings ratios. Because the ratios will be issued by the Department of Education after the measuring period, we may not know of a program’s failure to meet the tests until after the measuring period, and students enrolled in such a program could lose their access to federal financial aid before completing the program.</w:t>
      </w:r>
    </w:p>
    <w:p>
      <w:pPr>
        <w:spacing w:after="0" w:line="14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This is a complicated rule and, although management will work to achieve compliance with this new rule, the continuing eligibility of our educational programs for Title IV funding is at risk due to factors measured by this rule and beyond our control, such as changes in the actual or deemed income level of our graduates, changes in student borrowing levels, increases in interest rates, changes in the federal poverty income level relevant for calculating discretionary income, and other factors. The exposure to these external factors could reduce our ability to confidently offer or continue certain types of programs for which there is market demand, and therefore would impact our ability to maintain or grow our business. </w:t>
      </w:r>
      <w:r>
        <w:rPr>
          <w:rFonts w:ascii="Arial" w:cs="Arial" w:eastAsia="Arial" w:hAnsi="Arial"/>
          <w:sz w:val="16"/>
          <w:szCs w:val="16"/>
          <w:i w:val="1"/>
          <w:iCs w:val="1"/>
          <w:color w:val="auto"/>
        </w:rPr>
        <w:t>Substantial misrepresentation</w:t>
      </w:r>
      <w:r>
        <w:rPr>
          <w:rFonts w:ascii="Arial" w:cs="Arial" w:eastAsia="Arial" w:hAnsi="Arial"/>
          <w:sz w:val="16"/>
          <w:szCs w:val="16"/>
          <w:color w:val="auto"/>
        </w:rPr>
        <w:t>. The Higher Education Act prohibits an institution that participates in Title IV programs from engaging in “substantial misrepresentation” of the nature of its educational program, its financial charges, or the employability of its graduates. The Department of Education has defined a misrepresentation as any statement made by the institution or a third party that provides educational programs, marketing, advertising, recruiting, or admissions services to the institution that is false, erroneous or has the likelihood or tendency to deceive. A substantial misrepresentation is any misrepresentation on which the person to whom it was made could reasonably be expected to rely, or has reasonably relied, to that person’s detriment. Considering the breadth of the definition of “substantial misrepresentation,” it is possible that despite our efforts to prevent such misrepresentations, our employees or service providers may make statements that could be construed as substantial misrepresentations. As a result, we may face complaints from students and prospective students over statements made by us and our agents throughout the enrollment, admissions and financial aid process, as well as throughout attendance at the University, which would expose us to increased risk of enforcement action and applicable sanctions or other penalties and increased risk of private qui tam actions under the Federal False Claims Act. Under the new rules, if the Department of Education determines that an institution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the Department of Education determines that statements made by us or on our behalf are in violation of the regulations, we could be subject to sanctions and other liability, which could have a material adverse effect on our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Standards that May Restrict Institutional Expansion or Other Changes</w:t>
      </w:r>
    </w:p>
    <w:p>
      <w:pPr>
        <w:spacing w:after="0" w:line="121" w:lineRule="exact"/>
        <w:rPr>
          <w:sz w:val="20"/>
          <w:szCs w:val="20"/>
          <w:color w:val="auto"/>
        </w:rPr>
      </w:pPr>
    </w:p>
    <w:p>
      <w:pPr>
        <w:ind w:right="540" w:firstLine="456"/>
        <w:spacing w:after="0" w:line="286" w:lineRule="auto"/>
        <w:rPr>
          <w:sz w:val="20"/>
          <w:szCs w:val="20"/>
          <w:color w:val="auto"/>
        </w:rPr>
      </w:pPr>
      <w:r>
        <w:rPr>
          <w:rFonts w:ascii="Arial" w:cs="Arial" w:eastAsia="Arial" w:hAnsi="Arial"/>
          <w:sz w:val="17"/>
          <w:szCs w:val="17"/>
          <w:color w:val="auto"/>
        </w:rPr>
        <w:t>Many actions that we may wish to take in connection with expanding our operations or other changes are subject to review or approval by the applicable regulatory agencies. In addition to those matters described in detail below, most state education agencies impose regulatory requirements on educational institutions operating within their boundaries. See “State Educational Licensure and Authorization.”</w:t>
      </w:r>
    </w:p>
    <w:p>
      <w:pPr>
        <w:spacing w:after="0" w:line="16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Adding teaching locations, implementing new educational programs, and increasing enrollment. </w:t>
      </w:r>
      <w:r>
        <w:rPr>
          <w:rFonts w:ascii="Arial" w:cs="Arial" w:eastAsia="Arial" w:hAnsi="Arial"/>
          <w:sz w:val="18"/>
          <w:szCs w:val="18"/>
          <w:color w:val="auto"/>
        </w:rPr>
        <w:t>The requirements and standards of state education</w:t>
      </w:r>
      <w:r>
        <w:rPr>
          <w:rFonts w:ascii="Arial" w:cs="Arial" w:eastAsia="Arial" w:hAnsi="Arial"/>
          <w:sz w:val="18"/>
          <w:szCs w:val="18"/>
          <w:i w:val="1"/>
          <w:iCs w:val="1"/>
          <w:color w:val="auto"/>
        </w:rPr>
        <w:t xml:space="preserve"> </w:t>
      </w:r>
      <w:r>
        <w:rPr>
          <w:rFonts w:ascii="Arial" w:cs="Arial" w:eastAsia="Arial" w:hAnsi="Arial"/>
          <w:sz w:val="18"/>
          <w:szCs w:val="18"/>
          <w:color w:val="auto"/>
        </w:rPr>
        <w:t>agencies, accrediting commissions, and the Department of Education limit our ability in certain instances to establish additional teaching locations, implement new educational programs, or increase enrollment in certain programs. Many states require review and approval before institutions can add new locations or programs, and Arizona also limits the number of pre-licensure nursing students we may enroll (which represents a small portion of our overall nursing program). The Arizona State Board for Private Postsecondary Education, the Higher Learning Commission, and other state education agencies and specialized accrediting commissions that authorize or accredit us and our programs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With respect to the Department of Education, if an institution participating in the Title IV programs plans to add a new location or educational program, the institution must generally apply to the Department of Education to have the additional location or educational program designated as within the scope of the institution’s Title IV eligibility. However, a degree-granting institution, like Grand Canyon University, that is fully certified to participate in the Title IV programs is not required to obtain the Department of Education’s approval of additional programs that lead to a bachelor’s, professional, or graduate degree at the same degree level as programs previously approved by the Department of Education, and, similarly, is not required to obtain advance approval for new programs that prepare students for gainful employment in the same or a related recognized occupation as an educational program that has previously been designated by the Department of Education as an eligible program at that institution if it meets certain minimum-length requirements.</w:t>
      </w:r>
    </w:p>
    <w:p>
      <w:pPr>
        <w:spacing w:after="0" w:line="16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i w:val="1"/>
          <w:iCs w:val="1"/>
          <w:color w:val="auto"/>
        </w:rPr>
        <w:t xml:space="preserve">Acquiring other schools. </w:t>
      </w:r>
      <w:r>
        <w:rPr>
          <w:rFonts w:ascii="Arial" w:cs="Arial" w:eastAsia="Arial" w:hAnsi="Arial"/>
          <w:sz w:val="16"/>
          <w:szCs w:val="16"/>
          <w:color w:val="auto"/>
        </w:rPr>
        <w:t>While we have not acquired any other schools in the past, we may seek to do so in the future. The Department of Education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virtually all state education agencies and accrediting commissions require a company to seek their approval if it wishes to acquire another school. In our case, we would need to obtain the approval of the Arizona State Board for Private Postsecondary Education or other state education agency that licenses the school being acquired, the Higher Learning Commission, any other accrediting commission that accredits the school being acquired, and the Department of Education. The level of review varies by individual state and accrediting commission, with some requiring approval of such an acquisition before it occurs and others only considering approval after the acquisition has occurred. The Higher Learning Commission would require us to obtain its advance approval of such an acquisition. The approval of the applicable state education agencies and accrediting commissions is a necessary prerequisite to the Department of Education certifying the acquired school to participate in the Title IV programs under our ownership. The restrictions imposed by any of the applicable regulatory agencies could delay or prevent our acquisition of other schools in some circumstances.</w:t>
      </w:r>
    </w:p>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Title IV program participation. </w:t>
      </w:r>
      <w:r>
        <w:rPr>
          <w:rFonts w:ascii="Arial" w:cs="Arial" w:eastAsia="Arial" w:hAnsi="Arial"/>
          <w:sz w:val="18"/>
          <w:szCs w:val="18"/>
          <w:color w:val="auto"/>
        </w:rPr>
        <w:t>Each institution must apply to the Department of Education for continued certification to participate in the Title IV</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at least every six years, or when it undergoes a change in control, and an institution may come under the Department of Education’s review when it expands its activities in certain ways, such as opening an additional location, adding an educational program, or modifying the academic credentials that it offers.</w:t>
      </w:r>
    </w:p>
    <w:p>
      <w:pPr>
        <w:spacing w:after="0" w:line="187" w:lineRule="exact"/>
        <w:rPr>
          <w:sz w:val="20"/>
          <w:szCs w:val="20"/>
          <w:color w:val="auto"/>
        </w:rPr>
      </w:pPr>
    </w:p>
    <w:p>
      <w:pPr>
        <w:ind w:right="120" w:firstLine="456"/>
        <w:spacing w:after="0" w:line="270" w:lineRule="auto"/>
        <w:rPr>
          <w:sz w:val="20"/>
          <w:szCs w:val="20"/>
          <w:color w:val="auto"/>
        </w:rPr>
      </w:pPr>
      <w:r>
        <w:rPr>
          <w:rFonts w:ascii="Arial" w:cs="Arial" w:eastAsia="Arial" w:hAnsi="Arial"/>
          <w:sz w:val="17"/>
          <w:szCs w:val="17"/>
          <w:color w:val="auto"/>
        </w:rPr>
        <w:t>The Department of Education may place an institution on provisional certification status if it finds that the institution does not fully satisfy all of the eligibility and certification standards. In addition, if a company acquires a school from another entity, or if a school undertakes another transaction that constitutes a change in control under Department of Education regulations, the school will automatically be placed on provisional certification when the Department of Education approves the transaction. During the period of provisional certification, the institution must comply with any additional conditions or restrictions included in its program participation agreement with the Department of Education. If the Department of Education finds that a provisionally certified institution is unable to meet its responsibilities under its program participation agreement, it may seek to revoke the institution’s certification to participate in the Title IV programs without advance notice or advance opportunity for the institution to challenge that action. In addition, the Department of Education may more closely review an institution that is provisionally certified if it applies for recertification or approval to open a new location, add an educational program, acquire another school, or make any other significant change. Students attending provisionally certified institutions remain eligible to receive Title IV program funds.</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October 28, 2013, the University received a new program participation agreement with full certification from the Department of Education, which gives the University the ability to participate in the Title IV programs through September 30, 2017.</w:t>
      </w:r>
    </w:p>
    <w:p>
      <w:pPr>
        <w:spacing w:after="0" w:line="170"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i w:val="1"/>
          <w:iCs w:val="1"/>
          <w:color w:val="auto"/>
        </w:rPr>
        <w:t xml:space="preserve">Change in ownership resulting in a change in control. </w:t>
      </w:r>
      <w:r>
        <w:rPr>
          <w:rFonts w:ascii="Arial" w:cs="Arial" w:eastAsia="Arial" w:hAnsi="Arial"/>
          <w:sz w:val="17"/>
          <w:szCs w:val="17"/>
          <w:color w:val="auto"/>
        </w:rPr>
        <w:t>The Department of Education, as well as many accrediting commissions and states,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institutions of higher education to report or obtain approval of certain changes in control and changes in other aspects of institutional organization or control. With respect to publicly traded corporations, like us, Department of Education regulations provide that a change in control occurs if, among other things, the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Under Department of Education regulations, an institution that undergoes a change in control as defined by the Department of Education loses its eligibility to participate in the Title IV programs and must apply to the Department of Education in order to reestablish such eligibility.</w:t>
      </w:r>
    </w:p>
    <w:p>
      <w:pPr>
        <w:spacing w:after="0" w:line="179"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The Higher Learning Commission provides that an institution must obtain its approval in advance of a change in ownership, corporate control or structure in order for the institution to retain its accredited status. In June 2009, the Higher Learning Commission adopted new policies and standards for the review of transactions that may constitute such a change in control. One standard provides that a transaction may be considered a change in control if an individual, entity or group increases or decreases its control of shares to greater than or less than 25% of the total outstanding shares of the stock of a parent corporation that owns or controls the accredited institution. In addition, in the event of a change in control, the Higher Learning Commission requires the institution to obtain its approval in advance of the change, and in certain circumstances that process may require several weeks or several months or more to complete. In addition, following a change in control, the Higher Learning Commission will conduct an onsite evaluation within six months in order to continue the institution’s accreditation.</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Many states include the sale of a controlling interest of common stock in the definition of a change in control requiring approval, but their thresholds for determining a change in control vary widely. The standards of the Arizona State Board for Private Postsecondary Education provide that an institution that is owned by a publicly traded company whose control is vested in the voting members of the board of directors, such as Grand Canyon Education, undergoes a change in control if 50% or more of the voting members of the board of directors change within a 12-month period or the chief executive officer of the corporation changes. A change in control under the definition of one of the other state agencies that regulate us might require us to obtain approval of a change in control in order to maintain our authorization to operate in that state, and in some cases such states could require us to obtain advance approval of the change in control. If we were to undergo a change in control under the standards of the Arizona State Board of Private Postsecondary Education at any time in the future, we would be required to file an application with the Arizona State Board for Private Postsecondary Education in order to obtain approval for such change in control. We cannot predict whether the Arizona State Board for Private Postsecondary Education would impose any limitations or conditions on us, or identify any compliance issues related to us in the context of the change in control process, that could result in our loss of authorization in Arizona. Any such loss would result in our loss of eligibility to participate in the Title IV programs which would cause a significant decline in our student enrollment.</w:t>
      </w:r>
    </w:p>
    <w:p>
      <w:pPr>
        <w:spacing w:after="0" w:line="3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i w:val="1"/>
          <w:iCs w:val="1"/>
          <w:color w:val="auto"/>
        </w:rPr>
        <w:t>You should carefully consider the risks and uncertainties described below and all other information contained in this Annual Report on Form 10-K. In order to help assess the major risks in our business, we have identified many, but not all, of these risks. Due to the scope of our operations, a wide range of factors could materially affect future developments and performance.</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If any of the following risks, or risks that we do not anticipate, are realized, our business, financial condition, cash flow or results of operations could be materially and adversely affected, and as a result, the trading price of our common stock could be materially and adversely impacted. These risk factors should be read in conjunction with other information set forth in this Annual Report, including Item 7,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w:t>
      </w:r>
      <w:r>
        <w:rPr>
          <w:rFonts w:ascii="Arial" w:cs="Arial" w:eastAsia="Arial" w:hAnsi="Arial"/>
          <w:sz w:val="18"/>
          <w:szCs w:val="18"/>
          <w:color w:val="auto"/>
        </w:rPr>
        <w:t>, and Item 8,</w:t>
      </w:r>
      <w:r>
        <w:rPr>
          <w:rFonts w:ascii="Arial" w:cs="Arial" w:eastAsia="Arial" w:hAnsi="Arial"/>
          <w:sz w:val="18"/>
          <w:szCs w:val="18"/>
          <w:i w:val="1"/>
          <w:iCs w:val="1"/>
          <w:color w:val="auto"/>
        </w:rPr>
        <w:t xml:space="preserve"> Consolidated Financial Statements and Supplementary Data, </w:t>
      </w:r>
      <w:r>
        <w:rPr>
          <w:rFonts w:ascii="Arial" w:cs="Arial" w:eastAsia="Arial" w:hAnsi="Arial"/>
          <w:sz w:val="18"/>
          <w:szCs w:val="18"/>
          <w:color w:val="auto"/>
        </w:rPr>
        <w:t>including the related Notes to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r>
        <w:rPr>
          <w:rFonts w:ascii="Arial" w:cs="Arial" w:eastAsia="Arial" w:hAnsi="Arial"/>
          <w:sz w:val="18"/>
          <w:szCs w:val="18"/>
          <w:i w:val="1"/>
          <w:iCs w:val="1"/>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Extensive Regulation of Our Industry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failure to comply with the extensive regulatory requirements governing our school could result in financial penalties, restrictions on our operations or growth, or loss of external financial aid funding for our students.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participate in the Title IV programs, a school must be authorized by the appropriate state education agency or agencies, be accredited by an accrediting commission recognized by the Department of Education, and be certified as an eligible institution by the Department of Education. In addition, our operations and programs are regulated by other state education agencies and additional accrediting commissions. As a result of these requirements, we are subject to extensive regulation by the Arizona State Board for Private Postsecondary Education and education agencies of other states, the Higher Learning Commission, which is our primary accrediting commission, specialized accrediting commissions, and the Department of Education. These regulatory requirements cover the vast majority of our operations, including our educational programs, instructional and administrative staff, administrative procedures, marketing, recruiting, financial operations, and financial condition. These regulatory requirements also affect our ability to open additional schools and locations, add new educational programs, change existing educational programs, and change our corporate or ownership structure. The agencies that regulate our operations periodically revise their requirements and modify their interpretations of existing requirements. Regulatory requirements are not always precise and clear, and regulatory agencies may sometimes disagree with the way we have interpreted or applied these requirements. Any misinterpretation by us of regulatory requirements could materially adversely affect us. If we fail to comply with any of these regulatory requirements, we could suffer financial penalties, limitations on our operations, loss of accreditation, termination of or limitations on our ability to grant degrees and certificates, or limitations on or termination of our eligibility to participate in the Title IV programs, each of which could materially adversely affect us. In addition, if we are charged with regulatory violations, our reputation could be damaged, which could have a negative impact on our stock price and our enrollments. We cannot predict with certainty how all of these regulatory requirements will be applied, or whether we will be able to comply with all of the applicable requirements in the future.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If the Department of Education does not recertify us to continue participating in the Title IV programs, our students would lose their access to Title IV program funds, or we could be recertified but required to accept significant limitations as a condition of our continued participation in the Title IV programs.</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Department of Education certification to participate in the Title IV programs lasts a maximum of six years, and institutions are thus required to seek recertification from the Department of Education on a regular basis in order to continue their participation in the Title IV programs. An institution must also apply for recertification by the Department of Education if it undergoes a change in control, as defined by Department of Education regulations, and may be subject to similar review if it expands its operations or educational programs in certain ways.</w:t>
      </w:r>
    </w:p>
    <w:p>
      <w:pPr>
        <w:spacing w:after="0" w:line="171"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On October 28, 2013, the University received a new program participation agreement with full certification from the Department of Education, which gives the University the ability to participate in the Title IV programs through September 30, 2017. See Item 1, </w:t>
      </w:r>
      <w:r>
        <w:rPr>
          <w:rFonts w:ascii="Arial" w:cs="Arial" w:eastAsia="Arial" w:hAnsi="Arial"/>
          <w:sz w:val="17"/>
          <w:szCs w:val="17"/>
          <w:i w:val="1"/>
          <w:iCs w:val="1"/>
          <w:color w:val="auto"/>
        </w:rPr>
        <w:t>Business — Regulation — Regulation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Federal Student Financial Aid Programs — Eligibility and certification procedures</w:t>
      </w:r>
      <w:r>
        <w:rPr>
          <w:rFonts w:ascii="Arial" w:cs="Arial" w:eastAsia="Arial" w:hAnsi="Arial"/>
          <w:sz w:val="17"/>
          <w:szCs w:val="17"/>
          <w:color w:val="auto"/>
        </w:rPr>
        <w:t>. There can be no assurance that the Department of Education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recertify us at that time or that it will not impose conditions or other restrictions on us as a condition of approving our application with respect to any future recertification. See Item 1A, </w:t>
      </w:r>
      <w:r>
        <w:rPr>
          <w:rFonts w:ascii="Arial" w:cs="Arial" w:eastAsia="Arial" w:hAnsi="Arial"/>
          <w:sz w:val="17"/>
          <w:szCs w:val="17"/>
          <w:i w:val="1"/>
          <w:iCs w:val="1"/>
          <w:color w:val="auto"/>
        </w:rPr>
        <w:t>Risk Factors — If any of the education regulatory agencies that regulate us do not approve or delay their approval of any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transaction involving us that constitutes a “change in control,” our ability to operate or participate in the Title IV programs may be impaired. </w:t>
      </w:r>
      <w:r>
        <w:rPr>
          <w:rFonts w:ascii="Arial" w:cs="Arial" w:eastAsia="Arial" w:hAnsi="Arial"/>
          <w:sz w:val="17"/>
          <w:szCs w:val="17"/>
          <w:color w:val="auto"/>
        </w:rPr>
        <w:t>If the</w:t>
      </w:r>
      <w:r>
        <w:rPr>
          <w:rFonts w:ascii="Arial" w:cs="Arial" w:eastAsia="Arial" w:hAnsi="Arial"/>
          <w:sz w:val="17"/>
          <w:szCs w:val="17"/>
          <w:i w:val="1"/>
          <w:iCs w:val="1"/>
          <w:color w:val="auto"/>
        </w:rPr>
        <w:t xml:space="preserve"> </w:t>
      </w:r>
      <w:r>
        <w:rPr>
          <w:rFonts w:ascii="Arial" w:cs="Arial" w:eastAsia="Arial" w:hAnsi="Arial"/>
          <w:sz w:val="17"/>
          <w:szCs w:val="17"/>
          <w:color w:val="auto"/>
        </w:rPr>
        <w:t>Department of Education does not renew or withdraws our certification to participate in the Title IV programs at any time, our students would no longer be able to receive Title IV program funds. Alternatively, the Department of Education could renew our certification, but restrict or delay our students’ receipt of Title IV funds, limit the number of students to whom we could disburse such funds, or place other restrictions on us, or it could delay our recertification after our program participation agreement expires on September 30, 2017, in which case our certification would continue on a month-to-month basis. Any of these outcomes could have a material adverse effect on our enrollments and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Rulemaking by the U.S. Department of Education could materially and adversely affect our business.</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Over the past few years, the U.S. Department of Education has regularly promulgated new regulations that impact our business. See “Item 1. Business —Regulation.”</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regulations have increased our operating costs and in some cases required us to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the proprietary sector, could further negatively impact our business.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Increased disclosure and recordkeeping requirements could result in lower enrollment or growth rates in a manner that materially and adversely affects our business.</w:t>
      </w:r>
    </w:p>
    <w:p>
      <w:pPr>
        <w:spacing w:after="0" w:line="17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Department of Education rules require that, for each program leading to “gainful employment” in a recognized occupation, institutions must provide prospective students with information concerning the occupation that the program prepares students to enter, the program’s on-time graduation rate, and the tuition and fees it charges a student for completing the program within normal time, as well as the costs of books, supplies, room, and board, and the median loan debt incurred by students who completed the program. Institutions must also provide the Department of Education with information that will allow determination of student debt levels and incomes after program completion. These reporting and disclosure requirements have caused increased administrative burden and costs and may have a negative effect on our growth and enrollments.</w:t>
      </w:r>
    </w:p>
    <w:p>
      <w:pPr>
        <w:spacing w:after="0" w:line="178"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A reduction in funding or new restrictions on eligibility for the Federal Pell Grant Program, or the elimination of subsidized Stafford loans, could make college less affordable for certain students at our institution, which could negatively impact our enrollments, revenue and results of operations.</w:t>
      </w:r>
    </w:p>
    <w:p>
      <w:pPr>
        <w:spacing w:after="0" w:line="10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U.S. Congress must periodically reauthorize the Higher Education Act and annually determine the funding level for each Title IV program. In 2008, the Higher Education Act was reauthorized through September 30, 2013 by the Higher Education Opportunity Act. Changes to the Higher Education Act, including changes in eligibility and funding for Title IV programs, are likely to occur in subsequent reauthorizations, but we cannot predict the scope or substance of any such changes.</w:t>
      </w:r>
    </w:p>
    <w:p>
      <w:pPr>
        <w:spacing w:after="0" w:line="187"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In recent years, there has been increased focus by Congress on the role that proprietary educational institutions play in higher education. See “Item 1. Business – Regulation – Regulation of Federal Student Financial Aid – Congressional action.”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17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continued scrutiny in Congress of the proprietary education sector and the federal budget deficit increases the likelihood of legislation that will adversely impact our business. Any action by Congress that significantly reduces Title IV program funding, whether through across-the-board funding reductions, sequestration or otherwise, or materially impacts the eligibility of our institutions or students to participate in Title IV programs would have a material adverse effect on our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ectPr>
          <w:pgSz w:w="11900" w:h="16838" w:orient="portrait"/>
          <w:cols w:equalWidth="0" w:num="1">
            <w:col w:w="11400"/>
          </w:cols>
          <w:pgMar w:left="240" w:top="459" w:right="25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00"/>
          </w:cols>
          <w:pgMar w:left="240" w:top="459" w:right="2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If Congress significantly reduced the amount of available Title IV program funding, we would attempt to arrange for alternative sources of financial aid for our students, which may include lending funds directly to our students, but private sources may not be able to provide as much funding to our students on as favorable terms as is currently provided by Title IV. In addition, private organizations could require us to guarantee all or part of this assistance and we might incur other additional costs. For these reasons, private, alternative sources of student financial aid would only partly offset, if at all, the impact on our business of reduced Title IV program funding.</w:t>
      </w:r>
    </w:p>
    <w:p>
      <w:pPr>
        <w:spacing w:after="0" w:line="188"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If we do not meet specific financial responsibility standards established by the Department of Education, we may be required to post a letter of credit or accept other limitations in order to continue participating in the Title IV programs, or we could lose our eligibility to participate in the Title IV programs.</w:t>
      </w:r>
    </w:p>
    <w:p>
      <w:pPr>
        <w:spacing w:after="0" w:line="10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the Department of Education, or post a letter of credit in favor of the Department of Education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If, in the future, we fail to satisfy the Department of Education’s financial responsibility standards, we could experience increased regulatory compliance costs or delays in our receipt of Title IV program funds because we could be required to post a letter of credit or be subjected to operating restrictions, or both. Our failure to secure a letter of credit in these circumstances could cause us to lose our ability to participate in the Title IV programs, which would materially adversely affect us.</w:t>
      </w:r>
    </w:p>
    <w:p>
      <w:pPr>
        <w:spacing w:after="0" w:line="16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b w:val="1"/>
          <w:bCs w:val="1"/>
          <w:i w:val="1"/>
          <w:iCs w:val="1"/>
          <w:color w:val="auto"/>
        </w:rPr>
        <w:t>If we do not comply with the Department of Education’s administrative capability standards, we could suffer financial penalties, be required to accept other limitations in order to continue participating in the Title IV programs, or lose our eligibility to participate in the Title IV programs.</w:t>
      </w:r>
    </w:p>
    <w:p>
      <w:pPr>
        <w:spacing w:after="0" w:line="124"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To continue participating in the Title IV programs, an institution must demonstrate to the Department of Education that the institution is capable of adequately administering the Title IV programs under specific standards prescribed by the Department of Education. These administrative capability criteria require, among other things, the institution to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If we fail to satisfy any of these criteria, the Department of Education may assess financial penalties against us, restrict the manner in which we receive Title IV funds, require us to post a letter of credit, place us on provisional certification status, or limit or terminate our participation in the Title IV programs, any of which could materially adversely affect us.</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would lose our ability to participate in the Title IV programs if we fail to maintain our institutional accreditation, and our student enrollments could decline if we fail to maintain any of our accreditations or approvals.</w:t>
      </w:r>
    </w:p>
    <w:p>
      <w:pPr>
        <w:spacing w:after="0" w:line="17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An institution must be accredited by an accrediting commission recognized by the Department of Education in order to participate in the Title IV programs. We have institutional accreditation by the Higher Learning Commission, which is an accrediting commission recognized by the Department of Education. To remain accredited, we must continuously meet accreditation standards relating to, among other things, performance, institutional control, institutional integrity, educational quality, faculty, administrative capability, resources, and financial stability. We were reaccredited by the Higher Learning Commission in 2007, and the next scheduled comprehensive evaluation will be conducted in 2016-2017. If we fail to satisfy any of the Higher Learning Commission’s standards, we could lose our accreditation by the Higher Learning Commission, which would cause us to lose our eligibility to participate in the Title IV programs, could cause a significant decline in our total student enrollments, and could have a material adverse effect on us. In addition, many of our individual educational programs are also accredited by specialized accrediting commissions or approved by specialized state agencies. If we fail to satisfy the standards of any of those specialized accrediting commissions or state agencies, we could lose the specialized accreditation or approval for the affected programs, which could result in materially reduced student enrollments in those programs and have a material adverse effect on 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finding that we violated the Department of Education’s substantial misrepresentation regulation could materially and adversely affect our business.</w:t>
      </w:r>
    </w:p>
    <w:p>
      <w:pPr>
        <w:spacing w:after="0" w:line="248"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Higher Education Act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Considering the breadth of the definition of “substantial misrepresentation,” it is possible that despite our efforts to prevent such misrepresentations, our employees or service providers may make statements that could be construed as substantial misrepresentations. As a result, we may face complaints from students and prospective students over statements made by us and our agents throughout the enrollment, admissions and financial aid process, as well as throughout attendance at the University, which would expose us to increased risk of enforcement action and applicable sanctions or other penalties and increased risk of private qui tam actions under the Federal False Claims Act. Under the new rules, if the Department of Education determines that an institution has engaged in substantial misrepresentation, the Department of Education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If the Department of Education determines that statements made by us or on our behalf are in violation of the regulations, we could be subject to sanctions and other liability, which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our state authorization in Arizona, we may not operate or participate in the Title IV programs.</w:t>
      </w:r>
    </w:p>
    <w:p>
      <w:pPr>
        <w:spacing w:after="0" w:line="22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 school that grants degrees or certificates must be authorized by the relevant education agency of the state in which it is located. We are located in the state of Arizona and are authorized by the Arizona State Board for Private Postsecondary Education. State authorization is also required for our students to be eligible to receive funding under the Title IV programs. To maintain our state authorization, we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we fail to satisfy any of these standards, we could lose our authorization by the Arizona State Board for Private Postsecondary Education to offer our educational programs, which would also cause us to lose our eligibility to participate in the Title IV programs and have a material adverse effect on us.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any of the education regulatory agencies that regulate us do not approve or delay their approval of any transaction involving us that constitutes a “change in control,” our ability to operate or participate in the Title IV programs may be impaired.</w:t>
      </w:r>
    </w:p>
    <w:p>
      <w:pPr>
        <w:spacing w:after="0" w:line="170"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If we experience a change in control under the standards of the Department of Education, the Higher Learning Commission, the Arizona State Board for Private Postsecondary Education, or any other applicable state education agency or accrediting commission, we must notify and/or seek the approval of each such agency. These agencies do not have uniform criteria for what constitutes a change in control. Transactions or events that typically constitute a change in control include significant acquisitions or dispositions of the voting stock of an institution or its parent company and significant changes in the composition of the board of directors of an institution or its parent company. With respect to publicly traded corporations, like us, they also may include cases where a corporation has a stockholder that owns, or has voting control over, at least 25% of the total outstanding voting stock of the corporation and is the largest stockholder of the corporation (defined in the regulations as a “controlling shareholder”), and that controlling shareholder ceases to own, or have voting control over, at least 25% of such stock or ceases to be the largest stockholder, or other transactions or events may be beyond our control. Our failure to obtain, or a delay in receiving, approval of any change in control from the Department of Education, the Higher Learning Commission, or the Arizona State Board for Private Postsecondary Education could impair our ability to operate or participate in the Title IV programs, which could have a material adverse effect on our business, prospects, financial condition, and results of operations. Our failure to obtain, or a delay in receiving, approval of any change in control from any other state in which we are currently licensed or authorized, or from any of our specialized accrediting commissions, could require us to suspend our activities in that state or suspend offering the applicable programs until we receive the required approval, or could otherwise impair our operations. The potential adverse effects of a change in control could influence future decisions by us and our stockholders regarding the sale, purchase, transfer, issuance, or redemption of our stock, which could discourage bids for your shares of our stock and could have an adverse effect on the market price of your shares.</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failure to comply with the regulatory requirements of states other than Arizona could result in actions taken by those states or the Department of Education that could have a material adverse effect on our enrollments.</w:t>
      </w:r>
    </w:p>
    <w:p>
      <w:pPr>
        <w:spacing w:after="0" w:line="170"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 xml:space="preserve">Almost every state imposes regulatory requirements on educational institutions that have physical facilities located within the state’s boundaries. Individual state laws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the Department of Education or the Arizona State Board for Private Postsecondary Education.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 See Item 1. </w:t>
      </w:r>
      <w:r>
        <w:rPr>
          <w:rFonts w:ascii="Arial" w:cs="Arial" w:eastAsia="Arial" w:hAnsi="Arial"/>
          <w:sz w:val="17"/>
          <w:szCs w:val="17"/>
          <w:i w:val="1"/>
          <w:iCs w:val="1"/>
          <w:color w:val="auto"/>
        </w:rPr>
        <w:t>Business — Regulation — Regulation of Federal Student Financial Aid Programs — State</w:t>
      </w:r>
      <w:r>
        <w:rPr>
          <w:rFonts w:ascii="Arial" w:cs="Arial" w:eastAsia="Arial" w:hAnsi="Arial"/>
          <w:sz w:val="17"/>
          <w:szCs w:val="17"/>
          <w:color w:val="auto"/>
        </w:rPr>
        <w:t xml:space="preserve"> </w:t>
      </w:r>
      <w:r>
        <w:rPr>
          <w:rFonts w:ascii="Arial" w:cs="Arial" w:eastAsia="Arial" w:hAnsi="Arial"/>
          <w:sz w:val="17"/>
          <w:szCs w:val="17"/>
          <w:i w:val="1"/>
          <w:iCs w:val="1"/>
          <w:color w:val="auto"/>
        </w:rPr>
        <w:t>authorization</w:t>
      </w:r>
      <w:r>
        <w:rPr>
          <w:rFonts w:ascii="Arial" w:cs="Arial" w:eastAsia="Arial" w:hAnsi="Arial"/>
          <w:sz w:val="17"/>
          <w:szCs w:val="17"/>
          <w:color w:val="auto"/>
        </w:rPr>
        <w:t>. State regulatory requirements for online education vary among the states, are not well developed in many states, are imprecise or unclear in</w:t>
      </w:r>
      <w:r>
        <w:rPr>
          <w:rFonts w:ascii="Arial" w:cs="Arial" w:eastAsia="Arial" w:hAnsi="Arial"/>
          <w:sz w:val="17"/>
          <w:szCs w:val="17"/>
          <w:i w:val="1"/>
          <w:iCs w:val="1"/>
          <w:color w:val="auto"/>
        </w:rPr>
        <w:t xml:space="preserve"> </w:t>
      </w:r>
      <w:r>
        <w:rPr>
          <w:rFonts w:ascii="Arial" w:cs="Arial" w:eastAsia="Arial" w:hAnsi="Arial"/>
          <w:sz w:val="17"/>
          <w:szCs w:val="17"/>
          <w:color w:val="auto"/>
        </w:rPr>
        <w:t>some states, and can change frequently. 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ectPr>
          <w:pgSz w:w="11900" w:h="16838" w:orient="portrait"/>
          <w:cols w:equalWidth="0" w:num="1">
            <w:col w:w="11420"/>
          </w:cols>
          <w:pgMar w:left="240" w:top="459" w:right="2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459"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are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for which Arizona is a W-SARA member. There is a yearly renewal for participating in NC-SARA and AZ-SARA, and institutions must agree to meet certain requirements to participate.</w:t>
      </w:r>
    </w:p>
    <w:p>
      <w:pPr>
        <w:spacing w:after="0" w:line="17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Some states that do not participate in SARA impose regulatory requirements on out-of-state educational institutions operating within their boundaries, such as those having a physical facility or conducting certain academic activities within the state. We currently enroll students in all 50 states and the District of Columbia. Although we are currently licensed or authorized, in-process, or exempt in all non-SARA jurisdictions in which we operate, if we fail to comply with state licensing or authorization requirements for a state, or fail to obtain licenses or authorizations when required, we could lose our state licensure or authorization by that state or be subject to other sanctions, including restrictions on our activities in, and fines and penalties imposed by, that state, as well as fines, penalties, and sanctions imposed by the Department of Education. The loss of licensure or authorization in a state other than Arizona could prohibit us from recruiting prospective students or offering educational services to current students in that state, which could significantly reduce our enrollments.</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State laws and regulations are not always precise or clear, and regulatory agencies may sometimes disagree with the way we have interpreted or applied these requirements. Any misinterpretation by us of these regulatory requirements or adverse changes in regulations or interpretations thereof by regulators could materially adversely affect us.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inability of our graduates to obtain a professional license or certification in their chosen field of study could reduce our enrollments and revenues, and potentially lead to student claims against us that could be costly to us.</w:t>
      </w:r>
    </w:p>
    <w:p>
      <w:pPr>
        <w:spacing w:after="0" w:line="17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Many of our students, particularly those in our education and healthcare programs, seek a professional license or certification in their chosen fields following graduation. A student’s ability to obtain a professional license or certification depends on several factors, including whether the institution and the student’s program were accredited by a particular accrediting commission or approved by a professional association or by the state in which the student seeks employment. Additional factors are outside the control of the institution, such as the individual student’s own background and qualifications. If one or more states refuse to recognize a significant number of our students for professional licensing or certification based on factors relating to our institution or programs, the potential growth of those programs would be negatively impacted and we could be exposed to claims or litigation by students or graduates based on their inability to obtain their desired professional license or certification, each of which could materially adversely affect us.</w:t>
      </w:r>
    </w:p>
    <w:p>
      <w:pPr>
        <w:spacing w:after="0" w:line="16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Government agencies, regulatory agencies, and third parties may conduct compliance reviews, bring claims, or initiate litigation against us based on alleged violations of the extensive regulatory requirements applicable to us, which could cause us to pay monetary damages, be sanctioned or limited in our operations, and expend significant resources to defend against those claims.</w:t>
      </w:r>
    </w:p>
    <w:p>
      <w:pPr>
        <w:spacing w:after="0" w:line="18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Because we operate in a highly regulated industry, we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If the result of any such proceeding is unfavorable to us, we may lose or have limitations imposed on our state licensing, accreditation, or Title IV program participation; be required to pay monetary damages (including triple damages in certain whistleblower suits); or be subject to fines, injunctions, or other penalties, any of which could have a material adverse effect on our business, prospects, financial condition, and results of operations. Claims and lawsuits brought against us, even if they are without merit, may also result in adverse publicity, damage our reputation, negatively affect the market price of our stock, adversely affect our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 decline in the overall growth of enrollment in postsecondary institutions, or in the number of students seeking degrees online or in our core disciplines, could cause us to experience lower enrollment, which could negatively impact our future growth.</w:t>
      </w:r>
    </w:p>
    <w:p>
      <w:pPr>
        <w:spacing w:after="0" w:line="17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 larger percentage of students in existing markets and expand our markets by creating new academic programs. In addition, if job growth in the fields related to our core disciplines is weaker than expected, as a result of any regional or national economic downturn or otherwise, fewer students may seek the types of degrees that we offer. Our failure to attract new students, or the decisions by prospective students to seek degrees in other disciplines, would have an adverse impact on our future growth.</w:t>
      </w:r>
    </w:p>
    <w:p>
      <w:pPr>
        <w:spacing w:after="0" w:line="17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70"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Criticisms of the overall student lending and postsecondary education sectors may impact general public perceptions of educational institutions, including us, in a negative manner. Adverse media coverage regarding other educational institutions or regarding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such as the ones we make available to our students, could reduce student demand for our programs, adversely impact our revenues and operating profit or result in increased regulatory scrutiny.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reputation and our stock price may be negatively affected by adverse publicity or by the actions of other postsecondary educational institutions.</w:t>
      </w:r>
    </w:p>
    <w:p>
      <w:pPr>
        <w:spacing w:after="0" w:line="24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addition to the Congressional and regulatory activities focused on for-profit educational institutions beginning in 2010 and since, in recent years, regulatory proceedings and litigation have been commenced against various postsecondary educational institutions relating to, among other things, deceptive trade practices, false claims against the government, and non-compliance with Department of Education requirements, state education laws, and state consumer protection laws. These proceedings have been brought by the Department of Education, the U.S. Department of Justice, the SEC, and state governmental agencies, among others. These allegations have attracted adverse media coverage and have been the subject of legislative hearings and regulatory actions at both the federal and state levels, focusing not only on the individual schools but in some cases on the for-profit postsecondary education sector as a whole. Adverse media coverage regarding other for-profit education companies or other educational institutions could damage our reputation, result in lower enrollments, revenues, and operating profit, and have a negative impact on our stock price. Such coverage could also result in increased scrutiny and regulation by the Department of Education, Congress, accrediting commissions, state legislatures, state attorneys general, or other governmental authorities of all educational institutions, including us.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percentage of our revenue that is derived from the Title IV programs is too high, we may lose our eligibility to participate in those programs.</w:t>
      </w:r>
    </w:p>
    <w:p>
      <w:pPr>
        <w:spacing w:after="0" w:line="24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 requirement of the Higher Education Act, commonly referred to as the “90/10 Rule,” that is applicable only to for-profit, postsecondary educational institutions like us provides that an institution loses its eligibility to participate in the Title IV programs if the institution derives more than 90% of its revenue for each of two consecutive fiscal years from Title IV program funds. For purposes of the 90/10 Rule, revenue is calculated under a complex regulatory formula that requires cash basis accounting and other adjustments to the calculation of an institution’s revenue under generally accepted accounting principles that appears in its consolidated financial statements. Under the 90/10 Rule, an institution becomes ineligible to participate in the Title IV programs as of the first day of the fiscal year following the second consecutive fiscal year in which it exceeds the 90% threshold, and its period of ineligibility extends for at least two consecutive fiscal years. If an institution exceeds the 90% threshold for two consecutive fiscal years and it and its students have received Title IV funds during the subsequent period of ineligibility, the institution will be required to return those Title IV funds to the applicable lender or the Department of Education. If an institution’s rate exceeds 90% for any single fiscal year, it will be placed on provisional certification for at least two fiscal years.</w:t>
      </w:r>
    </w:p>
    <w:p>
      <w:pPr>
        <w:spacing w:after="0" w:line="167"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Using the Department of Education’s cash-basis, regulatory formula under the 90/10 Rule as currently in effect, for our 2015, 2014, and 2013 fiscal years, we derived approximately 74.8%, 76.5%, and 78.5%, respectively, of our 90/10 Rule revenue from Title IV program funds.</w:t>
      </w:r>
    </w:p>
    <w:p>
      <w:pPr>
        <w:spacing w:after="0" w:line="14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As a result of the continuing increase in the number of students attending our ground campus, who typically finance a greater percentage of their educational costs with non-Title IV sources of funds, we expect the percentage of our revenue that we receive from Title IV programs to remain stable or decrease in the future, although this may be impacted by recent changes in federal law that increased Title IV grant and loan limits, as well as the ongoing economic environment, which has adversely affected the employment circumstances of our students and their parents and increased their reliance on Title IV programs. If we were to exceed the 90% threshold for two consecutive years such that we lost our eligibility to participate in the Title IV programs, or if Congress passed legislation changing how certain funds are counted under this rule, revising the percentage of income that proprietary schools must derive from non-federal sources, or both, it would have a material adverse effect on our business, prospects, financial condition, and results of operations.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eligibility to participate in the Title IV programs if our student loan default rates are too high.</w:t>
      </w:r>
    </w:p>
    <w:p>
      <w:pPr>
        <w:spacing w:after="0" w:line="225"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An institution may lose its eligibility to participate in some or all of the Title IV programs if, for three consecutive years, 30% or more of its students who were required to begin repayment on their student loans in one year default on their payment by the end of the second year. In addition, an institution may lose its eligibility to participate in some or all of the Title IV programs if the default rate of its students exceeds 40% for any single year. While our cohort default rates have historically been significantly below these levels, we cannot assure you that this will continue to be the case. For example, we believe our cohort default rates for the 2010 and 2011 federal fiscal year increased (although both remain below the Department of Education’s thresholds) due primarily to the impact of current economic conditions on our students and former students and our transition to a borrower-based, non-term financial aid system in the Fall of 2010. Our cohort default rates for the 2012, 2011 and 2010 federal fiscal years were 10.3%, 15.7% and 19.0%, respectively. Increases in interest rates or declines in income or job losses for our students could contribute to higher default rates on student loans. Exceeding the student loan default rate thresholds and losing our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our default rates to increase, could place us in danger of losing our eligibility to participate in some or all of the Title IV programs and materially adversely affect us.</w:t>
      </w:r>
    </w:p>
    <w:p>
      <w:pPr>
        <w:spacing w:after="0" w:line="1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subject to sanctions if we fail to correctly calculate and timely return Title IV program funds for students who withdraw before completing their educational program.</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the Department of Education in a timely manner, generally within 45 days of the date the school determines that the student has withdrawn. If the unearned funds are not properly calculated and timely returned for a sufficient percentage of students, we may have to post a letter of credit in favor of the Department of Education equal to 25% of the Title IV program funds that should have been returned for such students in the prior fiscal year, we may be liable for repayment of Title IV program funds and related interest and we could be fined or otherwise sanctioned by the Department of Education, which could increase our cost of regulatory compliance and materially adversely affect us. Further, a failure to comply with these regulatory requirements could result in termination of our ability to participate in the Title IV programs, which would materially affect us.</w:t>
      </w:r>
    </w:p>
    <w:p>
      <w:pPr>
        <w:spacing w:after="0" w:line="17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We cannot offer new programs, expand our operations into certain states, or acquire additional schools if such actions are not timely approved by the applicable regulatory agencies, and we may have to repay Title IV funds disbursed to students enrolled in any such programs, schools, or states if we do not obtain prior approval.</w:t>
      </w:r>
    </w:p>
    <w:p>
      <w:pPr>
        <w:spacing w:after="0" w:line="181"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Our expansion efforts include offering new educational programs. In addition, we may increase our operations in additional states and seek to acquire existing schools from other companies. If we are unable to obtain the necessary approvals for such new programs, operations, or acquisitions from the Department of Education, the Higher Learning Commission, the Arizona State Board for Private Postsecondary Education, or any other applicable state education agency or accrediting commission, or if we are unable to obtain such approvals in a timely manner, our ability to consummate the planned actions and provide Title IV funds to any affected students would be impaired, which could have a material adverse effect on our expansion plans. In addition, if we were to determine erroneously that a new program did not need approval or that we had all required approvals, we could be liable for repayment of the Title IV program funds provided to students in that program or at that location.</w:t>
      </w:r>
    </w:p>
    <w:p>
      <w:pPr>
        <w:spacing w:after="0" w:line="17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Government regulations relating to the Internet could increase our cost of doing business, affect our ability to grow or otherwise have a material adverse effect on our business.</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popularity and use of the Internet and other online services has led and may lead to the adoption of new laws and regulatory practices in the United States or foreign countries and to new interpretations of existing laws and regulations. These new laws and interpretations may relate to issues such as online privacy, copyrights, trademarks and service marks, sales taxes, fair business practices, and the requirement that online education institutions qualify to do business as foreign corporations or be licensed in one or more jurisdictions where they have no physical location or other presence. New laws and regulations or interpretations thereof related to doing business over the Internet could increase our costs and adversely affect our business, prospects, financial condition, and results of operations.</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in part, on the effectiveness of our marketing and advertising programs in recruiting new students.</w:t>
      </w:r>
    </w:p>
    <w:p>
      <w:pPr>
        <w:spacing w:after="0" w:line="225"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Building awareness of Grand Canyon University and the programs we offer is critical to our ability to attract prospective students. It is also critical to our success that we convert prospective students to enrolled students in a cost-effective manner and that these enrolled students remain active in our programs. Some of the factors that could prevent us from successfully recruiting, enrolling, and retaining students in our programs include:</w:t>
      </w:r>
    </w:p>
    <w:p>
      <w:pPr>
        <w:spacing w:after="0" w:line="52" w:lineRule="exact"/>
        <w:rPr>
          <w:sz w:val="20"/>
          <w:szCs w:val="20"/>
          <w:color w:val="auto"/>
        </w:rPr>
      </w:pPr>
    </w:p>
    <w:p>
      <w:pPr>
        <w:ind w:left="1480" w:hanging="446"/>
        <w:spacing w:after="0"/>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reduced availability of, or higher interest rates and other costs associated with, Title IV loan funds or other sources of financial aid;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emergence of more successful competitors;</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factors related to our marketing, including the costs and effectiveness of Internet advertising and broad-based branding campaigns and recruiting efforts;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performance problems with our online systems;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maintain institutional and specialized accreditations;</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requirements of the education agencies that regulate us which restrict schools’ initiation of new programs and modification of existing programs;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requirements of the education agencies that regulate us which restrict the ways schools can compensate their recruitment personnel;</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regulation of online education, including in states in which we do not have a physical presence;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that may be imposed on graduates of online programs that seek certification or licensure in certain states;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student dissatisfaction with our services and programs;</w:t>
      </w:r>
    </w:p>
    <w:p>
      <w:pPr>
        <w:spacing w:after="0" w:line="130" w:lineRule="exact"/>
        <w:rPr>
          <w:rFonts w:ascii="Arial" w:cs="Arial" w:eastAsia="Arial" w:hAnsi="Arial"/>
          <w:sz w:val="18"/>
          <w:szCs w:val="18"/>
          <w:color w:val="auto"/>
        </w:rPr>
      </w:pPr>
    </w:p>
    <w:p>
      <w:pPr>
        <w:ind w:left="1480" w:right="300" w:hanging="446"/>
        <w:spacing w:after="0" w:line="277" w:lineRule="auto"/>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reductions by competitors that we are unwilling or unable to match;</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decline in the acceptance of online education;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in the perceived or actual economic benefits that students derive from our programs.</w:t>
      </w:r>
    </w:p>
    <w:p>
      <w:pPr>
        <w:spacing w:after="0" w:line="22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If we are unable to continue to develop awareness of Grand Canyon University and the programs we offer, and to recruit, enroll, and retain students, our enrollments would suffer and our ability to increase revenues and maintain profitability would be significantly impaired.</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rules and regulations as a result of our membership with the National Collegiate Athletic Association (NCAA) and any violations of such rules or regulations could adversely affect our reputation and operations.</w:t>
      </w:r>
    </w:p>
    <w:p>
      <w:pPr>
        <w:spacing w:after="0" w:line="17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Strict observance of rules and regulations contribute to the success of our athletic program. It is the responsibility of the University administration and the Athletic Department to adhere to all regulations created for the governance of intercollegiate athletics as set forth by the Western Athletic Conference (“WAC”), NCAA, and Grand Canyon University. The move from Division II to Division I was effective July 1, 2013 and demonstrated our commitment to athletic excellence and has enhanced our visibility. Any violations of such rules and regulations could adversely affect our reputation and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adversely affected by economic conditions in the U.S. or abroad.</w:t>
      </w:r>
    </w:p>
    <w:p>
      <w:pPr>
        <w:spacing w:after="0" w:line="225" w:lineRule="exact"/>
        <w:rPr>
          <w:sz w:val="20"/>
          <w:szCs w:val="20"/>
          <w:color w:val="auto"/>
        </w:rPr>
      </w:pPr>
    </w:p>
    <w:p>
      <w:pPr>
        <w:ind w:right="120" w:firstLine="456"/>
        <w:spacing w:after="0" w:line="269" w:lineRule="auto"/>
        <w:rPr>
          <w:sz w:val="20"/>
          <w:szCs w:val="20"/>
          <w:color w:val="auto"/>
        </w:rPr>
      </w:pPr>
      <w:r>
        <w:rPr>
          <w:rFonts w:ascii="Arial" w:cs="Arial" w:eastAsia="Arial" w:hAnsi="Arial"/>
          <w:sz w:val="17"/>
          <w:szCs w:val="17"/>
          <w:color w:val="auto"/>
        </w:rPr>
        <w:t>The U.S. and many other industrialized countries are experiencing challenging economic circumstances, including high unemployment, uncertainty about financial markets and, in many cases, economic malaise or recession. We believe the economic circumstances in the U.S., in particular the continued high unemployment rate, has contributed to a portion of our increased enrollment growth as an increasing number of working adults seek to continue to advance their education to improve job security or new employment prospects. This effect cannot be quantified. However, to the extent that the economic circumstances and high unemployment have increased demands for our programs, an improving economy and increased employment may negate this effect and reduce such demand as fewer students seek to advance their education in favor of participating in the workforce. This decline could have a material adverse effect on our business, financial condition, results of operations and cash flows. Alternatively, a worsening of economic and employment conditions may reduce the ability of employers to sponsor educational opportunities for their employees, which could adversely impact our enrollment. In addition, continued deterioration in our economy and employment opportunities could adversely affect the ability of our former students to repay student loans, which could increase our bad debt expense and our student loan cohort default rate, which would require increased focus and attention to manage these defaults, which could have a material adverse effect on our business.</w:t>
      </w:r>
    </w:p>
    <w:p>
      <w:pPr>
        <w:sectPr>
          <w:pgSz w:w="11900" w:h="16838" w:orient="portrait"/>
          <w:cols w:equalWidth="0" w:num="1">
            <w:col w:w="11420"/>
          </w:cols>
          <w:pgMar w:left="240" w:top="459" w:right="239" w:bottom="1440" w:gutter="0" w:footer="0" w:header="0"/>
        </w:sectPr>
      </w:pP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students fail to pay their outstanding balances owed to us, our business may be harmed.</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From time to time, students, including former students, may carry balances on portions of their education expense not covered by financial aid programs. These balances are unsecured and not guaranteed. We have historically been successful in collecting our accounts receivable, including those due from former students as a result of the return to Title IV requirement, because the amount owed by a particular student that is in excess of the amount of financial aid that the student earned and that we are entitled to retain is often quite small. Due primarily to the ongoing economic conditions, we believe that the level of motivation that former students have to pay off their balances due to us, based on such factors as being able to receive transcripts or protecting their credit, has lessened over time. If the United States continues to experience reduced economic activity and high unemployment, it could continue to have an adverse effect on the ability or willingness of our former students to repay amounts due to us. As a result, losses related to unpaid student balances in excess of our allowance for doubtful accounts, or the failure of students to repay their debt obligations,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industry, and competitors with greater resources could harm our business.</w:t>
      </w:r>
    </w:p>
    <w:p>
      <w:pPr>
        <w:spacing w:after="0" w:line="225"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postsecondary education market is highly fragmented and competitive. We compete for students primarily with traditional public and four-year degree-granting regionally accredited colleges and universities and other proprietary degree-granting regionally accredited schools. An increasing number of traditional colleges and universities and community colleges are offering distance learning and other online education programs, including programs that are geared toward the needs of working adult students. This trend has been accelerated by private companies that provide and/or manage online learning platforms for traditional colleges and universities. As the proportion of traditional colleges and universities providing alternative learning modalities increases, we will face increasing competition for students from such institutions, including those with well-established reputations for excellence. In addition, it is likely that we will begin to face competition from various emerging nontraditional, credit-bearing and noncredit-bearing education programs, provided by both proprietary and not-for-profit providers, including massive open online courses (MOOCs) offered worldwide without charge by traditional educational institutions and other direct-to-consumer education services. Each of these competitors may develop platforms or other technologies, including technologies that allow for greater levels of interactivity between faculty and students and that are superior to the platform and technology we use, and these differences may affect our ability to recruit and retain students. Public institutions receive substantial government subsidies, and public and private non-profit institutions have access to government and foundation grants, tax-deductible contributions, and other financial resources generally not available to for-profit schools. Accordingly, public and private non-profit institutions may have instructional and support resources superior to those in the for-profit sector, and public institutions may be able to offer substantially lower tuition prices. Some of our competitors in both the public and private sectors also have substantially greater financial and other resources than we do. We may not be able to compete successfully against current or future competitors, including with respect to our ability to acquire or compete with technologies being developed by our competitors, and may face competitive pressures that could adversely affect our business, prospects, financial condition, and results of operations. These competitive factors could cause our enrollments, revenues, and profitability to significantly decrease and could render our online delivery format less competitive or obsolete.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maintain existing, and develop additional, relationships with employers, our future growth may be impaired.</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currently have relationships with large school districts and healthcare systems, primarily in Arizona, and also have relationships with national and international employers, to provide their employees with the opportunity to obtain degrees through us while continuing their employment. These relationships are an important part of our strategy as they provide us with a steady source of potential working adult students for particular programs and also serve to increase our reputation among high-profile employers. As a result of economic conditions, a number of employers we work with have reduced the extent to which they reimburse their employees for participating in our programs. If we are unable to develop new relationships, or if our existing relationships deteriorate or end as a result of current or future economic conditions affecting employers or otherwise, our efforts to seek these sources of potential working adult students will be impaired, and this could materially and adversely affect our business, prospects, financial condition, and results of operations.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effectively manage our growth could harm our business.</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business continues to experience rapid growth. Growth and expansion of our operations place a significant strain on our resources and increase demands on our executive management team, management information and reporting systems, financial management controls and personnel, and regulatory compliance systems and personnel. We may not be able to maintain or accelerate our current growth rate, effectively manage our expanding operations, or achieve planned growth on a timely or profitable basis. If we are unable to manage our growth effectively, we may experience operating inefficiencies and our earnings may be materially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recruit and retain key personnel.</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success to date has largely depended on, and will continue to depend on, the skills, efforts, and motivation of our executive officers, who generally have significant experience with our University and within the education industry. Our success also largely depends on our ability to attract and retain highly qualified faculty, school administrators, and additional corporate management personnel. We may have difficulties in locating and hiring qualified personnel and in retaining such personnel once hired. In addition, because we operate in a highly competitive industry, our hiring of qualified executives or other personnel may cause us or such persons to be subject to lawsuits alleging misappropriation of trade secrets, improper solicitation of employees, or other claims.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82"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b w:val="1"/>
          <w:bCs w:val="1"/>
          <w:i w:val="1"/>
          <w:iCs w:val="1"/>
          <w:color w:val="auto"/>
        </w:rPr>
        <w:t>The protection of our operations through exclusive proprietary rights and intellectual property is limited, and from time to time we encounter disputes relating to our use of intellectual property of third parties, any of which could harm our operations and prospects.</w:t>
      </w:r>
    </w:p>
    <w:p>
      <w:pPr>
        <w:spacing w:after="0" w:line="147"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In the ordinary course of our business we develop intellectual property of many kinds that is or will be the subject of copyright, trademark, service mark, patent, trade secret, or other protections. This intellectual property includes but is not limited to courseware materials and business know-how and internal processes and procedures developed to respond to the requirements of operating our business and to comply with the rules and regulations of various education regulatory agencies. We rely on a combination of copyrights, trademarks, service marks, trade secrets, domain names, and agreements to protect our intellectual property. We rely on service mark and trademark protection in the United States to protect our rights to the mark “Grand Canyon University,” as well as distinctive logos and other marks associated with our services. We rely on agreements under which we obtain rights to use course content developed by faculty members and other third party content experts, as well as license agreements pursuant to which we license the right to brand certain of our program offerings. We cannot assure you that the measures that we take will be adequate or that we have secured, or will be able to secure, appropriate protections for all of our proprietary rights in the United States or select foreign jurisdictions, or that third parties will not infringe upon or violate our proprietary rights. Unauthorized third parties may attempt to duplicate or copy the proprietary aspects of our curricula, online resource material, and other content, and offer competing programs to ours.</w:t>
      </w:r>
    </w:p>
    <w:p>
      <w:pPr>
        <w:spacing w:after="0" w:line="183"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In particular, we license the right to utilize the name of Jerry Colangelo in connection with our business school and our Colangelo School of Sports Business that we operate within our business school, and we have spent significant resources in related branding efforts. Nevertheless, these license agreements may terminate or expire, or otherwise may not necessarily be extended in the future. In addition, third parties may attempt to develop competing programs or copy aspects of our curriculum, online resource material, quality management, and other proprietary content. The termination of this license agreement, or attempts to compete with or duplicate our programs, if successful, could adversely affect our business. Protecting these types of intellectual property rights can be difficult, particularly as it relates to the development by our competitors of competing courses and programs.</w:t>
      </w:r>
    </w:p>
    <w:p>
      <w:pPr>
        <w:spacing w:after="0" w:line="16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We may from time to time encounter disputes over rights and obligations concerning intellectual property, and we may not prevail in these disputes. In certain instances, we may not have obtained sufficient rights in the content of a course. Third parties may raise a claim against us alleging an infringement or violation of the intellectual property of that third party. Some third-party intellectual property rights may be extremely broad, and it may not be possible for us to conduct our operations in such a way as to avoid those intellectual property rights. Any such intellectual property claim could subject us to costly litigation and impose a significant strain on our financial resources and management personnel regardless of whether such claim has merit, and we may be required to alter the content of our classes or pay monetary damages, which may be significant.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may restrict our operations and our ability to complete certain transactions.</w:t>
      </w:r>
    </w:p>
    <w:p>
      <w:pPr>
        <w:spacing w:after="0" w:line="22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Our credit agreement, which we entered into in December 2012, imposes certain operating restrictions on us, including limitations on our ability to incur additional debt or make certain investments, and requires us to maintain compliance with certain applicable regulatory standards. In addition, the credit agreement requires us to maintain a maximum leverage ratio, a minimum fixed charge coverage ratio and a minimum tangible net worth, in each case as such terms are defined in the credit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comply with environmental laws and regulations governing our activities could result in financial penalties and other costs.</w:t>
      </w:r>
    </w:p>
    <w:p>
      <w:pPr>
        <w:spacing w:after="0" w:line="23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We use hazardous materials at our ground campus and generate small quantities of waste, such as used oil, antifreeze, paint, car batteries, and laboratory materials. As a result, we are subject to a variety of environmental laws and regulations governing, among other things, the use, storage, and disposal of solid and hazardous substances and waste, and the clean-up of contamination at our facilities or off-site locations to which we send or have sent waste for disposal. In the event we do not maintain compliance with any of these laws and regulations, or are responsible for a spill or release of hazardous materials, we could incur significant costs for clean-up, damages, and fines, or penalties which could adversely impact our business, prospects,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actions, errors, or instances of regulatory noncompliance of third party vendors upon which our institutions rely may negatively impact our business.</w:t>
      </w:r>
    </w:p>
    <w:p>
      <w:pPr>
        <w:spacing w:after="0" w:line="26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engage third party vendors to provide, among other services, marketing and recruiting activities. Although we require that the work done by such third parties maintains quality assurance and compliance with applicable regulations, we may be ultimately responsible for any errors on instances of regulatory noncompliance, some of which could adversely impact our reputation, business, prospects, financial condition, cash flows,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keep pace with changing market needs and technology could harm our ability to attract students.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success depends to a large extent on the willingness of employers to employ, promote, or increase the pay of our graduates. Increasingly, employers demand that their new employees possess appropriate technical and analytical skills and also appropriate interpersonal skills, such as communication, and teamwork skills. These skills can evolve rapidly in a changing economic and technological environment. Accordingly, it is important that our educational programs evolve in response to those economic and technological changes. The expansion of existing academic programs and the development of new programs may not be accepted by current or prospective students or by the employers of our graduates. Even if we are able to develop acceptable new programs, we may not be able to begin offering those new programs in a timely fashion or as quickly as our competitors offer similar programs. If we are unable to adequately respond to changes in market requirements due to regulatory or financial constraints, unusually rapid technological changes, or other factors, the rates at which our graduates obtain jobs in their fields of study could suffer, our ability to attract and retain students could be impaired, and our business, prospects, financial condition, and results of operations could be adversely affected.</w:t>
      </w:r>
    </w:p>
    <w:p>
      <w:pPr>
        <w:spacing w:after="0" w:line="182"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We have invested significant resources to develop and implement features that enhance the online classroom experience, such as delivering course content through streaming video, simulations, and other interactive enhancements.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implement our growth strategy if we are not able to improve the content of our existing academic programs or to develop new programs on a timely basis and in a cost-effective manner, or at all.</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continually seek to improve the content of our existing programs and develop new programs in order to meet changing market needs. The success of any of our programs and courses, both ground and online, depends in part on our ability to expand the content of our existing programs, develop new programs in a cost-effective manner, and meet the needs of existing and prospective students and employers in a timely manner, as well as on the acceptance of our actions by existing or prospective students and employers. Even if we are able to develop acceptable new programs, we may not be able to introduce these new programs in a timely fashion or as quickly as our competitors are able to introduce competing programs. If we do not respond adequately to changes in market conditions, our ability to attract and retain students could be impaired and our business, prospects, financial condition, and results of operations could suffer.</w:t>
      </w:r>
    </w:p>
    <w:p>
      <w:pPr>
        <w:spacing w:after="0" w:line="18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development and approval of new programs and courses, both ground and online, are subject to requirements and limitations imposed by the Department of Education, state licensing agencies, and the relevant accrediting commissions, and in certain cases, such as with doctoral programs, involves a process that can take several years to complete. The imposition of restrictions on the initiation of new educational programs by any of our regulatory agencies, or delays in obtaining approvals of such programs, may delay our expansion plans. Establishing new academic programs or modifying existing academic programs may also require us to make investments in specialized personnel, increase marketing efforts, and reallocate resources. We may have limited experience with the subject matter of new programs.</w:t>
      </w:r>
    </w:p>
    <w:p>
      <w:pPr>
        <w:spacing w:after="0" w:line="193"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If we are unable to expand our existing programs, offer new programs on a timely basis or in a cost-effective manner, or otherwise manage effectively the operations of newly established programs, our business, prospects, financial condition, and results of operations could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Technology Infrastructure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success and future growth depend on the continued growth in users seeking educational services on the Internet.</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business relies in part on the Internet for its success. A number of factors could inhibit the continued acceptance of the Internet and adversely affect our profitability, including:</w:t>
      </w:r>
    </w:p>
    <w:p>
      <w:pPr>
        <w:spacing w:after="0" w:line="76" w:lineRule="exact"/>
        <w:rPr>
          <w:sz w:val="20"/>
          <w:szCs w:val="20"/>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inadequate Internet infrastructure;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security and privacy concerns;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unavailability of cost-effective Internet service and other technological factors;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 regulation of Internet use.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the number of potential students seeking educational services on the Internet does not continue to increase, our business may not grow as planned.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liability for the unauthorized duplication or distribution of class materials posted online for class discussions.</w:t>
      </w:r>
    </w:p>
    <w:p>
      <w:pPr>
        <w:spacing w:after="0" w:line="22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some instances, our faculty members or our students may post various articles or other third-party content on class discussion boards. Third parties may raise claims against us for the unauthorized duplication of material posted online for class discussions. Any such claims could subject us to costly litigation and impose a significant strain on our financial resources and management personnel regardless of whether the claims have merit. Our general liability insurance may not cover potential claims of this type adequately or at all, and we may be required to alter the content of our courses or pay monetary damages, which may be significant.</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Possession and use of personal information in our operations subjects us to risks and costs that could harm our business. We collect, use, and retain large amounts of personal information regarding our applicants, students, faculty, staff, and their families,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following an acquisition of a school or in connection with periodic hardware or software upgrades.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Federal Trade Commission, or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performance and reliability of the infrastructure of our computer networks and phone systems, including our online programs, is critical to our operations, reputation and to our ability to attract and retain students. Any computer system disruption or failure, or a sudden and significant increase in traffic on the servers that host our online operations, may result in our online courses and programs being unavailable for a period of time. In addition, any significant failure of our computer networks or servers, whether as a result of third-party actions or in connection with planned upgrades and conversions, could disrupt our on-campus operations. Individual, sustained, or repeated occurrences could significantly damage the reputation of our online operations and result in a loss of potential or existing students. Additionally, our online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online operations could have a material adverse effect on our ability to attract students to our online programs and to retain those students.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17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Higher Education Act, as reauthorized, and the regulations thereunder, will be impaired, perhaps materially. Any such impairment could materially and adversely affect our financial condition,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121"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b w:val="1"/>
          <w:bCs w:val="1"/>
          <w:i w:val="1"/>
          <w:iCs w:val="1"/>
          <w:color w:val="auto"/>
        </w:rPr>
        <w:t>Your percentage ownership in us may be diluted by future issuances of capital stock, which could reduce your influence over matters on which stockholders vote.</w:t>
      </w:r>
    </w:p>
    <w:p>
      <w:pPr>
        <w:spacing w:after="0" w:line="170"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Our Board of Directors has the authority, without action or vote of our stockholders, to issue all or any part of our authorized but unissued shares of common stock, including shares issuable upon the exercise of options or the grant of restricted stock, shares that may be issued to satisfy our payment obligations under our incentive plans, or shares of our authorized but unissued preferred stock. Issuances of common stock or voting preferred stock would reduce your influence over matters on which our stockholders vote, and, in the case of issuances of preferred stock, likely would result in your interest in us being subject to the prior rights of holders of that preferred stock.</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70"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the Department of Education, our regional accrediting commission, and state education agencies for a change in control transaction could also delay, deter, or prevent a transaction that would result in a change in control. We may, in the future, consider adopting additional anti-takeover measures. The authority of our Board of Directors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fluctuate.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 of our common stock could fluctuate significantly for various reasons, which include:</w:t>
      </w:r>
    </w:p>
    <w:p>
      <w:pPr>
        <w:spacing w:after="0" w:line="131" w:lineRule="exact"/>
        <w:rPr>
          <w:sz w:val="20"/>
          <w:szCs w:val="20"/>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or annual earnings or earnings of other companies in our industry;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public’s reaction to our press releases, our other public announcements, and our filings with the SEC;</w:t>
      </w:r>
    </w:p>
    <w:p>
      <w:pPr>
        <w:spacing w:after="0" w:line="130" w:lineRule="exact"/>
        <w:rPr>
          <w:rFonts w:ascii="Arial" w:cs="Arial" w:eastAsia="Arial" w:hAnsi="Arial"/>
          <w:sz w:val="18"/>
          <w:szCs w:val="18"/>
          <w:color w:val="auto"/>
        </w:rPr>
      </w:pPr>
    </w:p>
    <w:p>
      <w:pPr>
        <w:ind w:left="1480" w:right="6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research analysts who track our common stock or the stocks of other companies in our industry;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our number of enrolled students;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new or proposed laws or regulations or new or proposed interpretations of laws or regulations applicable to our business;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 variations in our student population;</w:t>
      </w:r>
    </w:p>
    <w:p>
      <w:pPr>
        <w:spacing w:after="0" w:line="130" w:lineRule="exact"/>
        <w:rPr>
          <w:rFonts w:ascii="Arial" w:cs="Arial" w:eastAsia="Arial" w:hAnsi="Arial"/>
          <w:sz w:val="18"/>
          <w:szCs w:val="18"/>
          <w:color w:val="auto"/>
        </w:rPr>
      </w:pPr>
    </w:p>
    <w:p>
      <w:pPr>
        <w:ind w:left="1480" w:right="28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damage to our reputation or other adverse effects as a result of negative publicity in the media, in industry or governmental reports, or otherwise, affecting us or other companies in the for-profit postsecondary education sector;</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and cost of Title IV funds, other student financial aid, and private loans;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failure to maintain or keep in good standing our regulatory approvals and accreditations;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30" w:lineRule="exact"/>
        <w:rPr>
          <w:rFonts w:ascii="Arial" w:cs="Arial" w:eastAsia="Arial" w:hAnsi="Arial"/>
          <w:sz w:val="18"/>
          <w:szCs w:val="18"/>
          <w:color w:val="auto"/>
        </w:rPr>
      </w:pPr>
    </w:p>
    <w:p>
      <w:pPr>
        <w:ind w:left="1480" w:right="360" w:hanging="446"/>
        <w:spacing w:after="0" w:line="277" w:lineRule="auto"/>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general conditions in the U.S. and global economies or financial markets, including those resulting from war, incidents of terrorism, or responses to such events;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adverse economic or other development that affects job prospects in our core disciplines;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litigation involving our University, or investigations or audits by regulators into the operations of our University or our competitors;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common stock by our directors, executive officers, and significant stockholders.</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in recent years, the stock market has experienced extreme price and volume fluctuations. This volatility has had a significant impact on the market price of securities issued by many companies, including companies in our industry. The changes frequently appear to occur without regard to the operating performance of these companies. The price of our common stock could fluctuate based upon factors that have little or nothing to do with our University, and these fluctuations could materially reduce our stock price.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industry or if they downgrade their evaluations of our stock, the price of our stock could decline.</w:t>
      </w:r>
    </w:p>
    <w:p>
      <w:pPr>
        <w:spacing w:after="0" w:line="170"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trading market for our common stock depends in part on the research and reports that industry or financial analysts publish about us, our business and the for-profit education sector. In recent periods, a number of analysts have dropped coverage of the sector. If one or more of the analysts covering us downgrade their estimates or evaluations of our stock, the price of our stock could decline. If additional analysts cease coverage of us or our sector, we could lose visibility in the market for our stock, which in turn could cause our stock price to decline.</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do not expect to pay dividends on shares of our common stock in the foreseeable future and intend to use cash to grow our business. The payment of cash dividends in the future, if any, will be at the discretion of our Board of Directors and will depend upon such factors as earnings levels, capital requirements, our overall financial condition, and any other factors deemed relevant by our Board of Directors. Consequently, your only opportunity to achieve a positive return on your investment in us will be if the market price of our common stock appreciates.</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own our ground campus, which is located on 200+ acres in the center of the Phoenix, Arizona metropolitan area, near downtown Phoenix. Our on-campus facilities currently consist of classroom buildings, lecture halls, a 300-seat theater, a 155,000-volume newly renovated library, a media arts complex that provides communications students with audio and video equipment, a 55,000 square foot recreation center for both student-athletes and on-campus students, a 140,000 square foot/ 7,500 seat basketball and entertainment arena, a gymnasium, an activity center that contains a food court, a bowling alley and other student services, a student union which was recently remodeled and expanded, dormitories, apartments, campus pools, athletic facilities and parking garages. Additionally, we have several office buildings used for administration. In order to accommodate the continued growth of our traditional ground population, we completed four additional dormitories, an additional classroom building for our College of Science, Engineering and Technology and a third parking structure prior to the 2015/2016 school year and has recently started construction on three more apartment style residence halls, a 170,000 square foot classroom building for its College of Science, Engineering and Technology, a student service center and a fourth parking structure.</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also lease three additional facilities for employees in Arizona, and four facilities in Arizona and one in New Mexico for classroom and labs for our nursing professional studies students. We lease apartments in an off-site apartment building in Phoenix, Arizona for traditional ground students. Additionally, we lease five office locations in California and one in Colorado. We may add additional space in Arizona and in other states in the southwest U.S. to accommodate our growth plans in 2016 and beyond.</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right="200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Market Information</w:t>
      </w:r>
    </w:p>
    <w:p>
      <w:pPr>
        <w:ind w:right="20" w:firstLine="456"/>
        <w:spacing w:after="0" w:line="259" w:lineRule="auto"/>
        <w:rPr>
          <w:sz w:val="20"/>
          <w:szCs w:val="20"/>
          <w:color w:val="auto"/>
        </w:rPr>
      </w:pPr>
      <w:r>
        <w:rPr>
          <w:rFonts w:ascii="Arial" w:cs="Arial" w:eastAsia="Arial" w:hAnsi="Arial"/>
          <w:sz w:val="18"/>
          <w:szCs w:val="18"/>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high and low sales prices for our common stock, as reported by the Nasdaq Global Market.</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4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Low</w:t>
            </w:r>
          </w:p>
        </w:tc>
      </w:tr>
      <w:tr>
        <w:trPr>
          <w:trHeight w:val="196"/>
        </w:trPr>
        <w:tc>
          <w:tcPr>
            <w:tcW w:w="4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w:t>
            </w:r>
          </w:p>
        </w:tc>
        <w:tc>
          <w:tcPr>
            <w:tcW w:w="30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First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$48.29</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$42.63</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$45.82</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$41.30</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Third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$45.17</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$35.38</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$42.81</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$36.18</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2014</w:t>
            </w:r>
          </w:p>
        </w:tc>
        <w:tc>
          <w:tcPr>
            <w:tcW w:w="3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$51.12</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$41.71</w:t>
            </w: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Second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$47.89</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$41.63</w:t>
            </w: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3500" w:type="dxa"/>
            <w:vAlign w:val="bottom"/>
            <w:gridSpan w:val="2"/>
            <w:shd w:val="clear" w:color="auto" w:fill="CCEEFF"/>
          </w:tcPr>
          <w:p>
            <w:pPr>
              <w:jc w:val="center"/>
              <w:ind w:left="2910"/>
              <w:spacing w:after="0"/>
              <w:rPr>
                <w:sz w:val="20"/>
                <w:szCs w:val="20"/>
                <w:color w:val="auto"/>
              </w:rPr>
            </w:pPr>
            <w:r>
              <w:rPr>
                <w:rFonts w:ascii="Arial" w:cs="Arial" w:eastAsia="Arial" w:hAnsi="Arial"/>
                <w:sz w:val="18"/>
                <w:szCs w:val="18"/>
                <w:color w:val="auto"/>
                <w:w w:val="90"/>
              </w:rPr>
              <w:t>$47.76</w:t>
            </w:r>
          </w:p>
        </w:tc>
        <w:tc>
          <w:tcPr>
            <w:tcW w:w="940" w:type="dxa"/>
            <w:vAlign w:val="bottom"/>
            <w:gridSpan w:val="2"/>
            <w:shd w:val="clear" w:color="auto" w:fill="CCEEFF"/>
          </w:tcPr>
          <w:p>
            <w:pPr>
              <w:jc w:val="center"/>
              <w:ind w:left="350"/>
              <w:spacing w:after="0"/>
              <w:rPr>
                <w:sz w:val="20"/>
                <w:szCs w:val="20"/>
                <w:color w:val="auto"/>
              </w:rPr>
            </w:pPr>
            <w:r>
              <w:rPr>
                <w:rFonts w:ascii="Arial" w:cs="Arial" w:eastAsia="Arial" w:hAnsi="Arial"/>
                <w:sz w:val="18"/>
                <w:szCs w:val="18"/>
                <w:color w:val="auto"/>
                <w:w w:val="90"/>
              </w:rPr>
              <w:t>$40.24</w:t>
            </w:r>
          </w:p>
        </w:tc>
        <w:tc>
          <w:tcPr>
            <w:tcW w:w="100" w:type="dxa"/>
            <w:vAlign w:val="bottom"/>
            <w:shd w:val="clear" w:color="auto" w:fill="CCEEFF"/>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Fourth Quarter</w:t>
            </w:r>
          </w:p>
        </w:tc>
        <w:tc>
          <w:tcPr>
            <w:tcW w:w="3500" w:type="dxa"/>
            <w:vAlign w:val="bottom"/>
            <w:gridSpan w:val="2"/>
          </w:tcPr>
          <w:p>
            <w:pPr>
              <w:jc w:val="center"/>
              <w:ind w:left="2910"/>
              <w:spacing w:after="0"/>
              <w:rPr>
                <w:sz w:val="20"/>
                <w:szCs w:val="20"/>
                <w:color w:val="auto"/>
              </w:rPr>
            </w:pPr>
            <w:r>
              <w:rPr>
                <w:rFonts w:ascii="Arial" w:cs="Arial" w:eastAsia="Arial" w:hAnsi="Arial"/>
                <w:sz w:val="18"/>
                <w:szCs w:val="18"/>
                <w:color w:val="auto"/>
                <w:w w:val="90"/>
              </w:rPr>
              <w:t>$51.99</w:t>
            </w:r>
          </w:p>
        </w:tc>
        <w:tc>
          <w:tcPr>
            <w:tcW w:w="940" w:type="dxa"/>
            <w:vAlign w:val="bottom"/>
            <w:gridSpan w:val="2"/>
          </w:tcPr>
          <w:p>
            <w:pPr>
              <w:jc w:val="center"/>
              <w:ind w:left="350"/>
              <w:spacing w:after="0"/>
              <w:rPr>
                <w:sz w:val="20"/>
                <w:szCs w:val="20"/>
                <w:color w:val="auto"/>
              </w:rPr>
            </w:pPr>
            <w:r>
              <w:rPr>
                <w:rFonts w:ascii="Arial" w:cs="Arial" w:eastAsia="Arial" w:hAnsi="Arial"/>
                <w:sz w:val="18"/>
                <w:szCs w:val="18"/>
                <w:color w:val="auto"/>
                <w:w w:val="90"/>
              </w:rPr>
              <w:t>$36.95</w:t>
            </w:r>
          </w:p>
        </w:tc>
        <w:tc>
          <w:tcPr>
            <w:tcW w:w="100" w:type="dxa"/>
            <w:vAlign w:val="bottom"/>
          </w:tcPr>
          <w:p>
            <w:pPr>
              <w:spacing w:after="0"/>
              <w:rPr>
                <w:sz w:val="20"/>
                <w:szCs w:val="20"/>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As of December 31, 2015, there were approximately 207 registered holders of record of common stock. A substantially greater number of holders of common stock are “street name” or beneficial holders, whose shares are held of record by banks, brokers and other financial institutions.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currently intend to retain all future earnings for the operation and expansion of our business and do not anticipate paying cash dividends on our common stock in the foreseeable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right="720" w:firstLine="456"/>
        <w:spacing w:after="0" w:line="308" w:lineRule="auto"/>
        <w:rPr>
          <w:sz w:val="20"/>
          <w:szCs w:val="20"/>
          <w:color w:val="auto"/>
        </w:rPr>
      </w:pPr>
      <w:r>
        <w:rPr>
          <w:rFonts w:ascii="Arial" w:cs="Arial" w:eastAsia="Arial" w:hAnsi="Arial"/>
          <w:sz w:val="17"/>
          <w:szCs w:val="17"/>
          <w:color w:val="auto"/>
        </w:rPr>
        <w:t xml:space="preserve">The information required by Item 201(d) of Regulation S-K is provided under Item 12, </w:t>
      </w:r>
      <w:r>
        <w:rPr>
          <w:rFonts w:ascii="Arial" w:cs="Arial" w:eastAsia="Arial" w:hAnsi="Arial"/>
          <w:sz w:val="17"/>
          <w:szCs w:val="17"/>
          <w:i w:val="1"/>
          <w:iCs w:val="1"/>
          <w:color w:val="auto"/>
        </w:rPr>
        <w:t>Security Ownership of Certain Beneficial Owners and</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 and Related Stockholder Matters</w:t>
      </w:r>
      <w:r>
        <w:rPr>
          <w:rFonts w:ascii="Arial" w:cs="Arial" w:eastAsia="Arial" w:hAnsi="Arial"/>
          <w:sz w:val="17"/>
          <w:szCs w:val="17"/>
          <w:color w:val="auto"/>
        </w:rPr>
        <w:t>, “Equity Compensation Plan Information,” which is incorporated herein by reference.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Our Board of Directors has authorized the University to repurchase up to $75.0 million in aggregate of common stock, from time to time, depending on market conditions and other considerations. The current expiration date on the repurchase authorization by our Board of Directors is September 30, 2016. Repurchases occur at our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the approval of our share repurchase plan, we have purchased 3.1 million shares of common stock at an aggregate cost of $60.4 million, which are recorded at cost in the accompanying December 31, 2015 consolidated balance sheet and statement of stockholders’ equity. At December 31, 2015, there remained $14.6 million available under our current share repurchase authorization. During the fourth quarter and the year ended December 31, 2015, we repurchased 288,397 shares of common stock at an aggregate cost of $11.3 million.</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The following table sets forth our share repurchases of common stock and our share repurchases in lieu of taxes, which are not included in the repurchase plan totals as they were effected in conjunction with the vesting of restricted share awards, during each period in the fourth quarter of fiscal 2015:</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5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80" w:type="dxa"/>
            <w:vAlign w:val="bottom"/>
            <w:gridSpan w:val="3"/>
            <w:vMerge w:val="restart"/>
          </w:tcPr>
          <w:p>
            <w:pPr>
              <w:jc w:val="center"/>
              <w:ind w:right="520"/>
              <w:spacing w:after="0"/>
              <w:rPr>
                <w:sz w:val="20"/>
                <w:szCs w:val="20"/>
                <w:color w:val="auto"/>
              </w:rPr>
            </w:pPr>
            <w:r>
              <w:rPr>
                <w:rFonts w:ascii="Arial" w:cs="Arial" w:eastAsia="Arial" w:hAnsi="Arial"/>
                <w:sz w:val="14"/>
                <w:szCs w:val="14"/>
                <w:b w:val="1"/>
                <w:bCs w:val="1"/>
                <w:color w:val="auto"/>
                <w:w w:val="95"/>
              </w:rPr>
              <w:t>Total Number</w:t>
            </w:r>
          </w:p>
        </w:tc>
        <w:tc>
          <w:tcPr>
            <w:tcW w:w="1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Average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500" w:type="dxa"/>
            <w:vAlign w:val="bottom"/>
          </w:tcPr>
          <w:p>
            <w:pPr>
              <w:spacing w:after="0"/>
              <w:rPr>
                <w:sz w:val="12"/>
                <w:szCs w:val="12"/>
                <w:color w:val="auto"/>
              </w:rPr>
            </w:pPr>
          </w:p>
        </w:tc>
        <w:tc>
          <w:tcPr>
            <w:tcW w:w="11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Value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50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51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Period</w:t>
            </w:r>
          </w:p>
        </w:tc>
        <w:tc>
          <w:tcPr>
            <w:tcW w:w="138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 Shares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50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58"/>
        </w:trPr>
        <w:tc>
          <w:tcPr>
            <w:tcW w:w="5140" w:type="dxa"/>
            <w:vAlign w:val="bottom"/>
            <w:gridSpan w:val="5"/>
            <w:vMerge w:val="continue"/>
          </w:tcPr>
          <w:p>
            <w:pPr>
              <w:spacing w:after="0"/>
              <w:rPr>
                <w:sz w:val="13"/>
                <w:szCs w:val="13"/>
                <w:color w:val="auto"/>
              </w:rPr>
            </w:pPr>
          </w:p>
        </w:tc>
        <w:tc>
          <w:tcPr>
            <w:tcW w:w="1380" w:type="dxa"/>
            <w:vAlign w:val="bottom"/>
            <w:gridSpan w:val="3"/>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Purchased</w:t>
            </w:r>
          </w:p>
        </w:tc>
        <w:tc>
          <w:tcPr>
            <w:tcW w:w="11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Program</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the Program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bottom w:val="single" w:sz="8" w:color="CCEEFF"/>
            </w:tcBorders>
            <w:shd w:val="clear" w:color="auto" w:fill="000000"/>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460" w:type="dxa"/>
            <w:vAlign w:val="bottom"/>
            <w:tcBorders>
              <w:bottom w:val="single" w:sz="8" w:color="auto"/>
            </w:tcBorders>
            <w:gridSpan w:val="3"/>
            <w:shd w:val="clear" w:color="auto" w:fill="CCEEFF"/>
          </w:tcPr>
          <w:p>
            <w:pPr>
              <w:spacing w:after="0" w:line="150" w:lineRule="exact"/>
              <w:rPr>
                <w:sz w:val="20"/>
                <w:szCs w:val="20"/>
                <w:color w:val="auto"/>
              </w:rPr>
            </w:pPr>
            <w:r>
              <w:rPr>
                <w:rFonts w:ascii="Arial" w:cs="Arial" w:eastAsia="Arial" w:hAnsi="Arial"/>
                <w:sz w:val="17"/>
                <w:szCs w:val="17"/>
                <w:b w:val="1"/>
                <w:bCs w:val="1"/>
                <w:color w:val="auto"/>
                <w:w w:val="90"/>
              </w:rPr>
              <w:t>Share Repurchases</w:t>
            </w:r>
          </w:p>
        </w:tc>
        <w:tc>
          <w:tcPr>
            <w:tcW w:w="366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4"/>
          </w:tcPr>
          <w:p>
            <w:pPr>
              <w:spacing w:after="0"/>
              <w:rPr>
                <w:sz w:val="20"/>
                <w:szCs w:val="20"/>
                <w:color w:val="auto"/>
              </w:rPr>
            </w:pPr>
            <w:r>
              <w:rPr>
                <w:rFonts w:ascii="Arial" w:cs="Arial" w:eastAsia="Arial" w:hAnsi="Arial"/>
                <w:sz w:val="18"/>
                <w:szCs w:val="18"/>
                <w:color w:val="auto"/>
              </w:rPr>
              <w:t>October 1, 2015 – October 31, 2015</w:t>
            </w:r>
          </w:p>
        </w:tc>
        <w:tc>
          <w:tcPr>
            <w:tcW w:w="13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November 1, 2015 – November 30, 2015</w:t>
            </w:r>
          </w:p>
        </w:tc>
        <w:tc>
          <w:tcPr>
            <w:tcW w:w="13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4"/>
          </w:tcPr>
          <w:p>
            <w:pPr>
              <w:spacing w:after="0"/>
              <w:rPr>
                <w:sz w:val="20"/>
                <w:szCs w:val="20"/>
                <w:color w:val="auto"/>
              </w:rPr>
            </w:pPr>
            <w:r>
              <w:rPr>
                <w:rFonts w:ascii="Arial" w:cs="Arial" w:eastAsia="Arial" w:hAnsi="Arial"/>
                <w:sz w:val="18"/>
                <w:szCs w:val="18"/>
                <w:color w:val="auto"/>
              </w:rPr>
              <w:t>December 1, 2015 – December 31, 2015</w:t>
            </w:r>
          </w:p>
        </w:tc>
        <w:tc>
          <w:tcPr>
            <w:tcW w:w="860" w:type="dxa"/>
            <w:vAlign w:val="bottom"/>
          </w:tcPr>
          <w:p>
            <w:pPr>
              <w:jc w:val="right"/>
              <w:spacing w:after="0"/>
              <w:rPr>
                <w:sz w:val="20"/>
                <w:szCs w:val="20"/>
                <w:color w:val="auto"/>
              </w:rPr>
            </w:pPr>
            <w:r>
              <w:rPr>
                <w:rFonts w:ascii="Arial" w:cs="Arial" w:eastAsia="Arial" w:hAnsi="Arial"/>
                <w:sz w:val="18"/>
                <w:szCs w:val="18"/>
                <w:color w:val="auto"/>
              </w:rPr>
              <w:t>288,397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440"/>
              <w:spacing w:after="0"/>
              <w:rPr>
                <w:sz w:val="20"/>
                <w:szCs w:val="20"/>
                <w:color w:val="auto"/>
              </w:rPr>
            </w:pPr>
            <w:r>
              <w:rPr>
                <w:rFonts w:ascii="Arial" w:cs="Arial" w:eastAsia="Arial" w:hAnsi="Arial"/>
                <w:sz w:val="18"/>
                <w:szCs w:val="18"/>
                <w:color w:val="auto"/>
                <w:w w:val="88"/>
              </w:rPr>
              <w:t>39.11</w:t>
            </w:r>
          </w:p>
        </w:tc>
        <w:tc>
          <w:tcPr>
            <w:tcW w:w="1140" w:type="dxa"/>
            <w:vAlign w:val="bottom"/>
          </w:tcPr>
          <w:p>
            <w:pPr>
              <w:ind w:left="540"/>
              <w:spacing w:after="0"/>
              <w:rPr>
                <w:sz w:val="20"/>
                <w:szCs w:val="20"/>
                <w:color w:val="auto"/>
              </w:rPr>
            </w:pPr>
            <w:r>
              <w:rPr>
                <w:rFonts w:ascii="Arial" w:cs="Arial" w:eastAsia="Arial" w:hAnsi="Arial"/>
                <w:sz w:val="18"/>
                <w:szCs w:val="18"/>
                <w:color w:val="auto"/>
                <w:w w:val="89"/>
              </w:rPr>
              <w:t>288,397</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14,586,000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288,397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8"/>
              </w:rPr>
              <w:t>39.11</w:t>
            </w:r>
          </w:p>
        </w:tc>
        <w:tc>
          <w:tcPr>
            <w:tcW w:w="11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9"/>
              </w:rPr>
              <w:t>288,397</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14,586,000</w:t>
            </w:r>
          </w:p>
        </w:tc>
        <w:tc>
          <w:tcPr>
            <w:tcW w:w="0" w:type="dxa"/>
            <w:vAlign w:val="bottom"/>
          </w:tcPr>
          <w:p>
            <w:pPr>
              <w:spacing w:after="0"/>
              <w:rPr>
                <w:sz w:val="1"/>
                <w:szCs w:val="1"/>
                <w:color w:val="auto"/>
              </w:rPr>
            </w:pPr>
          </w:p>
        </w:tc>
      </w:tr>
      <w:tr>
        <w:trPr>
          <w:trHeight w:val="20"/>
        </w:trPr>
        <w:tc>
          <w:tcPr>
            <w:tcW w:w="51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Tax Withholdings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40" w:type="dxa"/>
            <w:vAlign w:val="bottom"/>
            <w:gridSpan w:val="5"/>
            <w:vMerge w:val="continue"/>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October 1, 2015 – October 31, 2015</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4"/>
          </w:tcPr>
          <w:p>
            <w:pPr>
              <w:spacing w:after="0"/>
              <w:rPr>
                <w:sz w:val="20"/>
                <w:szCs w:val="20"/>
                <w:color w:val="auto"/>
              </w:rPr>
            </w:pPr>
            <w:r>
              <w:rPr>
                <w:rFonts w:ascii="Arial" w:cs="Arial" w:eastAsia="Arial" w:hAnsi="Arial"/>
                <w:sz w:val="18"/>
                <w:szCs w:val="18"/>
                <w:color w:val="auto"/>
              </w:rPr>
              <w:t>November 1, 2015 – November 30, 2015</w:t>
            </w:r>
          </w:p>
        </w:tc>
        <w:tc>
          <w:tcPr>
            <w:tcW w:w="13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8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December 1, 2015 – December 31, 2015</w:t>
            </w:r>
          </w:p>
        </w:tc>
        <w:tc>
          <w:tcPr>
            <w:tcW w:w="13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w:t>
            </w:r>
          </w:p>
        </w:tc>
        <w:tc>
          <w:tcPr>
            <w:tcW w:w="5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University Stock Performance</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following graph compares the cumulative total return of our common stock with the cumulative total returns of the S&amp;P 500 Index and our selected peer group of five companies that includes: Capella Education Company, American Public Education, Inc., Apollo Education Group Inc., Strayer Education Inc. and Bridgepoint Education, Inc. This chart assumes that an investment of $100 was made in our common stock, in the index, and in the peer group on December 31, 2010 and that all dividends paid by us and such companies were reinvested, and tracks the relative performance of such investments through December 31, 2015.</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20"/>
          </w:cols>
          <w:pgMar w:left="24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205740</wp:posOffset>
            </wp:positionV>
            <wp:extent cx="4519295" cy="4313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19295" cy="431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12/10</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12/11</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12/12</w:t>
            </w: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12/13</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12/14</w:t>
            </w:r>
          </w:p>
        </w:tc>
        <w:tc>
          <w:tcPr>
            <w:tcW w:w="2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12/15</w:t>
            </w:r>
          </w:p>
        </w:tc>
        <w:tc>
          <w:tcPr>
            <w:tcW w:w="100" w:type="dxa"/>
            <w:vAlign w:val="bottom"/>
            <w:tcBorders>
              <w:bottom w:val="single" w:sz="8" w:color="CCEEFF"/>
            </w:tcBorders>
          </w:tcPr>
          <w:p>
            <w:pPr>
              <w:spacing w:after="0"/>
              <w:rPr>
                <w:sz w:val="14"/>
                <w:szCs w:val="14"/>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Grand Canyon Education, Inc.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100.00</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81.47</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119.81</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222.56</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238.18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204.80</w:t>
            </w:r>
          </w:p>
        </w:tc>
        <w:tc>
          <w:tcPr>
            <w:tcW w:w="1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S&amp;P 500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100.00</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102.11</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118.45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8"/>
              </w:rPr>
              <w:t>156.82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4"/>
              </w:rPr>
              <w:t>178.29</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4"/>
              </w:rPr>
              <w:t>180.75</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Peer Group</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100.00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111.17</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52.57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69.63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80.95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33.59</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stock price performance included in this graph is not necessarily indicative of future stock price performance.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Consolidated Financial and Other Data</w:t>
      </w:r>
    </w:p>
    <w:p>
      <w:pPr>
        <w:spacing w:after="0" w:line="121" w:lineRule="exact"/>
        <w:rPr>
          <w:sz w:val="20"/>
          <w:szCs w:val="20"/>
          <w:color w:val="auto"/>
        </w:rPr>
      </w:pPr>
    </w:p>
    <w:p>
      <w:pPr>
        <w:ind w:right="400" w:firstLine="456"/>
        <w:spacing w:after="0" w:line="271" w:lineRule="auto"/>
        <w:rPr>
          <w:sz w:val="20"/>
          <w:szCs w:val="20"/>
          <w:color w:val="auto"/>
        </w:rPr>
      </w:pPr>
      <w:r>
        <w:rPr>
          <w:rFonts w:ascii="Arial" w:cs="Arial" w:eastAsia="Arial" w:hAnsi="Arial"/>
          <w:sz w:val="17"/>
          <w:szCs w:val="17"/>
          <w:color w:val="auto"/>
        </w:rPr>
        <w:t xml:space="preserve">The following selected consolidated financial and other data should be read in conjunction with Item 8, </w:t>
      </w:r>
      <w:r>
        <w:rPr>
          <w:rFonts w:ascii="Arial" w:cs="Arial" w:eastAsia="Arial" w:hAnsi="Arial"/>
          <w:sz w:val="17"/>
          <w:szCs w:val="17"/>
          <w:i w:val="1"/>
          <w:iCs w:val="1"/>
          <w:color w:val="auto"/>
        </w:rPr>
        <w:t>Consolidated 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w:t>
      </w:r>
      <w:r>
        <w:rPr>
          <w:rFonts w:ascii="Arial" w:cs="Arial" w:eastAsia="Arial" w:hAnsi="Arial"/>
          <w:sz w:val="17"/>
          <w:szCs w:val="17"/>
          <w:color w:val="auto"/>
        </w:rPr>
        <w:t>, and Item 7,</w:t>
      </w:r>
      <w:r>
        <w:rPr>
          <w:rFonts w:ascii="Arial" w:cs="Arial" w:eastAsia="Arial" w:hAnsi="Arial"/>
          <w:sz w:val="17"/>
          <w:szCs w:val="17"/>
          <w:i w:val="1"/>
          <w:iCs w:val="1"/>
          <w:color w:val="auto"/>
        </w:rPr>
        <w:t xml:space="preserve"> Management’s Discussion and Analysis of Financial Condition and Results of Operations</w:t>
      </w:r>
      <w:r>
        <w:rPr>
          <w:rFonts w:ascii="Arial" w:cs="Arial" w:eastAsia="Arial" w:hAnsi="Arial"/>
          <w:sz w:val="17"/>
          <w:szCs w:val="17"/>
          <w:color w:val="auto"/>
        </w:rPr>
        <w:t>, to fully understand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presented below. The selected consolidated income statement data and other data, excluding period end enrollment, for the years ended December 31, 2015, 2014, and 2013, and the selected consolidated balance sheet data as of December 31, 2015, and 2014, have been derived from our audited consolidated financial statements for such years, which are included herein. The selected consolidated income statement data and other data, excluding period end enrollment, for the years ended December 31, 2012 and 2011, and the selected consolidated balance sheet data as of December 31, 2013, 2012, and 2011, have been derived from our audited consolidated financial statements for such years, which are not included herein. Our historical results are not necessarily indicative of our results for any future period.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10"/>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10"/>
          </w:tcPr>
          <w:p>
            <w:pPr>
              <w:jc w:val="center"/>
              <w:ind w:right="30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revenue</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778,200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691,055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598,335</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511,257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426,741</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Instructional costs and services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329,651</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288,791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254,419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220,403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194,801</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Admissions advisory and related</w:t>
            </w:r>
            <w:r>
              <w:rPr>
                <w:rFonts w:ascii="Arial" w:cs="Arial" w:eastAsia="Arial" w:hAnsi="Arial"/>
                <w:sz w:val="15"/>
                <w:szCs w:val="15"/>
                <w:color w:val="auto"/>
              </w:rPr>
              <w:t>(1)</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112,572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108,567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97,077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70,758</w:t>
            </w: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Advertising</w:t>
            </w:r>
            <w:r>
              <w:rPr>
                <w:rFonts w:ascii="Arial" w:cs="Arial" w:eastAsia="Arial" w:hAnsi="Arial"/>
                <w:sz w:val="15"/>
                <w:szCs w:val="15"/>
                <w:color w:val="auto"/>
              </w:rPr>
              <w:t>(1)</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76,229</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65,808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60,985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51,023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45,587</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promotional</w:t>
            </w:r>
            <w:r>
              <w:rPr>
                <w:rFonts w:ascii="Arial" w:cs="Arial" w:eastAsia="Arial" w:hAnsi="Arial"/>
                <w:sz w:val="15"/>
                <w:szCs w:val="15"/>
                <w:color w:val="auto"/>
              </w:rPr>
              <w:t>(1)</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7,287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3,610</w:t>
            </w: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42,100</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39,635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36,934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35,502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29,043</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termination costs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r>
      <w:tr>
        <w:trPr>
          <w:trHeight w:val="230"/>
        </w:trPr>
        <w:tc>
          <w:tcPr>
            <w:tcW w:w="20" w:type="dxa"/>
            <w:vAlign w:val="bottom"/>
          </w:tcPr>
          <w:p>
            <w:pPr>
              <w:spacing w:after="0"/>
              <w:rPr>
                <w:sz w:val="20"/>
                <w:szCs w:val="20"/>
                <w:color w:val="auto"/>
              </w:rPr>
            </w:pPr>
          </w:p>
        </w:tc>
        <w:tc>
          <w:tcPr>
            <w:tcW w:w="4740" w:type="dxa"/>
            <w:vAlign w:val="bottom"/>
          </w:tcPr>
          <w:p>
            <w:pPr>
              <w:ind w:left="700"/>
              <w:spacing w:after="0"/>
              <w:rPr>
                <w:sz w:val="20"/>
                <w:szCs w:val="20"/>
                <w:color w:val="auto"/>
              </w:rPr>
            </w:pPr>
            <w:r>
              <w:rPr>
                <w:rFonts w:ascii="Arial" w:cs="Arial" w:eastAsia="Arial" w:hAnsi="Arial"/>
                <w:sz w:val="18"/>
                <w:szCs w:val="18"/>
                <w:color w:val="auto"/>
              </w:rPr>
              <w:t>Total costs and expenses</w:t>
            </w:r>
          </w:p>
        </w:tc>
        <w:tc>
          <w:tcPr>
            <w:tcW w:w="2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567,839</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510,240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455,059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397,205</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344,581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210,361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180,815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143,276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114,052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82,160</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Interest expense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(1,801)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(2,244)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(720)</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209,007</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179,698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144,895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113,424</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81,528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77,596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68,232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56,184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43,977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30,982</w:t>
            </w: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131,411</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111,466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69,447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50,546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Basic</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2.45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Shares used in computing earnings per common share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45,975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44,332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44,631</w:t>
            </w:r>
          </w:p>
        </w:tc>
      </w:tr>
      <w:tr>
        <w:trPr>
          <w:trHeight w:val="230"/>
        </w:trPr>
        <w:tc>
          <w:tcPr>
            <w:tcW w:w="20" w:type="dxa"/>
            <w:vAlign w:val="bottom"/>
          </w:tcPr>
          <w:p>
            <w:pPr>
              <w:spacing w:after="0"/>
              <w:rPr>
                <w:sz w:val="20"/>
                <w:szCs w:val="20"/>
                <w:color w:val="auto"/>
              </w:rPr>
            </w:pPr>
          </w:p>
        </w:tc>
        <w:tc>
          <w:tcPr>
            <w:tcW w:w="474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47,281</w:t>
            </w:r>
          </w:p>
        </w:tc>
        <w:tc>
          <w:tcPr>
            <w:tcW w:w="10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47,006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46,131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45,251</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45,105</w:t>
            </w:r>
          </w:p>
        </w:tc>
      </w:tr>
      <w:tr>
        <w:trPr>
          <w:trHeight w:val="350"/>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240" w:type="dxa"/>
            <w:vAlign w:val="bottom"/>
          </w:tcPr>
          <w:p>
            <w:pPr>
              <w:jc w:val="right"/>
              <w:ind w:right="11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left="413"/>
              <w:spacing w:after="0"/>
              <w:rPr>
                <w:sz w:val="20"/>
                <w:szCs w:val="20"/>
                <w:color w:val="auto"/>
              </w:rPr>
            </w:pPr>
            <w:r>
              <w:rPr>
                <w:rFonts w:ascii="Arial" w:cs="Arial" w:eastAsia="Arial" w:hAnsi="Arial"/>
                <w:sz w:val="14"/>
                <w:szCs w:val="14"/>
                <w:b w:val="1"/>
                <w:bCs w:val="1"/>
                <w:color w:val="auto"/>
                <w:w w:val="92"/>
              </w:rPr>
              <w:t>As of December 31,</w:t>
            </w: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171"/>
              <w:spacing w:after="0" w:line="142" w:lineRule="exact"/>
              <w:rPr>
                <w:sz w:val="20"/>
                <w:szCs w:val="20"/>
                <w:color w:val="auto"/>
              </w:rPr>
            </w:pPr>
            <w:r>
              <w:rPr>
                <w:rFonts w:ascii="Arial" w:cs="Arial" w:eastAsia="Arial" w:hAnsi="Arial"/>
                <w:sz w:val="14"/>
                <w:szCs w:val="14"/>
                <w:b w:val="1"/>
                <w:bCs w:val="1"/>
                <w:color w:val="auto"/>
                <w:w w:val="89"/>
              </w:rPr>
              <w:t>2013</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Capital expenditures</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218,301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168,646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93,490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104,876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80,545</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35,379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25,141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21,627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16,738</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263,125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227,812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w w:val="86"/>
              </w:rPr>
              <w:t>185,086</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149,593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107,428</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Period end enrollment</w:t>
            </w:r>
            <w:r>
              <w:rPr>
                <w:rFonts w:ascii="Arial" w:cs="Arial" w:eastAsia="Arial" w:hAnsi="Arial"/>
                <w:sz w:val="15"/>
                <w:szCs w:val="15"/>
                <w:color w:val="auto"/>
              </w:rPr>
              <w:t>(3)</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ind w:left="360"/>
              <w:spacing w:after="0"/>
              <w:rPr>
                <w:sz w:val="20"/>
                <w:szCs w:val="20"/>
                <w:color w:val="auto"/>
              </w:rPr>
            </w:pPr>
            <w:r>
              <w:rPr>
                <w:rFonts w:ascii="Arial" w:cs="Arial" w:eastAsia="Arial" w:hAnsi="Arial"/>
                <w:sz w:val="18"/>
                <w:szCs w:val="18"/>
                <w:color w:val="auto"/>
              </w:rPr>
              <w:t>Online</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59,311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55,060</w:t>
            </w:r>
          </w:p>
        </w:tc>
        <w:tc>
          <w:tcPr>
            <w:tcW w:w="2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49,580</w:t>
            </w:r>
          </w:p>
        </w:tc>
        <w:tc>
          <w:tcPr>
            <w:tcW w:w="1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44,690</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38,918</w:t>
            </w:r>
          </w:p>
        </w:tc>
      </w:tr>
      <w:tr>
        <w:trPr>
          <w:trHeight w:val="216"/>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Ground</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15,195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10,078</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7,602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marketable securities and investments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106,400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166,022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6"/>
              </w:rPr>
              <w:t>164,244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105,111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21,189</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Restricted cash, cash equivalents and investments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75,384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67,840</w:t>
            </w:r>
          </w:p>
        </w:tc>
        <w:tc>
          <w:tcPr>
            <w:tcW w:w="2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64,368</w:t>
            </w:r>
          </w:p>
        </w:tc>
        <w:tc>
          <w:tcPr>
            <w:tcW w:w="1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56,189</w:t>
            </w: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56,670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898,430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755,713</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6"/>
              </w:rPr>
              <w:t>616,100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89"/>
              </w:rPr>
              <w:t>494,923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317,847</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Capital lease obligations (including short-term)</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1,485</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497</w:t>
            </w:r>
          </w:p>
        </w:tc>
        <w:tc>
          <w:tcPr>
            <w:tcW w:w="2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674</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1,144</w:t>
            </w:r>
          </w:p>
        </w:tc>
        <w:tc>
          <w:tcPr>
            <w:tcW w:w="10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Notes payable (including short-term)</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79,877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86,493</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93,100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99,701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21,640</w:t>
            </w: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610,251</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476,232</w:t>
            </w:r>
          </w:p>
        </w:tc>
        <w:tc>
          <w:tcPr>
            <w:tcW w:w="260" w:type="dxa"/>
            <w:vAlign w:val="bottom"/>
          </w:tcPr>
          <w:p>
            <w:pPr>
              <w:spacing w:after="0"/>
              <w:rPr>
                <w:sz w:val="20"/>
                <w:szCs w:val="20"/>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w w:val="86"/>
              </w:rPr>
              <w:t>344,844</w:t>
            </w:r>
          </w:p>
        </w:tc>
        <w:tc>
          <w:tcPr>
            <w:tcW w:w="14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w w:val="89"/>
              </w:rPr>
              <w:t>234,059</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163,293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460" w:hanging="452"/>
        <w:spacing w:after="0" w:line="274"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During the first quarter of 2013, the University made changes in its presentation of operating expenses and revised prior periods to conform to the current presentation. All years presented in the five year table were reclassified to conform to the current presentation.</w:t>
      </w:r>
    </w:p>
    <w:p>
      <w:pPr>
        <w:ind w:left="460" w:right="240" w:hanging="452"/>
        <w:spacing w:after="0" w:line="265"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Adjusted EBITDA is defined as net income plus interest expense net of interest income, plus income tax expense, plus depreciation and amortization (EBITDA), as adjusted for (i) the amortization of prepaid royalty payments recorded in conjunction with a settlement of a dispute with our former owner; (ii) contributions to Arizona school tuition organizations in lieu of the payment of state income taxes; (iii) share-based compensation; and (iv) one-time, unusual charges or gains, such as litigation and regulatory reserves, impairment charges and asset write-offs, exit or lease termination costs, contract termination fees, or the gain (loss) recognized on the settlement of a third party note receivable.</w:t>
      </w:r>
    </w:p>
    <w:p>
      <w:pPr>
        <w:spacing w:after="0" w:line="1" w:lineRule="exact"/>
        <w:rPr>
          <w:rFonts w:ascii="Arial" w:cs="Arial" w:eastAsia="Arial" w:hAnsi="Arial"/>
          <w:sz w:val="17"/>
          <w:szCs w:val="17"/>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Enrollment represents individual students who attended a course during the last two months of the calendar quarter.</w:t>
      </w:r>
    </w:p>
    <w:p>
      <w:pPr>
        <w:spacing w:after="0" w:line="21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and our credit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Royalty expenses paid to our former owner, contributions to Arizona school tuition organizations in lieu of the payment of state income taxes, share-based compensation, one time unusual charges or gains, such as estimated litigation and regulatory reserves, exit costs, contract and lease termination fees, and the gain recognized on the settlement of notes receivable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7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net income, operating income, or any other performance measure derived in accordance with and reported under GAAP or as an alternative to cash flow from operating activities or as a measure of our liquidity. Some of these limitations are that it does not reflect:</w:t>
      </w:r>
    </w:p>
    <w:p>
      <w:pPr>
        <w:spacing w:after="0" w:line="78" w:lineRule="exact"/>
        <w:rPr>
          <w:sz w:val="20"/>
          <w:szCs w:val="20"/>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expenditures for capital expenditures or contractual commitments;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or cash requirements for, our working capital requirements;</w:t>
      </w:r>
    </w:p>
    <w:p>
      <w:pPr>
        <w:spacing w:after="0" w:line="130" w:lineRule="exact"/>
        <w:rPr>
          <w:rFonts w:ascii="Arial" w:cs="Arial" w:eastAsia="Arial" w:hAnsi="Arial"/>
          <w:sz w:val="18"/>
          <w:szCs w:val="18"/>
          <w:color w:val="auto"/>
        </w:rPr>
      </w:pPr>
    </w:p>
    <w:p>
      <w:pPr>
        <w:ind w:left="5620" w:right="2840" w:hanging="4586"/>
        <w:spacing w:after="0" w:line="449" w:lineRule="auto"/>
        <w:tabs>
          <w:tab w:leader="none" w:pos="1476"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expense, or the cash required to replace assets that are being depreciated or amortized; and 45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right="320" w:hanging="446"/>
        <w:spacing w:after="0" w:line="277" w:lineRule="auto"/>
        <w:tabs>
          <w:tab w:leader="none" w:pos="14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on our reported results of earnings or charges resulting from the items for which we make adjustments to our EBITDA, as described above and set forth in the table below.</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 statements and the notes to those statements included elsewhere in this Annual Report on Form 10-K.</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Adjusted EBITDA to net income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680" w:type="dxa"/>
            <w:vAlign w:val="bottom"/>
            <w:gridSpan w:val="3"/>
            <w:vMerge w:val="continue"/>
          </w:tcPr>
          <w:p>
            <w:pPr>
              <w:spacing w:after="0"/>
              <w:rPr>
                <w:sz w:val="12"/>
                <w:szCs w:val="12"/>
                <w:color w:val="auto"/>
              </w:rPr>
            </w:pPr>
          </w:p>
        </w:tc>
        <w:tc>
          <w:tcPr>
            <w:tcW w:w="68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Pr>
          <w:p>
            <w:pPr>
              <w:spacing w:after="0"/>
              <w:rPr>
                <w:sz w:val="12"/>
                <w:szCs w:val="12"/>
                <w:color w:val="auto"/>
              </w:rPr>
            </w:pPr>
          </w:p>
        </w:tc>
        <w:tc>
          <w:tcPr>
            <w:tcW w:w="6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6"/>
              </w:rPr>
              <w:t>Net income</w:t>
            </w:r>
          </w:p>
        </w:tc>
        <w:tc>
          <w:tcPr>
            <w:tcW w:w="57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$ 131,411</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$ 111,466</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Plus: interest expense net of interest and other income</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395</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1,117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income tax expense</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77,596</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68,232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Plus: depreciation and amortization</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35,379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29,177</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25,141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EBITDA</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244,781</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209,992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172,063</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Plus: royalty to former owner</w:t>
            </w:r>
            <w:r>
              <w:rPr>
                <w:rFonts w:ascii="Arial" w:cs="Arial" w:eastAsia="Arial" w:hAnsi="Arial"/>
                <w:sz w:val="15"/>
                <w:szCs w:val="15"/>
                <w:color w:val="auto"/>
              </w:rPr>
              <w:t>(a)</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prepaid royalty impairment and other fixed asset impairments</w:t>
            </w:r>
            <w:r>
              <w:rPr>
                <w:rFonts w:ascii="Arial" w:cs="Arial" w:eastAsia="Arial" w:hAnsi="Arial"/>
                <w:sz w:val="15"/>
                <w:szCs w:val="15"/>
                <w:color w:val="auto"/>
              </w:rPr>
              <w:t>(b)</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Plus: contributions made in lieu of state income taxes</w:t>
            </w:r>
            <w:r>
              <w:rPr>
                <w:rFonts w:ascii="Arial" w:cs="Arial" w:eastAsia="Arial" w:hAnsi="Arial"/>
                <w:sz w:val="15"/>
                <w:szCs w:val="15"/>
                <w:color w:val="auto"/>
              </w:rPr>
              <w:t>(c)</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2,750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estimated litigation and regulatory reserves</w:t>
            </w:r>
            <w:r>
              <w:rPr>
                <w:rFonts w:ascii="Arial" w:cs="Arial" w:eastAsia="Arial" w:hAnsi="Arial"/>
                <w:sz w:val="15"/>
                <w:szCs w:val="15"/>
                <w:color w:val="auto"/>
              </w:rPr>
              <w:t>(d)</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328</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Plus: lease termination costs</w:t>
            </w:r>
            <w:r>
              <w:rPr>
                <w:rFonts w:ascii="Arial" w:cs="Arial" w:eastAsia="Arial" w:hAnsi="Arial"/>
                <w:sz w:val="15"/>
                <w:szCs w:val="15"/>
                <w:color w:val="auto"/>
              </w:rPr>
              <w:t>(e)</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Plus: loss (gain) on note receivable</w:t>
            </w:r>
            <w:r>
              <w:rPr>
                <w:rFonts w:ascii="Arial" w:cs="Arial" w:eastAsia="Arial" w:hAnsi="Arial"/>
                <w:sz w:val="15"/>
                <w:szCs w:val="15"/>
                <w:color w:val="auto"/>
              </w:rPr>
              <w:t>(f)</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958</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tcPr>
          <w:p>
            <w:pPr>
              <w:spacing w:after="0"/>
              <w:rPr>
                <w:sz w:val="20"/>
                <w:szCs w:val="20"/>
                <w:color w:val="auto"/>
              </w:rPr>
            </w:pPr>
            <w:r>
              <w:rPr>
                <w:rFonts w:ascii="Arial" w:cs="Arial" w:eastAsia="Arial" w:hAnsi="Arial"/>
                <w:sz w:val="18"/>
                <w:szCs w:val="18"/>
                <w:color w:val="auto"/>
              </w:rPr>
              <w:t>Plus: share-based compensation</w:t>
            </w:r>
            <w:r>
              <w:rPr>
                <w:rFonts w:ascii="Arial" w:cs="Arial" w:eastAsia="Arial" w:hAnsi="Arial"/>
                <w:sz w:val="15"/>
                <w:szCs w:val="15"/>
                <w:color w:val="auto"/>
              </w:rPr>
              <w:t>(g)</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11,257</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9,945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263,125</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227,812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185,086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60" w:hanging="452"/>
        <w:spacing w:after="0" w:line="25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Represents the amortization of prepaid royalty payments, as discussed in Note 2 to our consolidated financial statements that are included in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60" w:right="40" w:hanging="452"/>
        <w:spacing w:after="0" w:line="26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Represents the prepaid royalty impairment and other fixed asset impairments. The 2015 amount represents the write-off of the remaining book value of on campus buildings removed to make way for new dormitories and a classroom building as well as an internal use software write off. The 2014 amount relates to the termination during 2014 of our use of the Ken Blanchard name for our College of Business, as discussed in Note 2 to our consolidated financial statements that are included in Item 8, </w:t>
      </w:r>
      <w:r>
        <w:rPr>
          <w:rFonts w:ascii="Arial" w:cs="Arial" w:eastAsia="Arial" w:hAnsi="Arial"/>
          <w:sz w:val="17"/>
          <w:szCs w:val="17"/>
          <w:i w:val="1"/>
          <w:iCs w:val="1"/>
          <w:color w:val="auto"/>
        </w:rPr>
        <w:t>Consolidated Financial Statements and Supplementary Data</w:t>
      </w:r>
      <w:r>
        <w:rPr>
          <w:rFonts w:ascii="Arial" w:cs="Arial" w:eastAsia="Arial" w:hAnsi="Arial"/>
          <w:sz w:val="17"/>
          <w:szCs w:val="17"/>
          <w:color w:val="auto"/>
        </w:rPr>
        <w:t>.</w:t>
      </w:r>
    </w:p>
    <w:p>
      <w:pPr>
        <w:ind w:left="460" w:hanging="452"/>
        <w:spacing w:after="0" w:line="26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contributions to various Arizona school tuition organizations to assist with funding for education. In connection with such contributions made we received a dollar-for-dollar state income tax credit, which resulted in a reduction in our effective income tax rate to 37.1%, 38.0% and 38.8% for the years ended December 31, 2015, 2014 and 2013, respectively. Had these contributions not been made, our effective tax rate would have been 37.9%, 38.9% and 39.8%, for 2015, 2014 and 2013, respectively. Such contributions are viewed by our management to be made in lieu of payments of state income taxes and are therefore excluded from evaluation of our core operating performance.</w:t>
      </w:r>
    </w:p>
    <w:p>
      <w:pPr>
        <w:spacing w:after="0" w:line="1" w:lineRule="exact"/>
        <w:rPr>
          <w:rFonts w:ascii="Arial" w:cs="Arial" w:eastAsia="Arial" w:hAnsi="Arial"/>
          <w:sz w:val="17"/>
          <w:szCs w:val="17"/>
          <w:color w:val="auto"/>
        </w:rPr>
      </w:pPr>
    </w:p>
    <w:p>
      <w:pPr>
        <w:ind w:left="460" w:right="38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Reflects $3.9 million for the program review reserve in 2013, and $0.3 million and $0.9 million for estimated litigation reserves in 2015 and 2014, respectively. See Item 8, </w:t>
      </w:r>
      <w:r>
        <w:rPr>
          <w:rFonts w:ascii="Arial" w:cs="Arial" w:eastAsia="Arial" w:hAnsi="Arial"/>
          <w:sz w:val="18"/>
          <w:szCs w:val="18"/>
          <w:i w:val="1"/>
          <w:iCs w:val="1"/>
          <w:color w:val="auto"/>
        </w:rPr>
        <w:t>Consolidated Financial Statements and Supplementary Data</w:t>
      </w:r>
      <w:r>
        <w:rPr>
          <w:rFonts w:ascii="Arial" w:cs="Arial" w:eastAsia="Arial" w:hAnsi="Arial"/>
          <w:sz w:val="18"/>
          <w:szCs w:val="18"/>
          <w:color w:val="auto"/>
        </w:rPr>
        <w:t>.</w:t>
      </w:r>
    </w:p>
    <w:p>
      <w:pPr>
        <w:ind w:left="460" w:right="620" w:hanging="452"/>
        <w:spacing w:after="0" w:line="250"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Represents lease termination costs incurred related to the early termination of leased space. See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w:t>
      </w:r>
    </w:p>
    <w:p>
      <w:pPr>
        <w:ind w:left="460" w:hanging="452"/>
        <w:spacing w:after="0"/>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Represents loss (gain) on a note receivable purchased in December 2012. See Item 8, </w:t>
      </w:r>
      <w:r>
        <w:rPr>
          <w:rFonts w:ascii="Arial" w:cs="Arial" w:eastAsia="Arial" w:hAnsi="Arial"/>
          <w:sz w:val="16"/>
          <w:szCs w:val="16"/>
          <w:i w:val="1"/>
          <w:iCs w:val="1"/>
          <w:color w:val="auto"/>
        </w:rPr>
        <w:t>Consolidated Financial Statements and Supplementary Data</w:t>
      </w:r>
      <w:r>
        <w:rPr>
          <w:rFonts w:ascii="Arial" w:cs="Arial" w:eastAsia="Arial" w:hAnsi="Arial"/>
          <w:sz w:val="16"/>
          <w:szCs w:val="16"/>
          <w:color w:val="auto"/>
        </w:rPr>
        <w:t>.</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share-based compensation expense relating to restricted stock awards and option grants made to employees and directors.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 xml:space="preserve">The following discussion and analysis of our financial condition and results of operations for the years ended December 31, 2015 and 2014 should be read in conjunction with our consolidated financial statements and related notes that appear in Item 8, </w:t>
      </w:r>
      <w:r>
        <w:rPr>
          <w:rFonts w:ascii="Arial" w:cs="Arial" w:eastAsia="Arial" w:hAnsi="Arial"/>
          <w:sz w:val="16"/>
          <w:szCs w:val="16"/>
          <w:i w:val="1"/>
          <w:iCs w:val="1"/>
          <w:color w:val="auto"/>
        </w:rPr>
        <w:t>Consolidated Financial Statements and Supplementary</w:t>
      </w:r>
      <w:r>
        <w:rPr>
          <w:rFonts w:ascii="Arial" w:cs="Arial" w:eastAsia="Arial" w:hAnsi="Arial"/>
          <w:sz w:val="16"/>
          <w:szCs w:val="16"/>
          <w:color w:val="auto"/>
        </w:rPr>
        <w:t xml:space="preserve"> </w:t>
      </w:r>
      <w:r>
        <w:rPr>
          <w:rFonts w:ascii="Arial" w:cs="Arial" w:eastAsia="Arial" w:hAnsi="Arial"/>
          <w:sz w:val="16"/>
          <w:szCs w:val="16"/>
          <w:i w:val="1"/>
          <w:iCs w:val="1"/>
          <w:color w:val="auto"/>
        </w:rPr>
        <w:t>Data</w:t>
      </w:r>
      <w:r>
        <w:rPr>
          <w:rFonts w:ascii="Arial" w:cs="Arial" w:eastAsia="Arial" w:hAnsi="Arial"/>
          <w:sz w:val="16"/>
          <w:szCs w:val="16"/>
          <w:color w:val="auto"/>
        </w:rPr>
        <w:t>. In addition to historical information, the following discussion contains forward-looking statements that reflect our plans, estimates and beliefs. Our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actual results could differ materially from those discussed in the forward-looking statements. Factors that could cause or contribute to these differences include those discussed below and elsewhere in this Annual Report on Form 10-K, particularly in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and </w:t>
      </w:r>
      <w:r>
        <w:rPr>
          <w:rFonts w:ascii="Arial" w:cs="Arial" w:eastAsia="Arial" w:hAnsi="Arial"/>
          <w:sz w:val="16"/>
          <w:szCs w:val="16"/>
          <w:i w:val="1"/>
          <w:iCs w:val="1"/>
          <w:color w:val="auto"/>
        </w:rPr>
        <w:t>Forward-Looking Statements</w:t>
      </w:r>
      <w:r>
        <w:rPr>
          <w:rFonts w:ascii="Arial" w:cs="Arial" w:eastAsia="Arial" w:hAnsi="Arial"/>
          <w:sz w:val="16"/>
          <w:szCs w:val="16"/>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a comprehensive regionally accredited university that offers approximately 200 graduate and undergraduate degree programs and certificates across eight colleges both online and on ground at our approximately 200+ acre campus in Phoenix, Arizona, and onsite at facilities we lease and at facilities owned by third party employers. Our undergraduate programs are designed to be innovative and meet the future needs of employers, while providing students with the needed critical thinking and effective communication skills developed through a Christian,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 At December 31, 2015, we had approximately 74,500 students. At December 31, 2015, 79.6% of our students were enrolled in our online programs, and, of our working adult students (online and professional studies students), 47.8% were pursuing masters or doctoral degrees.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Developments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circumstances and trends present opportunities, challenges and risks.</w:t>
      </w:r>
    </w:p>
    <w:p>
      <w:pPr>
        <w:spacing w:after="0" w:line="221"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Evolving Postsecondary Education Market</w:t>
      </w:r>
      <w:r>
        <w:rPr>
          <w:rFonts w:ascii="Arial" w:cs="Arial" w:eastAsia="Arial" w:hAnsi="Arial"/>
          <w:sz w:val="16"/>
          <w:szCs w:val="16"/>
          <w:color w:val="auto"/>
        </w:rPr>
        <w:t>. We believe that there is a large number of traditional-aged students looking for a residential experience at an</w:t>
      </w:r>
      <w:r>
        <w:rPr>
          <w:rFonts w:ascii="Arial" w:cs="Arial" w:eastAsia="Arial" w:hAnsi="Arial"/>
          <w:sz w:val="16"/>
          <w:szCs w:val="16"/>
          <w:b w:val="1"/>
          <w:bCs w:val="1"/>
          <w:color w:val="auto"/>
        </w:rPr>
        <w:t xml:space="preserve"> </w:t>
      </w:r>
      <w:r>
        <w:rPr>
          <w:rFonts w:ascii="Arial" w:cs="Arial" w:eastAsia="Arial" w:hAnsi="Arial"/>
          <w:sz w:val="16"/>
          <w:szCs w:val="16"/>
          <w:color w:val="auto"/>
        </w:rPr>
        <w:t>affordable, private, Christian university. As a result of state funding challenges, most state universities are receiving less state subsidies and therefore have been forced to increase tuition, decrease the number of students they can accept and/or make other changes that impact the student experience. Some private universities also are facing enrollment challenges as a result of their high tuition costs. We also believe the number of non-traditional students who work, are raising a family, or are doing both while trying to earn a college degree continues to grow. The continued economic environment in the U.S., however, has caused an increased number of potential students and/or their parents to consider the cost of education as a primary factor in choosing the school that they will attend. Given these trends, we believe that many individuals will be attracted to our high quality academic programs at affordable tuition rates. We also believe that competition for students continues to increase. We compete primarily with traditional public and four-year degree-granting regionally accredited colleges and universities and other proprietary degree-granting regionally accredited schools. An increasing number of traditional colleges, universities and community colleges are offering distance learning and other online education programs, including programs that are geared towards the needs of working adult students. This trend has been accelerated by private companies that provide and/or manage online learning platforms for traditional colleges and universities. As the proportion of traditional colleges and universities providing alternative learning modalities increases, we face increasing competition for students from such institutions, including those with well-established reputations for excellence.</w:t>
      </w:r>
    </w:p>
    <w:p>
      <w:pPr>
        <w:spacing w:after="0" w:line="16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Regulation and Oversight. </w:t>
      </w:r>
      <w:r>
        <w:rPr>
          <w:rFonts w:ascii="Arial" w:cs="Arial" w:eastAsia="Arial" w:hAnsi="Arial"/>
          <w:sz w:val="17"/>
          <w:szCs w:val="17"/>
          <w:color w:val="auto"/>
        </w:rPr>
        <w:t>We are subject to extensive regulation by federal and state governmental agencies and accrediting bodies. In particular, the</w:t>
      </w:r>
      <w:r>
        <w:rPr>
          <w:rFonts w:ascii="Arial" w:cs="Arial" w:eastAsia="Arial" w:hAnsi="Arial"/>
          <w:sz w:val="17"/>
          <w:szCs w:val="17"/>
          <w:b w:val="1"/>
          <w:bCs w:val="1"/>
          <w:color w:val="auto"/>
        </w:rPr>
        <w:t xml:space="preserve"> </w:t>
      </w:r>
      <w:r>
        <w:rPr>
          <w:rFonts w:ascii="Arial" w:cs="Arial" w:eastAsia="Arial" w:hAnsi="Arial"/>
          <w:sz w:val="17"/>
          <w:szCs w:val="17"/>
          <w:color w:val="auto"/>
        </w:rPr>
        <w:t>Higher Education Act of 1965, as amended (the “Higher Education Act”), and the regulations promulgated thereunder by the Department of Education subject us to significant regulatory scrutiny on the basis of numerous standards that schools must satisfy in order to participate in the various federal student financial assistance programs under Title IV of the Higher Education Act. See Item 1. Business – Regulation. Recent regulations have imposed new reporting and disclosure requirements that have caused increased administrative burden and costs and may have a negative effect on our growth and enrollments. In addition, in recent years, there has been increased focus by Congress on the role that proprietary educational institutions play in higher education and various proposals to modify the laws to which proprietary educational institutions are subject. We cannot predict what legislation, if any, may result from these Congressional proposals or what impact any such legislation might have on the proprietary education sector generally or our business in particular. To the extent that any laws or regulations are adopted, or other administrative actions are taken, that limit our participation in Title IV programs or the amount of student financial aid for which the students at our institutions are eligible, our enrollments, revenues and results of operation could be materially and adversely affected.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2015 Events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experienced the following significant events in 2015:</w:t>
      </w:r>
    </w:p>
    <w:p>
      <w:pPr>
        <w:spacing w:after="0" w:line="131" w:lineRule="exact"/>
        <w:rPr>
          <w:sz w:val="20"/>
          <w:szCs w:val="20"/>
          <w:color w:val="auto"/>
        </w:rPr>
      </w:pPr>
    </w:p>
    <w:p>
      <w:pPr>
        <w:ind w:left="1480" w:right="40" w:hanging="446"/>
        <w:spacing w:after="0" w:line="285"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t>Enrollment, Net Revenue, Operating Income Growth with No Increase in Ground Tuition Rates.</w:t>
      </w:r>
      <w:r>
        <w:rPr>
          <w:rFonts w:ascii="Arial" w:cs="Arial" w:eastAsia="Arial" w:hAnsi="Arial"/>
          <w:sz w:val="16"/>
          <w:szCs w:val="16"/>
          <w:i w:val="1"/>
          <w:iCs w:val="1"/>
          <w:color w:val="auto"/>
        </w:rPr>
        <w:t xml:space="preserve"> </w:t>
      </w:r>
      <w:r>
        <w:rPr>
          <w:rFonts w:ascii="Arial" w:cs="Arial" w:eastAsia="Arial" w:hAnsi="Arial"/>
          <w:sz w:val="16"/>
          <w:szCs w:val="16"/>
          <w:color w:val="auto"/>
        </w:rPr>
        <w:t>We achieved enrollment growth of 9.9%</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fiscal year ended December 31, 2015, as ground enrollment increased 19.2% and online enrollment increased 7.7% over the prior year.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tuition, room, board, and fees in an amount that is often half to a third of what it costs to attend a private, traditional university in another state and an amount comparable to what it costs to attend a public university. Our online students pay tuition and fees in an amount that is often less than the cost of other high service online programs such as ours. For example, our largest local competitor’s undergraduate tuition for online programs ranges from $490 to $553 per credit hour and its graduate tuition for online programs ranges from $492 to $852 per credit hour while our online tuition per credit hour ranges from $355 to $470 for undergraduate programs and $330 to $640 for graduate programs. There are online programs that are less expensive than ours but those programs generally do not provide the full level of support services that we provide to our students.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We did not raise tuition in any of our programs for our 2014-2015 academic year. A tuition increase of approximately 1% was implemented for the majority of online programs for our 2015-2016 academic year. We have not raised our tuition for our traditional ground programs in seven years. Net revenues increased 12.6% over the prior year primarily due to the enrollment growth and due to an increase in ancillary revenues resulting from the increased traditional student enrollment (e.g. housing, food, etc.). Operating income was $210.4 million for the fiscal year ended December 31, 2015, an increase of 16.3% over the $180.8 million in operating income for 2014.</w:t>
      </w:r>
    </w:p>
    <w:p>
      <w:pPr>
        <w:spacing w:after="0" w:line="78" w:lineRule="exact"/>
        <w:rPr>
          <w:rFonts w:ascii="Arial" w:cs="Arial" w:eastAsia="Arial" w:hAnsi="Arial"/>
          <w:sz w:val="16"/>
          <w:szCs w:val="16"/>
          <w:color w:val="auto"/>
        </w:rPr>
      </w:pPr>
    </w:p>
    <w:p>
      <w:pPr>
        <w:ind w:left="1480" w:right="60" w:hanging="446"/>
        <w:spacing w:after="0" w:line="302"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t>Continued Program Expansion.</w:t>
      </w:r>
      <w:r>
        <w:rPr>
          <w:rFonts w:ascii="Arial" w:cs="Arial" w:eastAsia="Arial" w:hAnsi="Arial"/>
          <w:sz w:val="16"/>
          <w:szCs w:val="16"/>
          <w:i w:val="1"/>
          <w:iCs w:val="1"/>
          <w:color w:val="auto"/>
        </w:rPr>
        <w:t xml:space="preserve"> </w:t>
      </w:r>
      <w:r>
        <w:rPr>
          <w:rFonts w:ascii="Arial" w:cs="Arial" w:eastAsia="Arial" w:hAnsi="Arial"/>
          <w:sz w:val="16"/>
          <w:szCs w:val="16"/>
          <w:color w:val="auto"/>
        </w:rPr>
        <w:t>In the Fall of 2014, the University launched the College of Science, Engineering and Technology, rolling</w:t>
      </w:r>
      <w:r>
        <w:rPr>
          <w:rFonts w:ascii="Arial" w:cs="Arial" w:eastAsia="Arial" w:hAnsi="Arial"/>
          <w:sz w:val="16"/>
          <w:szCs w:val="16"/>
          <w:i w:val="1"/>
          <w:iCs w:val="1"/>
          <w:color w:val="auto"/>
        </w:rPr>
        <w:t xml:space="preserve"> </w:t>
      </w:r>
      <w:r>
        <w:rPr>
          <w:rFonts w:ascii="Arial" w:cs="Arial" w:eastAsia="Arial" w:hAnsi="Arial"/>
          <w:sz w:val="16"/>
          <w:szCs w:val="16"/>
          <w:color w:val="auto"/>
        </w:rPr>
        <w:t>out programs in computer science and information technology. In the Fall of 2015, three engineering programs, Electrical Engineering, Bio-medical Engineering and Mechanical Engineering began. In total the University now offers approximately 200 graduate and undergraduate degree programs and certificates across eight colleges with over 30 new programs or emphases rolled out in 2015.</w:t>
      </w:r>
    </w:p>
    <w:p>
      <w:pPr>
        <w:spacing w:after="0" w:line="59" w:lineRule="exact"/>
        <w:rPr>
          <w:rFonts w:ascii="Arial" w:cs="Arial" w:eastAsia="Arial" w:hAnsi="Arial"/>
          <w:sz w:val="16"/>
          <w:szCs w:val="16"/>
          <w:color w:val="auto"/>
        </w:rPr>
      </w:pPr>
    </w:p>
    <w:p>
      <w:pPr>
        <w:ind w:left="1480" w:hanging="446"/>
        <w:spacing w:after="0" w:line="286" w:lineRule="auto"/>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i w:val="1"/>
          <w:iCs w:val="1"/>
          <w:u w:val="single" w:color="auto"/>
          <w:color w:val="auto"/>
        </w:rPr>
        <w:t>Capital Expenditures.</w:t>
      </w:r>
      <w:r>
        <w:rPr>
          <w:rFonts w:ascii="Arial" w:cs="Arial" w:eastAsia="Arial" w:hAnsi="Arial"/>
          <w:sz w:val="16"/>
          <w:szCs w:val="16"/>
          <w:i w:val="1"/>
          <w:iCs w:val="1"/>
          <w:color w:val="auto"/>
        </w:rPr>
        <w:t xml:space="preserve"> </w:t>
      </w:r>
      <w:r>
        <w:rPr>
          <w:rFonts w:ascii="Arial" w:cs="Arial" w:eastAsia="Arial" w:hAnsi="Arial"/>
          <w:sz w:val="16"/>
          <w:szCs w:val="16"/>
          <w:color w:val="auto"/>
        </w:rPr>
        <w:t>Our capital expenditures in 2015 of $204.7 million were primarily related to the expansion of our 200+ acre</w:t>
      </w:r>
      <w:r>
        <w:rPr>
          <w:rFonts w:ascii="Arial" w:cs="Arial" w:eastAsia="Arial" w:hAnsi="Arial"/>
          <w:sz w:val="16"/>
          <w:szCs w:val="16"/>
          <w:i w:val="1"/>
          <w:iCs w:val="1"/>
          <w:color w:val="auto"/>
        </w:rPr>
        <w:t xml:space="preserve"> </w:t>
      </w:r>
      <w:r>
        <w:rPr>
          <w:rFonts w:ascii="Arial" w:cs="Arial" w:eastAsia="Arial" w:hAnsi="Arial"/>
          <w:sz w:val="16"/>
          <w:szCs w:val="16"/>
          <w:color w:val="auto"/>
        </w:rPr>
        <w:t>physical campus in Phoenix, Arizona and significant investments in technology innovation to support our students and staff. In order to accommodate the continued growth of the traditional ground population, the University completed four additional dormitories, an additional classroom building for the College of Science, Engineering and Technology and a third parking structure for the 2015/2016 school year and has recently started construction on three more apartment style residence halls, a 170,000 square foot classroom building for its College of Science, Engineering and Technology, a student service center and a fourth parking structure. In addition, the University acquired approximately 25 acres of land adjacent to or near campus for future development. Included in off-site development during 2015 is $10.0 million we spent to revitalize what was formerly known as the Maryvale Golf Course under a partnership agreement with the City of Phoenix. The golf course is now known as Grand Canyon University Championship golf course. Also, in late 2015, we commenced construction on an off-site office building and parking garage that is in close proximity to our ground traditional campus. Employees that work in two leased office buildings in the Phoenix area will be consolidated into this new building when it’s expected to be completed in late 2016. Although the University is funding the construction of the building and parking garage, the University is marketing these, along with a recently refurbished office building in the same development, as part of a sale-leaseback transaction. These investments are intended to support our growing on-campus student population as well as enhance the brand of the University.</w:t>
      </w:r>
    </w:p>
    <w:p>
      <w:pPr>
        <w:spacing w:after="0" w:line="77" w:lineRule="exact"/>
        <w:rPr>
          <w:rFonts w:ascii="Arial" w:cs="Arial" w:eastAsia="Arial" w:hAnsi="Arial"/>
          <w:sz w:val="16"/>
          <w:szCs w:val="16"/>
          <w:color w:val="auto"/>
        </w:rPr>
      </w:pPr>
    </w:p>
    <w:p>
      <w:pPr>
        <w:ind w:left="1480" w:hanging="446"/>
        <w:spacing w:after="0" w:line="269" w:lineRule="auto"/>
        <w:tabs>
          <w:tab w:leader="none" w:pos="1480" w:val="left"/>
        </w:tabs>
        <w:numPr>
          <w:ilvl w:val="0"/>
          <w:numId w:val="24"/>
        </w:numPr>
        <w:rPr>
          <w:rFonts w:ascii="Arial" w:cs="Arial" w:eastAsia="Arial" w:hAnsi="Arial"/>
          <w:sz w:val="17"/>
          <w:szCs w:val="17"/>
          <w:color w:val="auto"/>
        </w:rPr>
      </w:pPr>
      <w:r>
        <w:rPr>
          <w:rFonts w:ascii="Arial" w:cs="Arial" w:eastAsia="Arial" w:hAnsi="Arial"/>
          <w:sz w:val="17"/>
          <w:szCs w:val="17"/>
          <w:i w:val="1"/>
          <w:iCs w:val="1"/>
          <w:u w:val="single" w:color="auto"/>
          <w:color w:val="auto"/>
        </w:rPr>
        <w:t>Community Involvement and the Public Good</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2014, the University announced a five-point plan to restore west Phoenix through a) a</w:t>
      </w:r>
      <w:r>
        <w:rPr>
          <w:rFonts w:ascii="Arial" w:cs="Arial" w:eastAsia="Arial" w:hAnsi="Arial"/>
          <w:sz w:val="17"/>
          <w:szCs w:val="17"/>
          <w:i w:val="1"/>
          <w:iCs w:val="1"/>
          <w:color w:val="auto"/>
        </w:rPr>
        <w:t xml:space="preserve"> </w:t>
      </w:r>
      <w:r>
        <w:rPr>
          <w:rFonts w:ascii="Arial" w:cs="Arial" w:eastAsia="Arial" w:hAnsi="Arial"/>
          <w:sz w:val="17"/>
          <w:szCs w:val="17"/>
          <w:color w:val="auto"/>
        </w:rPr>
        <w:t>unique partnership with Habitat for Humanity to repair hundreds of homes in the University’s neighborhood; b) an ongoing initiative with the Phoenix Police Department to improve public safety; c) the creation of jobs and commerce on the main campus and along the Camelback Road corridor in West Phoenix; d) the development of a trained workforce in the areas of science, technology, engineering and mathematics; and e) the continued support of K-12 students at neighborhood schools via our Outreach Program. Our students are serving as tutors and mentors to these high school students and the results thus far have been extremely positive. The University continues to be involved in more than 120 community events and projects throughout the year, helping organizations such as the Phoenix Dream Center, Feed My Starving Children, Hopefest, Arizona Foster Care, Phoenix Rescue Mission, Boy/Girl Scouts, Goodwill Arizona, Muscular Dystrophy Association, Young Life and Elevate Phoenix. The University also puts on popular gift drives at Christmas and Easter to help brighten those seasons for many underprivileged families. Our faculty, staff and students also go out into our surrounding neighborhoods to participate in University sponsored programs such as Serve the City, Canyon Kids, 12 Months of Service and the Run to Fight Children’s Cancer.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Enrollment</w:t>
      </w:r>
    </w:p>
    <w:p>
      <w:pPr>
        <w:spacing w:after="0" w:line="121" w:lineRule="exact"/>
        <w:rPr>
          <w:sz w:val="20"/>
          <w:szCs w:val="20"/>
          <w:color w:val="auto"/>
        </w:rPr>
      </w:pPr>
    </w:p>
    <w:p>
      <w:pPr>
        <w:jc w:val="both"/>
        <w:ind w:right="80" w:firstLine="456"/>
        <w:spacing w:after="0" w:line="297" w:lineRule="auto"/>
        <w:rPr>
          <w:sz w:val="20"/>
          <w:szCs w:val="20"/>
          <w:color w:val="auto"/>
        </w:rPr>
      </w:pPr>
      <w:r>
        <w:rPr>
          <w:rFonts w:ascii="Arial" w:cs="Arial" w:eastAsia="Arial" w:hAnsi="Arial"/>
          <w:sz w:val="16"/>
          <w:szCs w:val="16"/>
          <w:color w:val="auto"/>
        </w:rPr>
        <w:t>Net revenue consists principally of tuition, room and board charges attributable to students residing on our ground campus, application and graduation fees, and fees from educational resources such as access to online materials or commissions we earn from bookstore and publication sales, less scholarships. Factors affecting our net revenue include: (i) the number of students who are enrolled and who remain enrolled in our courses; (ii) the number of credit hours per student; (iii) our degree and program mix; (iv) changes in our tuition rates; (v) the timing of our ground traditional campus semesters; (vi) the amount of the scholarships that we offer; and (vii) the number of students housed in, and the rent charged for, our on-campus student apartments and dormitories.</w:t>
      </w:r>
    </w:p>
    <w:p>
      <w:pPr>
        <w:spacing w:after="0" w:line="158"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define enrollment as individual students who attended a course during the last two months of the calendar quarter. We offer three 15-week semesters in a calendar year with one start available per semester for our traditional ground students. Online and professional studies students have more frequent class starts in five, seven, eight and sixteen-week courses through the calendar year. Enrollments are a function of the number of continuing students at the beginning of each period and new enrollments during the period, which are offset by graduations, withdrawals, and inactive students during the period. Inactive students for a particular period include students who are not registered in a class and, therefore, are not generating net revenue for that period, but who have not withdrawn from Grand Canyon University.</w:t>
      </w:r>
    </w:p>
    <w:p>
      <w:pPr>
        <w:spacing w:after="0" w:line="178"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believe that the principal factors that affect our enrollments and net revenue are the number and breadth of the programs we offer; the attractiveness of our program offerings and learning experience, particularly for career-oriented adults who are seeking pay increases or job opportunities that are directly tied to higher educational attainment; the effectiveness of our marketing, recruiting and retention efforts, which is affected by our brand strength and price point; the quality of our academic programs and student services; the convenience and flexibility of our online delivery platform; the availability and cost of federal and other funding for student financial aid; the seasonality of our net revenue, which is enrollment driven and is typically lowest in our second fiscal quarter and highest in our fourth fiscal quarter; and general economic conditions, particularly as they might affect job prospects in our core disciplines.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our student enrollment at December 31, 2015, 2014, and 2013 by degree type and by instructional delivery method: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2013</w:t>
            </w:r>
            <w:r>
              <w:rPr>
                <w:rFonts w:ascii="Arial" w:cs="Arial" w:eastAsia="Arial" w:hAnsi="Arial"/>
                <w:sz w:val="12"/>
                <w:szCs w:val="12"/>
                <w:b w:val="1"/>
                <w:bCs w:val="1"/>
                <w:color w:val="auto"/>
              </w:rPr>
              <w:t>(1)</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 of Students</w:t>
            </w:r>
          </w:p>
        </w:tc>
        <w:tc>
          <w:tcPr>
            <w:tcW w:w="4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 of Total</w:t>
            </w:r>
          </w:p>
        </w:tc>
        <w:tc>
          <w:tcPr>
            <w:tcW w:w="5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40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 of Total</w:t>
            </w:r>
          </w:p>
        </w:tc>
        <w:tc>
          <w:tcPr>
            <w:tcW w:w="5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 of Students</w:t>
            </w:r>
          </w:p>
        </w:tc>
        <w:tc>
          <w:tcPr>
            <w:tcW w:w="3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Graduate degree</w:t>
            </w:r>
            <w:r>
              <w:rPr>
                <w:rFonts w:ascii="Arial" w:cs="Arial" w:eastAsia="Arial" w:hAnsi="Arial"/>
                <w:sz w:val="15"/>
                <w:szCs w:val="15"/>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29,237</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26,319</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22,476</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Undergraduate degree</w:t>
            </w:r>
          </w:p>
        </w:tc>
        <w:tc>
          <w:tcPr>
            <w:tcW w:w="760" w:type="dxa"/>
            <w:vAlign w:val="bottom"/>
          </w:tcPr>
          <w:p>
            <w:pPr>
              <w:jc w:val="right"/>
              <w:spacing w:after="0"/>
              <w:rPr>
                <w:sz w:val="20"/>
                <w:szCs w:val="20"/>
                <w:color w:val="auto"/>
              </w:rPr>
            </w:pPr>
            <w:r>
              <w:rPr>
                <w:rFonts w:ascii="Arial" w:cs="Arial" w:eastAsia="Arial" w:hAnsi="Arial"/>
                <w:sz w:val="18"/>
                <w:szCs w:val="18"/>
                <w:color w:val="auto"/>
              </w:rPr>
              <w:t>45,269</w:t>
            </w:r>
          </w:p>
        </w:tc>
        <w:tc>
          <w:tcPr>
            <w:tcW w:w="42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60.8%</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41,487</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61.2%</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37,182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Borders>
              <w:lef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74,506</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67,806</w:t>
            </w:r>
          </w:p>
        </w:tc>
        <w:tc>
          <w:tcPr>
            <w:tcW w:w="11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59,658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1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2015</w:t>
            </w:r>
            <w:r>
              <w:rPr>
                <w:rFonts w:ascii="Arial" w:cs="Arial" w:eastAsia="Arial" w:hAnsi="Arial"/>
                <w:sz w:val="12"/>
                <w:szCs w:val="12"/>
                <w:b w:val="1"/>
                <w:bCs w:val="1"/>
                <w:color w:val="auto"/>
              </w:rPr>
              <w:t>(1)</w:t>
            </w:r>
          </w:p>
        </w:tc>
        <w:tc>
          <w:tcPr>
            <w:tcW w:w="6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r>
              <w:rPr>
                <w:rFonts w:ascii="Arial" w:cs="Arial" w:eastAsia="Arial" w:hAnsi="Arial"/>
                <w:sz w:val="12"/>
                <w:szCs w:val="12"/>
                <w:b w:val="1"/>
                <w:bCs w:val="1"/>
                <w:color w:val="auto"/>
              </w:rPr>
              <w:t>(1)</w:t>
            </w:r>
          </w:p>
        </w:tc>
        <w:tc>
          <w:tcPr>
            <w:tcW w:w="620" w:type="dxa"/>
            <w:vAlign w:val="bottom"/>
            <w:tcBorders>
              <w:bottom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1"/>
              </w:rPr>
              <w:t># of Students</w:t>
            </w:r>
          </w:p>
        </w:tc>
        <w:tc>
          <w:tcPr>
            <w:tcW w:w="4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 of Total</w:t>
            </w:r>
          </w:p>
        </w:tc>
        <w:tc>
          <w:tcPr>
            <w:tcW w:w="5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 of Students</w:t>
            </w:r>
          </w:p>
        </w:tc>
        <w:tc>
          <w:tcPr>
            <w:tcW w:w="40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50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 of Students</w:t>
            </w:r>
          </w:p>
        </w:tc>
        <w:tc>
          <w:tcPr>
            <w:tcW w:w="36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5"/>
              </w:rPr>
              <w:t>% of Total</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Online</w:t>
            </w:r>
            <w:r>
              <w:rPr>
                <w:rFonts w:ascii="Arial" w:cs="Arial" w:eastAsia="Arial" w:hAnsi="Arial"/>
                <w:sz w:val="15"/>
                <w:szCs w:val="15"/>
                <w:color w:val="auto"/>
              </w:rPr>
              <w:t>(3)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59,311</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79.6%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55,060</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49,580</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(4)</w:t>
            </w:r>
          </w:p>
        </w:tc>
        <w:tc>
          <w:tcPr>
            <w:tcW w:w="760" w:type="dxa"/>
            <w:vAlign w:val="bottom"/>
          </w:tcPr>
          <w:p>
            <w:pPr>
              <w:jc w:val="right"/>
              <w:spacing w:after="0"/>
              <w:rPr>
                <w:sz w:val="20"/>
                <w:szCs w:val="20"/>
                <w:color w:val="auto"/>
              </w:rPr>
            </w:pPr>
            <w:r>
              <w:rPr>
                <w:rFonts w:ascii="Arial" w:cs="Arial" w:eastAsia="Arial" w:hAnsi="Arial"/>
                <w:sz w:val="18"/>
                <w:szCs w:val="18"/>
                <w:color w:val="auto"/>
              </w:rPr>
              <w:t>15,195</w:t>
            </w:r>
          </w:p>
        </w:tc>
        <w:tc>
          <w:tcPr>
            <w:tcW w:w="4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20.4%</w:t>
            </w:r>
          </w:p>
        </w:tc>
        <w:tc>
          <w:tcPr>
            <w:tcW w:w="760" w:type="dxa"/>
            <w:vAlign w:val="bottom"/>
          </w:tcPr>
          <w:p>
            <w:pPr>
              <w:jc w:val="right"/>
              <w:spacing w:after="0"/>
              <w:rPr>
                <w:sz w:val="20"/>
                <w:szCs w:val="20"/>
                <w:color w:val="auto"/>
              </w:rPr>
            </w:pPr>
            <w:r>
              <w:rPr>
                <w:rFonts w:ascii="Arial" w:cs="Arial" w:eastAsia="Arial" w:hAnsi="Arial"/>
                <w:sz w:val="18"/>
                <w:szCs w:val="18"/>
                <w:color w:val="auto"/>
              </w:rPr>
              <w:t>12,746</w:t>
            </w:r>
          </w:p>
        </w:tc>
        <w:tc>
          <w:tcPr>
            <w:tcW w:w="4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18.8%</w:t>
            </w:r>
          </w:p>
        </w:tc>
        <w:tc>
          <w:tcPr>
            <w:tcW w:w="800" w:type="dxa"/>
            <w:vAlign w:val="bottom"/>
          </w:tcPr>
          <w:p>
            <w:pPr>
              <w:jc w:val="right"/>
              <w:spacing w:after="0"/>
              <w:rPr>
                <w:sz w:val="20"/>
                <w:szCs w:val="20"/>
                <w:color w:val="auto"/>
              </w:rPr>
            </w:pPr>
            <w:r>
              <w:rPr>
                <w:rFonts w:ascii="Arial" w:cs="Arial" w:eastAsia="Arial" w:hAnsi="Arial"/>
                <w:sz w:val="18"/>
                <w:szCs w:val="18"/>
                <w:color w:val="auto"/>
              </w:rPr>
              <w:t>10,078</w:t>
            </w:r>
          </w:p>
        </w:tc>
        <w:tc>
          <w:tcPr>
            <w:tcW w:w="3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74,506</w:t>
            </w:r>
          </w:p>
        </w:tc>
        <w:tc>
          <w:tcPr>
            <w:tcW w:w="42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67,806</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59,658</w:t>
            </w:r>
          </w:p>
        </w:tc>
        <w:tc>
          <w:tcPr>
            <w:tcW w:w="360" w:type="dxa"/>
            <w:vAlign w:val="bottom"/>
            <w:tcBorders>
              <w:lef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00" w:hanging="452"/>
        <w:spacing w:after="0" w:line="274" w:lineRule="auto"/>
        <w:tabs>
          <w:tab w:leader="none" w:pos="460" w:val="left"/>
        </w:tabs>
        <w:numPr>
          <w:ilvl w:val="0"/>
          <w:numId w:val="25"/>
        </w:numPr>
        <w:rPr>
          <w:rFonts w:ascii="Arial" w:cs="Arial" w:eastAsia="Arial" w:hAnsi="Arial"/>
          <w:sz w:val="14"/>
          <w:szCs w:val="14"/>
          <w:color w:val="auto"/>
        </w:rPr>
      </w:pPr>
      <w:r>
        <w:rPr>
          <w:rFonts w:ascii="Arial" w:cs="Arial" w:eastAsia="Arial" w:hAnsi="Arial"/>
          <w:sz w:val="17"/>
          <w:szCs w:val="17"/>
          <w:color w:val="auto"/>
        </w:rPr>
        <w:t>Enrollment represents individual students who attended a course during the last two months of the calendar quarter. Included in enrollment at December 31, 2015, 2014 and 2013 are students pursuing non-degree certificates of 679, 585, and 487, respectively.</w:t>
      </w: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6,302, 5,570 and 4,285 students pursuing doctoral degrees at December 31, 2015, 2014 and 2013, respectively.</w:t>
      </w:r>
    </w:p>
    <w:p>
      <w:pPr>
        <w:spacing w:after="0" w:line="9" w:lineRule="exact"/>
        <w:rPr>
          <w:rFonts w:ascii="Arial" w:cs="Arial" w:eastAsia="Arial" w:hAnsi="Arial"/>
          <w:sz w:val="15"/>
          <w:szCs w:val="15"/>
          <w:color w:val="auto"/>
        </w:rPr>
      </w:pPr>
    </w:p>
    <w:p>
      <w:pPr>
        <w:ind w:left="460" w:right="540" w:hanging="452"/>
        <w:spacing w:after="0" w:line="250"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As of December 31, 2015, 2014 and 2013, 47.8%, 46.0% and 43.5%, respectively, of our working adult students (online and professional studies students) were pursuing graduate or doctoral degrees.</w:t>
      </w:r>
    </w:p>
    <w:p>
      <w:pPr>
        <w:ind w:left="460" w:hanging="452"/>
        <w:spacing w:after="0"/>
        <w:tabs>
          <w:tab w:leader="none" w:pos="460" w:val="left"/>
        </w:tabs>
        <w:numPr>
          <w:ilvl w:val="0"/>
          <w:numId w:val="25"/>
        </w:numPr>
        <w:rPr>
          <w:rFonts w:ascii="Arial" w:cs="Arial" w:eastAsia="Arial" w:hAnsi="Arial"/>
          <w:sz w:val="15"/>
          <w:szCs w:val="15"/>
          <w:color w:val="auto"/>
        </w:rPr>
      </w:pPr>
      <w:r>
        <w:rPr>
          <w:rFonts w:ascii="Arial" w:cs="Arial" w:eastAsia="Arial" w:hAnsi="Arial"/>
          <w:sz w:val="18"/>
          <w:szCs w:val="18"/>
          <w:color w:val="auto"/>
        </w:rPr>
        <w:t>Includes our traditional on-campus students, as well as our professional studies students.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For the 2014-15 academic year (the academic year begins in May), our prices per credit hour range from $350 to $465 for undergraduate online and professional studies courses, $325 to $600 for graduate online courses, $630 for doctoral online programs, and $688 for undergraduate courses for ground students. For our active duty and active reserve online and professional studies students, our prices per credit hour are $250 for undergraduate, $400 for graduate courses and $599 for doctoral courses. The overall price of each course varies based upon the number of credit hours per course (with most courses representing four credit hours), the degree level of the program, and the discipline. In addition, we charge a fixed $8,250 “block tuition” for undergraduate ground students taking between 12 and 18 credit hours per semester, with an additional $688 per credit hour for credits in excess of 18. A traditional undergraduate degree typically requires a minimum of 120 credit hours. The minimum number of credit hours required for a master’s degree and overall cost for such a degree varies by program, although such programs typically require approximately 36 credit hours. The doctoral program requires approximately 60 credit hours. A tuition increase of approximately 1% was implemented for the majority of online programs in September 2015. The University has not raised tuition for its traditional ground programs in seven years.</w:t>
      </w:r>
    </w:p>
    <w:p>
      <w:pPr>
        <w:spacing w:after="0" w:line="17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Based on current tuition rates, tuition for a full program would generally equate to between $15,450 and $37,000 for an online master’s program, between $42,600 and $56,400 for a full four-year online bachelor’s program, $38,400 for a full doctoral program, and approximately $66,000 for a full four-year bachelor’s program taken on our ground campus. The tuition amounts referred to above assume no reductions for transfer credits or scholarships, which many of our students utilize to reduce their total program costs. For example, the average student on our ground traditional campus will pay approximately $8,300 in tuition in the 2015-16 school year after scholarships. Thus, based on the number of transfer credits and the scholarships they receive it is likely that a student will pay less than $34,000 in tuition for a bachelor’s degree on our ground campus. For the years ended December 31, 2015, 2014 and 2013, our revenue was reduced by approximately $163.9 million, $140.0 million and $111.8 million, respectively, as a result of scholarships that we offered to our students. The increase in scholarships reflects our increased revenues and our resulting increased use of scholarships (especially academic scholarships), to attract high performing students to our ground traditional campus.</w:t>
      </w:r>
    </w:p>
    <w:p>
      <w:pPr>
        <w:spacing w:after="0" w:line="18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Revenue per student for the year ended December 31, 2015 increased over 2014 primarily due to our residential traditional campus enrollment growing at a rate higher than our working adult enrollment. When factoring in room, board, and fees, the revenue per student is higher for these students than for our working adult students. We did not raise tuition in any of our programs for our 2014-2015 academic years and have not raised our tuition for our traditional ground program in seven years. A tuition increase of approximately 1% was implemented for the majority of online programs in September 2015. This reflects a concerted effort to control tuition pricing for students so that debt levels assumed by our students are reasonable. Tuition increases have not historically been, and may not in the future be, consistent across our programs due to market conditions and differences in operating costs of individual programs.</w:t>
      </w:r>
    </w:p>
    <w:p>
      <w:pPr>
        <w:spacing w:after="0" w:line="189"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We derive a majority of our net revenues from tuition financed by the Title IV programs. For the years ended December 31, 2015, 2014 and 2013, we derived cash receipts equal to approximately 74.8%, 76.5%, and 78.5%, respectively, of our net revenues from Title IV programs. Our students also may rely on scholarships, personal savings, private loans, and employer tuition reimbursements to pay a portion of their tuition and related expenses.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6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We believe that the following critical accounting policies involve our more significant judgments and estimates used in the preparation of our consolidated financial statements:</w:t>
      </w:r>
    </w:p>
    <w:p>
      <w:pPr>
        <w:spacing w:after="0" w:line="17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 Net revenues consist primarily of tuition and fees derived from courses taught by us online, at our approximately 200+ acre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campus in Phoenix, Arizona, and at facilities we lease or those of employers, as well as from related educational resources such as access to online materials. Tuition revenue and most fees and related educational resources are recognized pro-rata over the applicable period of instruction, net of scholarships awarded by us. Generally, we will refund all or a portion of tuition already paid pursuant to our refund policy, dependent upon length of course and modality and subject to certain state specific refund requirements.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to Title IV is required as a result of his or her withdrawal, the University recognizes revenue after a student withdraws only at the time of cash collection. Sales tax collected from students is excluded from net revenues. We also charge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statement of operations and are reflected as current liabilities in the accompanying balance sheet. Our educational programs have starting and ending dates that differ from our quarters. Therefore, at the end of each fiscal quarter, a portion of revenue from these programs is not yet earned. Other revenues may be recognized as sales occur or services are performed.</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59" w:right="2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Allowance for doubtful accounts</w:t>
      </w:r>
      <w:r>
        <w:rPr>
          <w:rFonts w:ascii="Arial" w:cs="Arial" w:eastAsia="Arial" w:hAnsi="Arial"/>
          <w:sz w:val="17"/>
          <w:szCs w:val="17"/>
          <w:color w:val="auto"/>
        </w:rPr>
        <w:t>. We record an allowance for doubtful accounts for estimated losses resulting from the inability, failure or refusal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students to make required payments, which includes the recovery of financial aid funds advanced to a student for amounts in excess of the student’s cost of tuition and related fees that we may have to return under Title IV after a student drops. We determine the adequacy of our allowance for doubtful accounts based on an analysis of our historical bad debt experience, current economic trends, and the aging of the accounts receivable and student status. We apply a reserve to our receivables based upon an estimate of the risk presented by the age of the receivables and student status. We write off accounts receivable balances of active students at the earlier of the time the balance is deemed uncollectible, or one year after the revenue is generated. We reserve for receivables due from inactive students on a more accelerated basis than those due from active students and write off inactive student accounts at 150 days, as amounts due from inactive students are much more difficult to collect than amounts due from active students. We monitor our collections and write-off experience to assess whether adjustments to the estimated reserve are necessary.</w:t>
      </w:r>
    </w:p>
    <w:p>
      <w:pPr>
        <w:spacing w:after="0" w:line="182"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b w:val="1"/>
          <w:bCs w:val="1"/>
          <w:i w:val="1"/>
          <w:iCs w:val="1"/>
          <w:color w:val="auto"/>
        </w:rPr>
        <w:t>Long-Lived Assets (other than goodwill)</w:t>
      </w:r>
      <w:r>
        <w:rPr>
          <w:rFonts w:ascii="Arial" w:cs="Arial" w:eastAsia="Arial" w:hAnsi="Arial"/>
          <w:sz w:val="16"/>
          <w:szCs w:val="16"/>
          <w:color w:val="auto"/>
        </w:rPr>
        <w:t>. We evaluate the recoverability of our long-lived assets for impairment whenever events or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color w:val="auto"/>
        </w:rPr>
        <w:t>. We recognize the amount of taxes payable or refundable for the current year and deferred tax assets and liabilities for future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consequences of events that have been recognized in our consolidated financial statements or tax returns. Deferred tax assets and liabilities are measured using enacted tax rates in effect for the year in which the temporary differences are expect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 As of December 31, 2015 and 2014, the University has reserved approximately $1,706 and $0, respectively, for uncertain tax positions, including interest and penalties. The increase in the reserve in 2015 was attributable to apportionment positions taken on state income tax returns related to the sourcing of receipts form services.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statements of operations data as a percentage of net revenue for each of the periods indicated: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250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0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Costs and expenses</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Instructional costs and services</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42.5</w:t>
            </w: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Admissions advisory and related</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44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15.7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16.2</w:t>
            </w: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Advertising</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r>
      <w:tr>
        <w:trPr>
          <w:trHeight w:val="216"/>
        </w:trPr>
        <w:tc>
          <w:tcPr>
            <w:tcW w:w="7080" w:type="dxa"/>
            <w:vAlign w:val="bottom"/>
          </w:tcPr>
          <w:p>
            <w:pPr>
              <w:ind w:left="360"/>
              <w:spacing w:after="0"/>
              <w:rPr>
                <w:sz w:val="20"/>
                <w:szCs w:val="20"/>
                <w:color w:val="auto"/>
              </w:rPr>
            </w:pPr>
            <w:r>
              <w:rPr>
                <w:rFonts w:ascii="Arial" w:cs="Arial" w:eastAsia="Arial" w:hAnsi="Arial"/>
                <w:sz w:val="18"/>
                <w:szCs w:val="18"/>
                <w:color w:val="auto"/>
              </w:rPr>
              <w:t>Marketing and promotional</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44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1.1</w:t>
            </w:r>
          </w:p>
        </w:tc>
        <w:tc>
          <w:tcPr>
            <w:tcW w:w="46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r>
      <w:tr>
        <w:trPr>
          <w:trHeight w:val="216"/>
        </w:trPr>
        <w:tc>
          <w:tcPr>
            <w:tcW w:w="7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r>
      <w:tr>
        <w:trPr>
          <w:trHeight w:val="230"/>
        </w:trPr>
        <w:tc>
          <w:tcPr>
            <w:tcW w:w="708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w:t>
            </w:r>
          </w:p>
        </w:tc>
        <w:tc>
          <w:tcPr>
            <w:tcW w:w="4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20"/>
                <w:szCs w:val="20"/>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26.2</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gridSpan w:val="3"/>
          </w:tcPr>
          <w:p>
            <w:pPr>
              <w:jc w:val="right"/>
              <w:ind w:right="400"/>
              <w:spacing w:after="0"/>
              <w:rPr>
                <w:sz w:val="20"/>
                <w:szCs w:val="20"/>
                <w:color w:val="auto"/>
              </w:rPr>
            </w:pPr>
            <w:r>
              <w:rPr>
                <w:rFonts w:ascii="Arial" w:cs="Arial" w:eastAsia="Arial" w:hAnsi="Arial"/>
                <w:sz w:val="18"/>
                <w:szCs w:val="18"/>
                <w:color w:val="auto"/>
              </w:rPr>
              <w:t>(0.2)</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4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9"/>
                <w:szCs w:val="19"/>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r>
      <w:tr>
        <w:trPr>
          <w:trHeight w:val="223"/>
        </w:trPr>
        <w:tc>
          <w:tcPr>
            <w:tcW w:w="7080" w:type="dxa"/>
            <w:vAlign w:val="bottom"/>
          </w:tcPr>
          <w:p>
            <w:pPr>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4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year ended December 31, 2015 was $778.2 million, an increase of $87.1 million, or 12.6%, as compared to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$691.1 million for the year ended December 31, 2014. This increase was primarily due to an increase in ground and online enrollment and, to a lesser extent, an increase in room and board and other student fees, partially offset by an increase in institutional scholarships. We did not raise tuition in any of our programs for our 2014-15 academic year. A tuition increase of approximately 1% was implemented for the majority of our online programs in September 2015. We have not raised our tuition for our traditional ground program in seven years. End-of-period enrollment increased 9.9% between December 31, 2015 and 2014, as ground enrollment increased 19.2% and online enrollment increased 7.7% over the prior year. The majority of the ground enrollment growth between years was residential students at our ground traditional campus in Phoenix, Arizona.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a public university.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72"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2015 were $329.7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$40.9 million, or 14.1%, as compared to instructional costs and services expenses of $288.8 million for the year ended December 31, 2014. This increase was primarily due to increases in instructional compensation and related expenses including share-based compensation, faculty compensation, occupancy and depreciation and amortization, dues, fees, subscriptions and other instructional supplies, bad debt expense and other miscellaneous instructional costs and services of $15.3 million, $7.3 million, $8.0 million, $7.6 million, $1.6 million and $1.1 million, respectively. The increase in employee compensation and related expenses and faculty compensation are primarily due to the increase in the number of staff to support the increasing number of students attending the University and increased benefit costs between years. In addition, we continue to increase our full-time faculty between years. The increase in occupancy, depreciation and amortization is the result of us placing into service additional buildings to support the growing number of ground traditional students.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 increased by 0.6% to 42.4% for the year ended December 31, 2015, as compared to 41.8% for the year ended December 31, 2014 due to an increase in dues, fees, subscriptions and other instructional supplies as a percentage of revenue due to the low profit margin derived on food sales, and occupancy, depreciation and amortization increasing as a percentage of revenue, partially offset by a decrease in bad debt expense from 2.2% of net revenue for the year ended December 31, 2014 to 2.1% of net revenues for the year ended December 31, 2015. We anticipate that instructional costs and services will continue to increase as a percentage of revenue due to these factors.</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i w:val="1"/>
          <w:iCs w:val="1"/>
          <w:color w:val="auto"/>
        </w:rPr>
        <w:t>Admissions advisory and related expenses</w:t>
      </w:r>
      <w:r>
        <w:rPr>
          <w:rFonts w:ascii="Arial" w:cs="Arial" w:eastAsia="Arial" w:hAnsi="Arial"/>
          <w:sz w:val="17"/>
          <w:szCs w:val="17"/>
          <w:color w:val="auto"/>
        </w:rPr>
        <w:t>. Our admissions advisory and related expenses for the year ended December 31, 2015 were $112.6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 increase of $4.0 million, or 3.7%, as compared to admissions advisory and related expenses of $108.6 million for the year ended December 31, 2014. This increase was primarily due to increases in employee compensation and related expenses, partially offset by decreases in other admissions advisory expenses of $5.1 million and $1.2 million, respectively. Employee compensation and related expenses increased as a result of increasing the number of enrollment counselors and increasing benefit costs between years. Our admissions advisory and related expenses as a percentage of net revenue decreased by 1.2% to 14.5% for the year ended December 31, 2015, from 15.7% for the year ended December 31, 2014 primarily due to our ability to leverage our admissions advisory personnel across an increasing revenue base. Although we are hopeful that we will continue to see leverage of our admissions advisory personnel, we do not anticipate the leverage in future years will be as significant as in 2015.</w:t>
      </w:r>
    </w:p>
    <w:p>
      <w:pPr>
        <w:spacing w:after="0" w:line="179"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i w:val="1"/>
          <w:iCs w:val="1"/>
          <w:color w:val="auto"/>
        </w:rPr>
        <w:t>Advertising expenses</w:t>
      </w:r>
      <w:r>
        <w:rPr>
          <w:rFonts w:ascii="Arial" w:cs="Arial" w:eastAsia="Arial" w:hAnsi="Arial"/>
          <w:sz w:val="16"/>
          <w:szCs w:val="16"/>
          <w:color w:val="auto"/>
        </w:rPr>
        <w:t>. Our advertising expenses for the year ended December 31, 2015 were $76.2 million, an increase of $10.4 million, or 15.8%,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advertising expenses of $65.8 million for the year ended December 31, 2014. This increase was primarily due to increased digital media and branding advertising focused on the southwestern United States region. Our advertising expenses as a percentage of net revenue increased by 0.3% to 9.8% for the year ended December 31, 2015, from 9.5% for the year ended December 31, 2014 as we have intentionally increased our advertising spend to increase brand awareness. We plan to continue to increase our advertising spend on brand awareness in 2016 to counter the increased advertising of our competitors.</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Marketing and promotional expenses</w:t>
      </w:r>
      <w:r>
        <w:rPr>
          <w:rFonts w:ascii="Arial" w:cs="Arial" w:eastAsia="Arial" w:hAnsi="Arial"/>
          <w:sz w:val="18"/>
          <w:szCs w:val="18"/>
          <w:color w:val="auto"/>
        </w:rPr>
        <w:t>. Our marketing and promotional expenses for the year ended December 31, 2015 were $7.3 million, a decrease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or 2.0%, as compared to marketing and promotional expenses of $7.4 million for the year ended December 31, 2014. Our marketing and promotional expenses as a percentage of net revenue decreased slightly by 0.2% to 0.9% for the year ended December 31, 2015, from 1.1% for the year ended December 31, 2014.</w:t>
      </w:r>
    </w:p>
    <w:p>
      <w:pPr>
        <w:spacing w:after="0" w:line="18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2015 were $42.1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$2.5 million, or 6.2%, as compared to general and administrative expenses of $39.6 million for the year ended December 31, 2014. This increase was primarily due to increases in legal, audit and insurance costs and employee compensation and related expenses including share-based compensation of $1.7 million and $0.4 million respectively, and our continued increases in contributions to charities, our community and city and state public-private partnerships. During 2015 and 2014 our contributions to private school tuition organizations in lieu of state income taxes were $2.8 million for both years. Our general and administrative expenses as a percentage of net revenue decreased by 0.3% to 5.4% for the year ended December 31, 2015, from 5.7% for the year ended December 31, 2014 due to our ability to leverage our general and administrative expenses across an increasing revenue base.</w:t>
      </w:r>
    </w:p>
    <w:p>
      <w:pPr>
        <w:spacing w:after="0" w:line="16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year ended December 31, 2015 was $1.2 million, a decrease of $0.6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$1.8 million for the year ended December 31, 2014. This decrease was primarily due to an increase in ongoing construction projects, resulting in higher capitalized interest and a decrease in the average balance of our credit facility between periods due to scheduled monthly principal payments. Our interest expense decreased as a percentage of net revenue by 0.1% to 0.2% for the year ended December 31, 2015, from 0.3% for the year ended December 31, 2014.</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i w:val="1"/>
          <w:iCs w:val="1"/>
          <w:color w:val="auto"/>
        </w:rPr>
        <w:t>Interest income and other</w:t>
      </w:r>
      <w:r>
        <w:rPr>
          <w:rFonts w:ascii="Arial" w:cs="Arial" w:eastAsia="Arial" w:hAnsi="Arial"/>
          <w:sz w:val="18"/>
          <w:szCs w:val="18"/>
          <w:color w:val="auto"/>
        </w:rPr>
        <w:t>. Our interest income and other for the year ended December 31, 2015 was a loss of $0.1 million, a decrease of $0.8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interest income and other of $0.7 million for the year ended December 31, 2014. The decrease was primarily due to the Arizona Court of Appeals reversing an earlier award of late penalty income of $1.0 million from the settlement of a note receivable.</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2015 was $77.6 million, an increase of $9.4 million from $68.2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2014. This increase was primarily attributable to increased income before income taxes. Our effective tax rate was 37.1% and 38.0% for the year ended December 31, 2015 and 2014, respectively. Our effective tax rate in 2015 is lower than the prior year due to state tax apportionment and rate changes. The tax rate for both periods is less than the annual effective tax rates due to the contributions made in lieu of state income taxes in the third quarter of both years.</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2015 was $131.4 million, an increase of $19.9 million, as compared to $111.5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2014, due to the factors discussed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117"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i w:val="1"/>
          <w:iCs w:val="1"/>
          <w:color w:val="auto"/>
        </w:rPr>
        <w:t>Net revenue</w:t>
      </w:r>
      <w:r>
        <w:rPr>
          <w:rFonts w:ascii="Arial" w:cs="Arial" w:eastAsia="Arial" w:hAnsi="Arial"/>
          <w:sz w:val="18"/>
          <w:szCs w:val="18"/>
          <w:color w:val="auto"/>
        </w:rPr>
        <w:t>. Our net revenue for the year ended December 31, 2014 was $691.1 million, an increase of $92.8 million, or 15.5%, as compared to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of $598.3 million for the year ended December 31, 2013. This increase was primarily due to an increase in ground and online enrollment and, to a lesser extent, an increase in room and board and other student fees, partially offset by an increase in institutional scholarships. We did not raise tuition in any of our programs for our 2013-2014 or 2014-15 academic years and have not raised our tuition for our traditional ground program in six years. End-of-period enrollment increased 13.7% between</w:t>
      </w:r>
    </w:p>
    <w:p>
      <w:pPr>
        <w:spacing w:after="0" w:line="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December 31, 2014 and 2013, as ground enrollment increased 26.5% and online enrollment increased 11.1% over the prior year. The majority of the ground enrollment growth between years was residential students at our ground traditional campus in Phoenix, Arizona. We attribute the significant growth in our ground enrollment between years to our increasing brand recognition and the value proposition that our ground traditional campus affords to traditional-aged students and their parents. After scholarships our ground traditional students pay for tuition, room, board, and fees, often half to a third of what it costs to attend a private, traditional university in another state and an amount comparable to what it costs to attend the public universities in the state of Arizona as an in-state student. Although our online enrollment continues to grow, as the proportion of traditional colleges and universities providing alternative learning modalities increases, we will face increasing competition for working adult students from such institutions, including those with well-established reputations for excellence. The growth in revenue per student between years is primarily due to our residential traditional campus enrollment growing at a rate higher than our working adult enrollment. When factoring in room, board and fees, the revenue per student is higher for these students than for our working adult students.</w:t>
      </w:r>
    </w:p>
    <w:p>
      <w:pPr>
        <w:spacing w:after="0" w:line="19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Instructional costs and services expenses</w:t>
      </w:r>
      <w:r>
        <w:rPr>
          <w:rFonts w:ascii="Arial" w:cs="Arial" w:eastAsia="Arial" w:hAnsi="Arial"/>
          <w:sz w:val="16"/>
          <w:szCs w:val="16"/>
          <w:color w:val="auto"/>
        </w:rPr>
        <w:t>. Our instructional costs and services expenses for the year ended December 31, 2014 were $288.8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$34.4 million, or 13.5%, as compared to instructional costs and services expenses of $254.4 million for the year ended December 31, 2013. This increase was primarily due to increases in instructional compensation and related expenses including share-based compensation, faculty compensation, occupancy and depreciation and amortization, dues, fees, subscriptions and other instructional supplies, and other miscellaneous instructional costs and services of $10.4 million, $8.6 million, $8.1 million, $6.7 million, and $5.5 million. These increases were partially offset by a decrease in bad debt expense of $4.9 million which resulted primarily from improved student retention and improved collection efforts. The increase in employee compensation and related expenses and faculty compensation are primarily due to the increase in the number of staff to support the increasing number of students attending the University. In addition, we continue to increase our online full-time faculty between years. The increase in occupancy, depreciation and amortization is the result of us placing into service additional buildings to support the growing number of ground traditional students. The increase in dues, fees, subscriptions and other instructional supplies is primarily due to increased licensing fees related to educational resources and increased food costs associated with a higher number of residential students. Our instructional costs and services expenses as a percentage of net revenue decreased by 0.7% to 41.8% for the year ended December 31, 2014, as compared to 42.5% for the year ended December 31, 2013 as bad debt expense decreased to 2.2% of net revenues for the year ended December 31, 2014 from 3.3% of net revenues for the year ended December 31, 2013 as well as our ability to leverage our instructional costs and services across an increasing revenue base, partially offset by an increase in dues, fees, subscriptions and other instructional supplies as a percentage of revenue due to the low profit margin derived on food sales.</w:t>
      </w:r>
    </w:p>
    <w:p>
      <w:pPr>
        <w:spacing w:after="0" w:line="16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Admissions advisory and related expenses</w:t>
      </w:r>
      <w:r>
        <w:rPr>
          <w:rFonts w:ascii="Arial" w:cs="Arial" w:eastAsia="Arial" w:hAnsi="Arial"/>
          <w:sz w:val="16"/>
          <w:szCs w:val="16"/>
          <w:color w:val="auto"/>
        </w:rPr>
        <w:t>. Our admissions advisory and related expenses for the year ended December 31, 2014 were $108.6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an increase of $11.5 million, or 11.8%, as compared to admissions advisory and related expenses of $97.1 million for the year ended December 31, 2013. This increase was primarily due to increases in employee compensation and related expenses, and other admissions advisory expenses of $10.2 million and $1.3 million, respectively. Employee compensation and related expenses increased as a result of increasing the number of enrollment counselors between years. Our admissions advisory and related expenses as a percentage of net revenue decreased by 0.5% to 15.7% for the year ended December 31, 2014, from 16.2% for the year ended December 31, 2013 primarily due to our ability to leverage our admissions advisory personnel across an increasing revenue base.</w:t>
      </w:r>
    </w:p>
    <w:p>
      <w:pPr>
        <w:spacing w:after="0" w:line="165"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i w:val="1"/>
          <w:iCs w:val="1"/>
          <w:color w:val="auto"/>
        </w:rPr>
        <w:t>Advertising expenses</w:t>
      </w:r>
      <w:r>
        <w:rPr>
          <w:rFonts w:ascii="Arial" w:cs="Arial" w:eastAsia="Arial" w:hAnsi="Arial"/>
          <w:sz w:val="17"/>
          <w:szCs w:val="17"/>
          <w:color w:val="auto"/>
        </w:rPr>
        <w:t>. Our advertising expenses for the year ended December 31, 2014 were $65.8 million, an increase of $4.8 million, or 7.9%,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advertising expenses of $61.0 million for the year ended December 31, 2013. This increase was primarily due to increased brand advertising focused on the southwestern United States region. Our advertising expenses as a percentage of net revenue decreased by 0.7% to 9.5% for the year ended December 31, 2014, from 10.2% for the year ended December 31, 2013. We spend less on advertising for ground traditional students than for online students and our ground traditional campus enrollment is growing faster than our online student enrollment.</w:t>
      </w:r>
    </w:p>
    <w:p>
      <w:pPr>
        <w:spacing w:after="0" w:line="173"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i w:val="1"/>
          <w:iCs w:val="1"/>
          <w:color w:val="auto"/>
        </w:rPr>
        <w:t>Marketing and promotional expenses</w:t>
      </w:r>
      <w:r>
        <w:rPr>
          <w:rFonts w:ascii="Arial" w:cs="Arial" w:eastAsia="Arial" w:hAnsi="Arial"/>
          <w:sz w:val="16"/>
          <w:szCs w:val="16"/>
          <w:color w:val="auto"/>
        </w:rPr>
        <w:t>. Our marketing and promotional expenses for the year ended December 31, 2014 were $7.4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$1.8 million, or 31.8%, as compared to marketing and promotional expenses of $5.6 million for the year ended December 31, 2013. This increase was primarily the result of increases in employee compensation and related expenses of $1.8 million. Our marketing and promotional expenses as a percentage of net revenue increased slightly by 0.2% to 1.1% for the year ended December 31, 2014, from 0.9% for the year ended December 31, 2013.</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year ended December 31, 2014 were $39.6 million, an increase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$2.7 million, or 7.3%, as compared to general and administrative expenses of $36.9 million for the year ended December 31, 2013. This increase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an increase in legal and insurance costs and other general and administrative costs including charitable contributions of $0.6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 million, respectively. During 2014 we increased our contributions to school tuition organizations in lieu of state income taxes to $2.8 million from $2.5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in 2013, and we continue to contribute to charities, our community and city and state public-private partnerships. Our general and administrative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expenses as a percentage of net revenue decreased by 0.5% to 5.7% for the year ended December 31, 2014, from 6.2% for the year ended December 31, 2013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to our ability to leverage our general and administrative expenses across an increasing revenue base.</w:t>
      </w:r>
    </w:p>
    <w:p>
      <w:pPr>
        <w:sectPr>
          <w:pgSz w:w="11900" w:h="16838" w:orient="portrait"/>
          <w:cols w:equalWidth="0" w:num="1">
            <w:col w:w="11420"/>
          </w:cols>
          <w:pgMar w:left="240" w:top="459" w:right="239"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Our interest expense for the year ended December 31, 2014 was $1.8 million, a decrease of $0.4 million, as compared to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$2.2 million for the year ended December 31, 2013. This decrease was primarily due to a decrease in the average balance of our credit facility between periods due to scheduled monthly principal payments. Our interest expense decreased as a percentage of net revenue by 0.1% to 0.3% for the year ended December 31, 2014, from 0.4% for the year ended December 31, 2013.</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i w:val="1"/>
          <w:iCs w:val="1"/>
          <w:color w:val="auto"/>
        </w:rPr>
        <w:t>Interest income and other</w:t>
      </w:r>
      <w:r>
        <w:rPr>
          <w:rFonts w:ascii="Arial" w:cs="Arial" w:eastAsia="Arial" w:hAnsi="Arial"/>
          <w:sz w:val="18"/>
          <w:szCs w:val="18"/>
          <w:color w:val="auto"/>
        </w:rPr>
        <w:t>. Our interest income and other for the year ended December 31, 2014 was $0.7 million, a decrease of $3.2 million,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interest income and other of $3.9 million for the year ended December 31, 2013. The decrease was primarily due to late penalty income and default interest earned on a settlement of a note receivable in 2013.</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for the year ended December 31, 2014 was $68.2 million, an increase of $12.0 million from $56.2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2013. This increase was primarily attributable to increased income before income taxes. Our effective tax rate was 38.0% and 38.8% for the year ended December 31, 2014 and 2013, respectively. Our effective tax rate in 2014 is lower than the prior year due primarily to state tax rate changes that began a gradual phase-in process during the first quarter of 2014.</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year ended December 31, 2014 was $111.5 million, an increase of $22.8 million, as compared to $88.7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2013, due to the factors discussed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enrollment. Student population varies as a result of new enrollments, graduations, and student attrition. The majority of our traditional ground students do not attend courses during the summer months (May through August), which affects our results for our second and third fiscal quarters. Since a significant amount of our campus costs are fixed, the lower revenue resulting from the decreased ground student enrollment has historically contributed to lower operating margins during those periods. We intend to continue to increase, the relative proportion of our students that are ground traditional students. Thus, we expect this summer effect to become more pronounced in future years.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During 2015, we financed our operating activities and capital expenditures primarily through cash provided by operating activities. Our</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cash, cash equivalents and investments were $106.4 million at December 31, 2015 and our restricted cash, cash equivalents and investments were $75.4 million. In December 2012, we entered into a new credit agreement, which increased our term loan to $100 million with a maturity date of December 2019. Additionally, this facility, as amended in January 2016, provides a revolving line of credit in the amount of $150 million through December 2017 to be utilized for working capital, capital expenditures and other general corporate purposes. Indebtedness under the credit facility is secured by our assets and is guaranteed by certain of our subsidiaries. No amounts were drawn on the revolver as of December 31, 2015.</w:t>
      </w:r>
    </w:p>
    <w:p>
      <w:pPr>
        <w:spacing w:after="0" w:line="17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In order to accommodate the continued growth of the traditional ground population, the University completed four additional dormitories, an additional classroom building for the College of Science, Engineering and Technology and a third parking structure prior to the 2015/2016 school year and has recently started construction on three more apartment style residence halls, a 170,000 square foot classroom building for its College of Science, Engineering and Technology, a student service center, and a fourth parking structure. In addition, the University acquired 25 acres of land adjacent to or near campus for future development. Included in off-site development during 2015 is $10.0 million we spent to revitalize what was formerly known as the Maryvale Golf Course under a partnership agreement with the City of Phoenix. The golf course is now known as Grand Canyon University Championship golf course. Also in late fall 2015 we commenced construction on an office building and a parking garage that is in close proximity to our ground traditional campus. Employees that work in two leased office buildings in the Phoenix area will be consolidated into this new building when it’s completed in late 2016. Although the University is funding the construction of the building and parking garage, the University is marketing these, along with a recently refurbished office building in the same development, as part of a sale-leaseback transaction. We anticipate capital expenditures in 2016 for the campus projects described above as well as for technology enhancements and equipment for our growing employee base, but excluding the offsite office building and parking garage, will be approximately $180 million.</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Our Board of Directors has authorized the University to repurchase up to $75 million in aggregate of common stock, from time to time, depending on market conditions and other considerations. The current expiration date on the repurchase authorization by our Board of Directors is September 30, 2016. Repurchases occur at the University’s discretion.</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Since the approval of the initial share repurchase plan, the University has purchased 3.1 million shares of common stock at an aggregate cost of $60.4 million, which includes 288,397 shares of common stock at an aggregate cost of $11.3 million during the year ended December 31, 2015. At December 31, 2015, there remains $14.6 million available under our current share repurchase authorization.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years ended December 31, 2015, 2014 and 2013 was $173.9 million, $167.0</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$118.4 million, respectively. Cash provided by operations in 2015, 2014 and 2013 resulted from our net income plus non-cash charges for provision for bad debts, depreciation and amortization, timing of income tax and employee related payments and student deposits and changes in other working capital.</w:t>
      </w:r>
    </w:p>
    <w:p>
      <w:pPr>
        <w:spacing w:after="0" w:line="187"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$200.9 million, $161.0 million, and $172.5 million for the years ended December 31,</w:t>
      </w:r>
      <w:r>
        <w:rPr>
          <w:rFonts w:ascii="Arial" w:cs="Arial" w:eastAsia="Arial" w:hAnsi="Arial"/>
          <w:sz w:val="16"/>
          <w:szCs w:val="16"/>
          <w:i w:val="1"/>
          <w:iCs w:val="1"/>
          <w:color w:val="auto"/>
        </w:rPr>
        <w:t xml:space="preserve"> </w:t>
      </w:r>
      <w:r>
        <w:rPr>
          <w:rFonts w:ascii="Arial" w:cs="Arial" w:eastAsia="Arial" w:hAnsi="Arial"/>
          <w:sz w:val="16"/>
          <w:szCs w:val="16"/>
          <w:color w:val="auto"/>
        </w:rPr>
        <w:t>2015, 2014, and 2013, respectively. Our cash used in investing activities is primarily related to the purchase of short-term investments and property and equipment, partially offset by proceeds from the sale or maturity of short-term investments and in 2013 proceeds received from the settlement of a note receivable. Proceeds from investment, net of purchases of short-term investments, was $17.4 million and $7.6 million during the year ended December 31, 2015 and 2014, respectively. Purchases of short-term investments, net of proceeds of these investments, was $108.4 million during the year ended December 31, 2013. Capital expenditures were $204.7 million, $168.7 million and $78.9 million for the years ended December 31, 2015, 2014, and 2013, respectively. In 2015, in order to accommodate the continued growth of our traditional ground population, we completed four additional dormitories, a classroom building for our College of Science, Technology and Engineering, and a third parking structure prior to the 2015/2016 school year and have recently started construction on three more apartment style residence halls, a 170,000 square foot classroom building for our College of Science, Engineering and Technology, a student service center, and a fourth parking structure, as well as land purchases adjacent to or near our Phoenix campus, and purchases of computer equipment, other internal use software projects and furniture and equipment to support our increasing employee headcount. Included in off-site development during 2015 is $10.0 million we spent to revitalize what was formerly known as the Maryvale Golf Course under a partnership agreement with the City of Phoenix. The golf course is now known as Grand Canyon University Championship golf course. Also, in late 2015, we commenced construction on an off-site office building and parking garage that is in close proximity to our ground traditional campus. Employees that work in two leased office buildings in the Phoenix area will be consolidated into this new building when it’s expected to be completed in late 2016. In 2014, capital expenditures primarily consisted of ground campus building projects such as the construction of an additional classroom building and parking garage, additional residence halls that accommodate another 1,600 students and land purchases adjacent to our Phoenix campus to support our growing traditional student enrollment as well as purchases of computer equipment, other internal use software projects and furniture and equipment to support our increasing employee headcount. In 2013, capital expenditures primarily consisted of ground campus building projects including the construction costs for two additional dormitories and an expansion of our student union, which includes additional food services and library space to support our growing traditional student enrollment as well as purchases of computer equipment, other internal use software projects and furniture and equipment to support our increasing employee headcount. In addition, during 2013 we spent $14.5 million to refurbish an off-site building that is being used as office space for our employees.</w:t>
      </w:r>
    </w:p>
    <w:p>
      <w:pPr>
        <w:spacing w:after="0" w:line="180"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i w:val="1"/>
          <w:iCs w:val="1"/>
          <w:color w:val="auto"/>
        </w:rPr>
        <w:t>Financing Activities</w:t>
      </w:r>
      <w:r>
        <w:rPr>
          <w:rFonts w:ascii="Arial" w:cs="Arial" w:eastAsia="Arial" w:hAnsi="Arial"/>
          <w:sz w:val="17"/>
          <w:szCs w:val="17"/>
          <w:color w:val="auto"/>
        </w:rPr>
        <w:t>. Net cash used in financing activities was $15.2 million for the year ended December 31, 2015. Net cash provided by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was $3.4 million and $4.8 million for the years ended December 31, 2014 and 2013, respectively. During 2015, $11.3 million was used to purchase treasury stock in accordance with the University’s share repurchase program and $4.3 million was used to purchase common shares withheld in lieu of income taxes resulting from restricted share awards while principal payments on notes payable and capital leases totaled $6.8 million, partially offset by proceeds from the exercise of stock options of $3.5 million and excess tax benefits from share-based compensation of $3.6 million. During 2014, proceeds from the exercise of stock options of $7.8 million and excess tax benefits from share-based compensation of $7.6 million were partially offset by $3.7 million used to purchase common shares withheld in lieu of income taxes resulting from restricted share awards and $1.6 million used to purchase treasury stock in accordance with the University’s share repurchase program and principal payments on notes payable and capital leases totaling $6.7 million. During 2013, proceeds from the exercise of stock options of $16.3 million and excess tax benefits from share-based compensation of $4.5 million were partially offset by $9.3 million used to purchase treasury stock in accordance with the University’s share repurchase program and principal payments on notes payable and capital leases totaling $6.7 million.</w:t>
      </w:r>
    </w:p>
    <w:p>
      <w:pPr>
        <w:sectPr>
          <w:pgSz w:w="11900" w:h="16838" w:orient="portrait"/>
          <w:cols w:equalWidth="0" w:num="1">
            <w:col w:w="11400"/>
          </w:cols>
          <w:pgMar w:left="240" w:top="459" w:right="259" w:bottom="1440" w:gutter="0" w:footer="0" w:header="0"/>
        </w:sectPr>
      </w:pP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459" w:right="25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 sets forth, as of December 31, 2015, the aggregate amounts of our significant contractual obligations and commitments with definitive payment terms due in each of the periods presented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Total</w:t>
            </w:r>
          </w:p>
        </w:tc>
        <w:tc>
          <w:tcPr>
            <w:tcW w:w="200" w:type="dxa"/>
            <w:vAlign w:val="bottom"/>
          </w:tcPr>
          <w:p>
            <w:pPr>
              <w:spacing w:after="0"/>
              <w:rPr>
                <w:sz w:val="10"/>
                <w:szCs w:val="10"/>
                <w:color w:val="auto"/>
              </w:rPr>
            </w:pPr>
          </w:p>
        </w:tc>
        <w:tc>
          <w:tcPr>
            <w:tcW w:w="9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2-3 Years</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4-5 Years</w:t>
            </w:r>
          </w:p>
        </w:tc>
        <w:tc>
          <w:tcPr>
            <w:tcW w:w="18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960" w:type="dxa"/>
            <w:vAlign w:val="bottom"/>
            <w:gridSpan w:val="3"/>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r>
              <w:rPr>
                <w:rFonts w:ascii="Arial" w:cs="Arial" w:eastAsia="Arial" w:hAnsi="Arial"/>
                <w:sz w:val="15"/>
                <w:szCs w:val="15"/>
                <w:color w:val="auto"/>
              </w:rPr>
              <w:t>(1)</w:t>
            </w:r>
          </w:p>
        </w:tc>
        <w:tc>
          <w:tcPr>
            <w:tcW w:w="2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5"/>
                <w:szCs w:val="15"/>
                <w:color w:val="auto"/>
              </w:rPr>
              <w:t>(2)</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(3)</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209.5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(4)</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311.8</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218.1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40" w:hanging="452"/>
        <w:spacing w:after="0" w:line="25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See Note 6, “Notes Payable and Other Noncurrent Liabilities,” to our consolidated financial statements, included in Item 8, </w:t>
      </w:r>
      <w:r>
        <w:rPr>
          <w:rFonts w:ascii="Arial" w:cs="Arial" w:eastAsia="Arial" w:hAnsi="Arial"/>
          <w:sz w:val="18"/>
          <w:szCs w:val="18"/>
          <w:i w:val="1"/>
          <w:iCs w:val="1"/>
          <w:color w:val="auto"/>
        </w:rPr>
        <w:t>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and Supplementary Data</w:t>
      </w:r>
      <w:r>
        <w:rPr>
          <w:rFonts w:ascii="Arial" w:cs="Arial" w:eastAsia="Arial" w:hAnsi="Arial"/>
          <w:sz w:val="18"/>
          <w:szCs w:val="18"/>
          <w:color w:val="auto"/>
        </w:rPr>
        <w:t>, for a discussion of our long term notes payable and other obligations.</w:t>
      </w:r>
    </w:p>
    <w:p>
      <w:pPr>
        <w:spacing w:after="0" w:line="1" w:lineRule="exact"/>
        <w:rPr>
          <w:rFonts w:ascii="Arial" w:cs="Arial" w:eastAsia="Arial" w:hAnsi="Arial"/>
          <w:sz w:val="18"/>
          <w:szCs w:val="18"/>
          <w:color w:val="auto"/>
        </w:rPr>
      </w:pPr>
    </w:p>
    <w:p>
      <w:pPr>
        <w:ind w:left="460" w:right="76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See Note 7, “Capital Lease Obligations,” to our consolidated financial statements, included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capital lease obligations.</w:t>
      </w:r>
    </w:p>
    <w:p>
      <w:pPr>
        <w:ind w:left="460" w:right="20" w:hanging="452"/>
        <w:spacing w:after="0" w:line="250"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unconditional purchase obligations and other obligations. Amount consists primarily of construction agreements for construction in progress on our ground traditional campus and an off-site office building and parking garage.</w:t>
      </w:r>
    </w:p>
    <w:p>
      <w:pPr>
        <w:ind w:left="460" w:right="240" w:hanging="452"/>
        <w:spacing w:after="0" w:line="261"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See Note 8, “Commitments and Contingencies,” to our consolidated financial statements, included in Item 8, </w:t>
      </w:r>
      <w:r>
        <w:rPr>
          <w:rFonts w:ascii="Arial" w:cs="Arial" w:eastAsia="Arial" w:hAnsi="Arial"/>
          <w:sz w:val="18"/>
          <w:szCs w:val="18"/>
          <w:i w:val="1"/>
          <w:iCs w:val="1"/>
          <w:color w:val="auto"/>
        </w:rPr>
        <w:t>Consolidated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w:t>
      </w:r>
      <w:r>
        <w:rPr>
          <w:rFonts w:ascii="Arial" w:cs="Arial" w:eastAsia="Arial" w:hAnsi="Arial"/>
          <w:sz w:val="18"/>
          <w:szCs w:val="18"/>
          <w:color w:val="auto"/>
        </w:rPr>
        <w:t>, for a discussion of our operating lease obligations.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00" w:firstLine="456"/>
        <w:spacing w:after="0" w:line="308"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Discussion</w:t>
      </w:r>
    </w:p>
    <w:p>
      <w:pPr>
        <w:spacing w:after="0" w:line="121"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 See Item 6, </w:t>
      </w:r>
      <w:r>
        <w:rPr>
          <w:rFonts w:ascii="Arial" w:cs="Arial" w:eastAsia="Arial" w:hAnsi="Arial"/>
          <w:sz w:val="18"/>
          <w:szCs w:val="18"/>
          <w:i w:val="1"/>
          <w:iCs w:val="1"/>
          <w:color w:val="auto"/>
        </w:rPr>
        <w:t>Selected Consolidated Financial and Other Data,</w:t>
      </w:r>
      <w:r>
        <w:rPr>
          <w:rFonts w:ascii="Arial" w:cs="Arial" w:eastAsia="Arial" w:hAnsi="Arial"/>
          <w:sz w:val="18"/>
          <w:szCs w:val="18"/>
          <w:color w:val="auto"/>
        </w:rPr>
        <w:t xml:space="preserve"> for a discussion of our Adjusted EBITDA computation and reconciliation.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2, Summary of Significant Accounting Policies, in Item 8, Consolidated Financial Statements and Supplementary Data</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Impact of inflation. </w:t>
      </w:r>
      <w:r>
        <w:rPr>
          <w:rFonts w:ascii="Arial" w:cs="Arial" w:eastAsia="Arial" w:hAnsi="Arial"/>
          <w:sz w:val="16"/>
          <w:szCs w:val="16"/>
          <w:color w:val="auto"/>
        </w:rPr>
        <w:t>We believe that inflation has not had a material impact on our results of operations for the years ended December 31, 2015, 2014,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There can be no assurance that future inflation will not have an adverse impact on our operating results and financial condition.</w:t>
      </w:r>
    </w:p>
    <w:p>
      <w:pPr>
        <w:spacing w:after="0" w:line="14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i w:val="1"/>
          <w:iCs w:val="1"/>
          <w:color w:val="auto"/>
        </w:rPr>
        <w:t>Market risk</w:t>
      </w:r>
      <w:r>
        <w:rPr>
          <w:rFonts w:ascii="Arial" w:cs="Arial" w:eastAsia="Arial" w:hAnsi="Arial"/>
          <w:sz w:val="16"/>
          <w:szCs w:val="16"/>
          <w:color w:val="auto"/>
        </w:rPr>
        <w:t>. On February 27, 2013 we entered into an interest rate corridor to manage our 30-day LIBOR interest exposure from variable rate debt,</w:t>
      </w:r>
      <w:r>
        <w:rPr>
          <w:rFonts w:ascii="Arial" w:cs="Arial" w:eastAsia="Arial" w:hAnsi="Arial"/>
          <w:sz w:val="16"/>
          <w:szCs w:val="16"/>
          <w:i w:val="1"/>
          <w:iCs w:val="1"/>
          <w:color w:val="auto"/>
        </w:rPr>
        <w:t xml:space="preserve"> </w:t>
      </w:r>
      <w:r>
        <w:rPr>
          <w:rFonts w:ascii="Arial" w:cs="Arial" w:eastAsia="Arial" w:hAnsi="Arial"/>
          <w:sz w:val="16"/>
          <w:szCs w:val="16"/>
          <w:color w:val="auto"/>
        </w:rPr>
        <w:t>which matures in December 2019. The corridor instrument, which hedges variable interest rate risk starting March 1, 2013 through December 20, 2019 with a notional amount of $80.0 million as of December 31, 2015, permits us to hedge our interest rate risk at several thresholds. Under this arrangement, in addition to the credit spread, we will pay variable interest rates based on the 30-day LIBOR rates monthly until that index reaches 1.5%. If 30-day LIBOR is equal to 1.5% through 3.0%, we will continue to pay 1.5%. If the 30-day LIBOR exceeds 3.0%, we will pay actual 30-day LIBOR less 1.5%.</w:t>
      </w:r>
    </w:p>
    <w:p>
      <w:pPr>
        <w:spacing w:after="0" w:line="158"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municipal bond portfolios, or municipal mutual funds at multiple financial institutions.</w:t>
      </w:r>
    </w:p>
    <w:p>
      <w:pPr>
        <w:spacing w:after="0" w:line="18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through the instruments noted above and by investing excess funds in cash equivalents, BB or higher</w:t>
      </w:r>
      <w:r>
        <w:rPr>
          <w:rFonts w:ascii="Arial" w:cs="Arial" w:eastAsia="Arial" w:hAnsi="Arial"/>
          <w:sz w:val="18"/>
          <w:szCs w:val="18"/>
          <w:i w:val="1"/>
          <w:iCs w:val="1"/>
          <w:color w:val="auto"/>
        </w:rPr>
        <w:t xml:space="preserve"> </w:t>
      </w:r>
      <w:r>
        <w:rPr>
          <w:rFonts w:ascii="Arial" w:cs="Arial" w:eastAsia="Arial" w:hAnsi="Arial"/>
          <w:sz w:val="18"/>
          <w:szCs w:val="18"/>
          <w:color w:val="auto"/>
        </w:rPr>
        <w:t>rated municipal bonds and municipal mutual funds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2015, a 10% increase or decrease in interest rates would not have a material impact on our future earnings, fair values, or cash flows. For information regarding our variable rate notes payable, see “Market risk” above.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220" w:type="dxa"/>
            <w:vAlign w:val="bottom"/>
            <w:gridSpan w:val="8"/>
          </w:tcPr>
          <w:p>
            <w:pPr>
              <w:ind w:left="240"/>
              <w:spacing w:after="0"/>
              <w:rPr>
                <w:sz w:val="20"/>
                <w:szCs w:val="20"/>
                <w:color w:val="auto"/>
              </w:rPr>
            </w:pPr>
            <w:r>
              <w:rPr>
                <w:rFonts w:ascii="Arial" w:cs="Arial" w:eastAsia="Arial" w:hAnsi="Arial"/>
                <w:sz w:val="18"/>
                <w:szCs w:val="18"/>
                <w:b w:val="1"/>
                <w:bCs w:val="1"/>
                <w:i w:val="1"/>
                <w:iCs w:val="1"/>
                <w:color w:val="auto"/>
              </w:rPr>
              <w:t>Consolidated Financial Statements and Supplementary Data</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020" w:type="dxa"/>
            <w:vAlign w:val="bottom"/>
            <w:gridSpan w:val="9"/>
            <w:vMerge w:val="restart"/>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Report of Independent Registered Public Accounting Firm</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20" w:type="dxa"/>
            <w:vAlign w:val="bottom"/>
            <w:gridSpan w:val="9"/>
            <w:vMerge w:val="continue"/>
          </w:tcPr>
          <w:p>
            <w:pPr>
              <w:spacing w:after="0"/>
              <w:rPr>
                <w:sz w:val="13"/>
                <w:szCs w:val="13"/>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6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Consolidated Balance Sheets as of December 31, 2015 and 2014</w:t>
              </w:r>
            </w:hyperlink>
          </w:p>
        </w:tc>
        <w:tc>
          <w:tcPr>
            <w:tcW w:w="636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4"/>
        </w:trPr>
        <w:tc>
          <w:tcPr>
            <w:tcW w:w="64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Income Statements for the years ended December 31, 2015, 2014 and 2013</w:t>
              </w:r>
            </w:hyperlink>
          </w:p>
        </w:tc>
        <w:tc>
          <w:tcPr>
            <w:tcW w:w="46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04"/>
        </w:trPr>
        <w:tc>
          <w:tcPr>
            <w:tcW w:w="11020" w:type="dxa"/>
            <w:vAlign w:val="bottom"/>
            <w:gridSpan w:val="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Comprehensive Income for the years ended December 31, 2015, 2014 and 2013</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76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Consolidated Statements of Stockholders’ Equity for the years ended December 31, 2015, 2014 and 2013</w:t>
              </w:r>
            </w:hyperlink>
          </w:p>
        </w:tc>
        <w:tc>
          <w:tcPr>
            <w:tcW w:w="180" w:type="dxa"/>
            <w:vAlign w:val="bottom"/>
            <w:tcBorders>
              <w:top w:val="single" w:sz="8" w:color="0000EE"/>
            </w:tcBorders>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69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Cash Flows for the years ended December 31, 2015, 2014 and 2013</w:t>
              </w:r>
            </w:hyperlink>
          </w:p>
        </w:tc>
        <w:tc>
          <w:tcPr>
            <w:tcW w:w="410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316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Notes to Consolidated Financial Statements</w:t>
              </w:r>
            </w:hyperlink>
          </w:p>
        </w:tc>
        <w:tc>
          <w:tcPr>
            <w:tcW w:w="786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4"/>
                <w:szCs w:val="24"/>
                <w:color w:val="auto"/>
              </w:rPr>
            </w:pPr>
          </w:p>
        </w:tc>
        <w:tc>
          <w:tcPr>
            <w:tcW w:w="5620" w:type="dxa"/>
            <w:vAlign w:val="bottom"/>
            <w:gridSpan w:val="4"/>
          </w:tcPr>
          <w:p>
            <w:pPr>
              <w:jc w:val="right"/>
              <w:ind w:right="620"/>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have audited the accompanying consolidated balance sheets of Grand Canyon Education, Inc. and subsidiaries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and 2014, and the related consolidated statements of income, comprehensive income, stockholders’ equity, and cash flows for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in the three-year period ended December 31, 2015. These consolidated financial statements are the responsibility of the Company’s management.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responsibility is to express an opinion on these consolidated financial statements based on our audits.</w:t>
      </w:r>
    </w:p>
    <w:p>
      <w:pPr>
        <w:spacing w:after="0" w:line="21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Grand Canyon Education, Inc. and subsidiaries as of December 31, 2015 and 2014, and the results of their operations and their cash flows for each of the years in the three-year period ended December 31, 2015, in conformity with U.S. generally accepted accounting principles.</w:t>
      </w:r>
    </w:p>
    <w:p>
      <w:pPr>
        <w:spacing w:after="0" w:line="18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Grand Canyon Education, Inc.’s internal control over financial reporting as of December 31, 2015, based on criteria established in </w:t>
      </w:r>
      <w:r>
        <w:rPr>
          <w:rFonts w:ascii="Arial" w:cs="Arial" w:eastAsia="Arial" w:hAnsi="Arial"/>
          <w:sz w:val="16"/>
          <w:szCs w:val="16"/>
          <w:i w:val="1"/>
          <w:iCs w:val="1"/>
          <w:color w:val="auto"/>
        </w:rPr>
        <w:t>Internal Control — Integrated Framework</w:t>
      </w:r>
    </w:p>
    <w:p>
      <w:pPr>
        <w:ind w:right="60"/>
        <w:spacing w:after="0" w:line="261" w:lineRule="auto"/>
        <w:rPr>
          <w:sz w:val="20"/>
          <w:szCs w:val="20"/>
          <w:color w:val="auto"/>
        </w:rPr>
      </w:pP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and our report dated February 17, 2016 expressed an unqualified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opinion on the effectiveness of the Company’s internal control over financial reporting.</w:t>
      </w:r>
    </w:p>
    <w:p>
      <w:pPr>
        <w:spacing w:after="0" w:line="184"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6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7640" w:type="dxa"/>
            <w:vAlign w:val="bottom"/>
            <w:tcBorders>
              <w:top w:val="single" w:sz="8" w:color="CCEEFF"/>
            </w:tcBorders>
            <w:shd w:val="clear" w:color="auto" w:fill="CCEEFF"/>
          </w:tcPr>
          <w:p>
            <w:pPr>
              <w:ind w:left="332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23,036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Restricted cash, cash equivalents and investments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75,384</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67,840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83,364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100,784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6,448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19,428</w:t>
            </w:r>
          </w:p>
        </w:tc>
        <w:tc>
          <w:tcPr>
            <w:tcW w:w="0" w:type="dxa"/>
            <w:vAlign w:val="bottom"/>
          </w:tcPr>
          <w:p>
            <w:pPr>
              <w:spacing w:after="0"/>
              <w:rPr>
                <w:sz w:val="1"/>
                <w:szCs w:val="1"/>
                <w:color w:val="auto"/>
              </w:rPr>
            </w:pP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221,345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267,045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667,483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478,170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898,430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755,713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40" w:type="dxa"/>
            <w:vAlign w:val="bottom"/>
            <w:vMerge w:val="restart"/>
          </w:tcPr>
          <w:p>
            <w:pPr>
              <w:ind w:left="74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34,149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compensation and benefits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17,895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13,846</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Student deposits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76,742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69,584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37,876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Due to related parties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ind w:left="340"/>
              <w:spacing w:after="0"/>
              <w:rPr>
                <w:sz w:val="20"/>
                <w:szCs w:val="20"/>
                <w:color w:val="auto"/>
              </w:rPr>
            </w:pPr>
            <w:r>
              <w:rPr>
                <w:rFonts w:ascii="Arial" w:cs="Arial" w:eastAsia="Arial" w:hAnsi="Arial"/>
                <w:sz w:val="18"/>
                <w:szCs w:val="18"/>
                <w:color w:val="auto"/>
              </w:rPr>
              <w:t>Current portion of notes payable</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6,625</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188,534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178,711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Capital lease obligations, less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Deferred income taxes, non-current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21,303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73,252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79,877</w:t>
            </w:r>
          </w:p>
        </w:tc>
        <w:tc>
          <w:tcPr>
            <w:tcW w:w="0" w:type="dxa"/>
            <w:vAlign w:val="bottom"/>
          </w:tcPr>
          <w:p>
            <w:pPr>
              <w:spacing w:after="0"/>
              <w:rPr>
                <w:sz w:val="1"/>
                <w:szCs w:val="1"/>
                <w:color w:val="auto"/>
              </w:rPr>
            </w:pPr>
          </w:p>
        </w:tc>
      </w:tr>
      <w:tr>
        <w:trPr>
          <w:trHeight w:val="230"/>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288,179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279,481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Preferred stock, $0.01 par value, 10,000 shares authorized; 0 shares issued and outstanding at December 31, 2015 and 2014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00" w:type="dxa"/>
            <w:vAlign w:val="bottom"/>
            <w:gridSpan w:val="2"/>
          </w:tcPr>
          <w:p>
            <w:pPr>
              <w:spacing w:after="0" w:line="201" w:lineRule="exact"/>
              <w:rPr>
                <w:sz w:val="20"/>
                <w:szCs w:val="20"/>
                <w:color w:val="auto"/>
              </w:rPr>
            </w:pPr>
            <w:r>
              <w:rPr>
                <w:rFonts w:ascii="Arial" w:cs="Arial" w:eastAsia="Arial" w:hAnsi="Arial"/>
                <w:sz w:val="18"/>
                <w:szCs w:val="18"/>
                <w:color w:val="auto"/>
                <w:w w:val="95"/>
              </w:rPr>
              <w:t>Common stock, $0.01 par value, 100,000 shares authorized; 50,288 and 49,746 shares issued and 46,877 and 46,744 shares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0" w:type="dxa"/>
            <w:vAlign w:val="bottom"/>
            <w:gridSpan w:val="2"/>
          </w:tcPr>
          <w:p>
            <w:pPr>
              <w:ind w:left="160"/>
              <w:spacing w:after="0"/>
              <w:rPr>
                <w:sz w:val="20"/>
                <w:szCs w:val="20"/>
                <w:color w:val="auto"/>
              </w:rPr>
            </w:pPr>
            <w:r>
              <w:rPr>
                <w:rFonts w:ascii="Arial" w:cs="Arial" w:eastAsia="Arial" w:hAnsi="Arial"/>
                <w:sz w:val="18"/>
                <w:szCs w:val="18"/>
                <w:color w:val="auto"/>
              </w:rPr>
              <w:t>outstanding at December 31, 2015 and 2014, 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at cost, 3,411 and 3,002 shares of common stock at December 31, 2015 and 2014, respectively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(69,332)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(53,770)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177,167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158,549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502,402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370,991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610,251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476,232</w:t>
            </w:r>
          </w:p>
        </w:tc>
        <w:tc>
          <w:tcPr>
            <w:tcW w:w="0" w:type="dxa"/>
            <w:vAlign w:val="bottom"/>
          </w:tcPr>
          <w:p>
            <w:pPr>
              <w:spacing w:after="0"/>
              <w:rPr>
                <w:sz w:val="1"/>
                <w:szCs w:val="1"/>
                <w:color w:val="auto"/>
              </w:rPr>
            </w:pPr>
          </w:p>
        </w:tc>
      </w:tr>
      <w:tr>
        <w:trPr>
          <w:trHeight w:val="223"/>
        </w:trPr>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898,430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755,713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100" w:type="dxa"/>
            <w:vAlign w:val="bottom"/>
          </w:tcPr>
          <w:p>
            <w:pPr>
              <w:spacing w:after="0"/>
              <w:rPr>
                <w:sz w:val="14"/>
                <w:szCs w:val="14"/>
                <w:color w:val="auto"/>
              </w:rPr>
            </w:pPr>
          </w:p>
        </w:tc>
        <w:tc>
          <w:tcPr>
            <w:tcW w:w="2720" w:type="dxa"/>
            <w:vAlign w:val="bottom"/>
            <w:gridSpan w:val="9"/>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60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6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778,200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691,055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598,335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329,651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288,791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254,419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4"/>
              </w:rPr>
              <w:t>Admissions advisory and related, including $1,575 in 2015; $2,974 in 2014; and $3,412 in 2013, respectively,</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gridSpan w:val="2"/>
          </w:tcPr>
          <w:p>
            <w:pPr>
              <w:ind w:left="520"/>
              <w:spacing w:after="0"/>
              <w:rPr>
                <w:sz w:val="20"/>
                <w:szCs w:val="20"/>
                <w:color w:val="auto"/>
              </w:rPr>
            </w:pPr>
            <w:r>
              <w:rPr>
                <w:rFonts w:ascii="Arial" w:cs="Arial" w:eastAsia="Arial" w:hAnsi="Arial"/>
                <w:sz w:val="18"/>
                <w:szCs w:val="18"/>
                <w:color w:val="auto"/>
              </w:rPr>
              <w:t>to related parties</w:t>
            </w:r>
          </w:p>
        </w:tc>
        <w:tc>
          <w:tcPr>
            <w:tcW w:w="10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112,572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108,567</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65,808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Marketing and promotional</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7,287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7,439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39,635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36,934</w:t>
            </w:r>
          </w:p>
        </w:tc>
        <w:tc>
          <w:tcPr>
            <w:tcW w:w="0" w:type="dxa"/>
            <w:vAlign w:val="bottom"/>
          </w:tcPr>
          <w:p>
            <w:pPr>
              <w:spacing w:after="0"/>
              <w:rPr>
                <w:sz w:val="1"/>
                <w:szCs w:val="1"/>
                <w:color w:val="auto"/>
              </w:rPr>
            </w:pPr>
          </w:p>
        </w:tc>
      </w:tr>
      <w:tr>
        <w:trPr>
          <w:trHeight w:val="230"/>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Total costs and expenses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567,839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510,240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455,059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210,361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180,815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143,276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 and 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209,007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179,698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144,895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68,232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56,184</w:t>
            </w:r>
          </w:p>
        </w:tc>
        <w:tc>
          <w:tcPr>
            <w:tcW w:w="0" w:type="dxa"/>
            <w:vAlign w:val="bottom"/>
          </w:tcPr>
          <w:p>
            <w:pPr>
              <w:spacing w:after="0"/>
              <w:rPr>
                <w:sz w:val="1"/>
                <w:szCs w:val="1"/>
                <w:color w:val="auto"/>
              </w:rPr>
            </w:pP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131,411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111,466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Basic income per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86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3"/>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45,538</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47,281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47,006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0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720" w:type="dxa"/>
            <w:vAlign w:val="bottom"/>
            <w:gridSpan w:val="3"/>
            <w:vMerge w:val="continue"/>
          </w:tcPr>
          <w:p>
            <w:pPr>
              <w:spacing w:after="0"/>
              <w:rPr>
                <w:sz w:val="12"/>
                <w:szCs w:val="12"/>
                <w:color w:val="auto"/>
              </w:rPr>
            </w:pPr>
          </w:p>
        </w:tc>
        <w:tc>
          <w:tcPr>
            <w:tcW w:w="6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Net income</w:t>
            </w:r>
          </w:p>
        </w:tc>
        <w:tc>
          <w:tcPr>
            <w:tcW w:w="78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$ 131,411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$111,466</w:t>
            </w:r>
          </w:p>
        </w:tc>
        <w:tc>
          <w:tcPr>
            <w:tcW w:w="3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$88,711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8"/>
              </w:rPr>
              <w:t>Unrealized (losses) gains on hedging derivatives, net of taxes of $230, $186, and $382 for the years ended</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December 31, 2015, 2014 and 2013, respectively</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w:t>
            </w: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5"/>
              </w:rPr>
              <w:t>Unrealized (losses) gains on available for sale securities, net of taxes of $50, $60 and $11 for the years ended</w:t>
            </w: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gridSpan w:val="2"/>
          </w:tcPr>
          <w:p>
            <w:pPr>
              <w:ind w:left="520"/>
              <w:spacing w:after="0"/>
              <w:rPr>
                <w:sz w:val="20"/>
                <w:szCs w:val="20"/>
                <w:color w:val="auto"/>
              </w:rPr>
            </w:pPr>
            <w:r>
              <w:rPr>
                <w:rFonts w:ascii="Arial" w:cs="Arial" w:eastAsia="Arial" w:hAnsi="Arial"/>
                <w:sz w:val="18"/>
                <w:szCs w:val="18"/>
                <w:color w:val="auto"/>
              </w:rPr>
              <w:t>December 31, 2015, 2014 and 2013, respectively</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(82)</w:t>
            </w:r>
          </w:p>
        </w:tc>
        <w:tc>
          <w:tcPr>
            <w:tcW w:w="1140" w:type="dxa"/>
            <w:vAlign w:val="bottom"/>
            <w:gridSpan w:val="3"/>
          </w:tcPr>
          <w:p>
            <w:pPr>
              <w:jc w:val="right"/>
              <w:ind w:right="280"/>
              <w:spacing w:after="0"/>
              <w:rPr>
                <w:sz w:val="20"/>
                <w:szCs w:val="20"/>
                <w:color w:val="auto"/>
              </w:rPr>
            </w:pPr>
            <w:r>
              <w:rPr>
                <w:rFonts w:ascii="Arial" w:cs="Arial" w:eastAsia="Arial" w:hAnsi="Arial"/>
                <w:sz w:val="18"/>
                <w:szCs w:val="18"/>
                <w:color w:val="auto"/>
              </w:rPr>
              <w:t>(93)</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130,957</w:t>
            </w:r>
          </w:p>
        </w:tc>
        <w:tc>
          <w:tcPr>
            <w:tcW w:w="11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111,073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Other</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620" w:type="dxa"/>
            <w:vAlign w:val="bottom"/>
            <w:gridSpan w:val="6"/>
          </w:tcPr>
          <w:p>
            <w:pPr>
              <w:ind w:left="200"/>
              <w:spacing w:after="0"/>
              <w:rPr>
                <w:sz w:val="20"/>
                <w:szCs w:val="20"/>
                <w:color w:val="auto"/>
              </w:rPr>
            </w:pPr>
            <w:r>
              <w:rPr>
                <w:rFonts w:ascii="Arial" w:cs="Arial" w:eastAsia="Arial" w:hAnsi="Arial"/>
                <w:sz w:val="14"/>
                <w:szCs w:val="14"/>
                <w:b w:val="1"/>
                <w:bCs w:val="1"/>
                <w:color w:val="auto"/>
              </w:rPr>
              <w:t>Common Stock</w:t>
            </w:r>
          </w:p>
        </w:tc>
        <w:tc>
          <w:tcPr>
            <w:tcW w:w="1700" w:type="dxa"/>
            <w:vAlign w:val="bottom"/>
            <w:gridSpan w:val="4"/>
          </w:tcPr>
          <w:p>
            <w:pPr>
              <w:ind w:left="240"/>
              <w:spacing w:after="0"/>
              <w:rPr>
                <w:sz w:val="20"/>
                <w:szCs w:val="20"/>
                <w:color w:val="auto"/>
              </w:rPr>
            </w:pPr>
            <w:r>
              <w:rPr>
                <w:rFonts w:ascii="Arial" w:cs="Arial" w:eastAsia="Arial" w:hAnsi="Arial"/>
                <w:sz w:val="14"/>
                <w:szCs w:val="14"/>
                <w:b w:val="1"/>
                <w:bCs w:val="1"/>
                <w:color w:val="auto"/>
              </w:rPr>
              <w:t>Treasury Stock</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6"/>
                <w:szCs w:val="16"/>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8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2"/>
                <w:szCs w:val="12"/>
                <w:color w:val="auto"/>
              </w:rPr>
            </w:pPr>
          </w:p>
        </w:tc>
        <w:tc>
          <w:tcPr>
            <w:tcW w:w="7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Shares</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82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260" w:type="dxa"/>
            <w:vAlign w:val="bottom"/>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9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47,136</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79"/>
              </w:rPr>
              <w:t>471</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2,420</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$(39,136)</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$102,133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$170,814</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$234,059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581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88,711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340</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594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(973)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9,917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1,160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16,266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48,890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79"/>
              </w:rPr>
              <w:t>489</w:t>
            </w:r>
          </w:p>
        </w:tc>
        <w:tc>
          <w:tcPr>
            <w:tcW w:w="280" w:type="dxa"/>
            <w:vAlign w:val="bottom"/>
          </w:tcPr>
          <w:p>
            <w:pPr>
              <w:spacing w:after="0"/>
              <w:rPr>
                <w:sz w:val="19"/>
                <w:szCs w:val="19"/>
                <w:color w:val="auto"/>
              </w:rPr>
            </w:pPr>
          </w:p>
        </w:tc>
        <w:tc>
          <w:tcPr>
            <w:tcW w:w="4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4"/>
              </w:rPr>
              <w:t>2,845</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(48,432)</w:t>
            </w:r>
          </w:p>
        </w:tc>
        <w:tc>
          <w:tcPr>
            <w:tcW w:w="2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132,904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500"/>
              <w:spacing w:after="0"/>
              <w:rPr>
                <w:sz w:val="20"/>
                <w:szCs w:val="20"/>
                <w:color w:val="auto"/>
              </w:rPr>
            </w:pPr>
            <w:r>
              <w:rPr>
                <w:rFonts w:ascii="Arial" w:cs="Arial" w:eastAsia="Arial" w:hAnsi="Arial"/>
                <w:sz w:val="18"/>
                <w:szCs w:val="18"/>
                <w:color w:val="auto"/>
                <w:w w:val="79"/>
              </w:rPr>
              <w:t>358</w:t>
            </w: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259,525</w:t>
            </w:r>
          </w:p>
        </w:tc>
        <w:tc>
          <w:tcPr>
            <w:tcW w:w="2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344,844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111,466</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Common stock purchased for treasury</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(1,676)</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317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(3,662)</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9,941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6"/>
              </w:rPr>
              <w:t>539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Excess tax benefits</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7,884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49,746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497</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3,002</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(53,770)</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158,549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370,991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(454)</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131,411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Common stock purchased for treasury</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288</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(11,279)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324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94</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(4,283)</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11,269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218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3,486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benefits</w:t>
            </w:r>
          </w:p>
        </w:tc>
        <w:tc>
          <w:tcPr>
            <w:tcW w:w="8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Balance at December 31, 2015</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50,288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79"/>
              </w:rPr>
              <w:t>503</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3,411</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(69,332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177,167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502,402</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610,251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2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ind w:right="130"/>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ind w:right="150"/>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1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90"/>
              </w:rPr>
              <w:t>Cash flows</w:t>
            </w:r>
          </w:p>
        </w:tc>
        <w:tc>
          <w:tcPr>
            <w:tcW w:w="6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provided by operating activities:</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w w:val="95"/>
              </w:rPr>
              <w:t>131,411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111,466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11,257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9,945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(3,636)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(7,637)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Provision for bad debts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16,620</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15,045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35,675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29,473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Loss (gain) on note receivable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958</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asset disposal and fixed asset impairments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4,576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royalty impairment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Changes in assets and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Restricted cash, cash equivalents and investments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(7,544)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8"/>
              <w:spacing w:after="0"/>
              <w:rPr>
                <w:sz w:val="20"/>
                <w:szCs w:val="20"/>
                <w:color w:val="auto"/>
              </w:rPr>
            </w:pPr>
            <w:r>
              <w:rPr>
                <w:rFonts w:ascii="Arial" w:cs="Arial" w:eastAsia="Arial" w:hAnsi="Arial"/>
                <w:sz w:val="18"/>
                <w:szCs w:val="18"/>
                <w:color w:val="auto"/>
              </w:rPr>
              <w:t>(17,313)</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(15,433)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(19,163)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Prepaid expenses and other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(2,351)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700"/>
              <w:spacing w:after="0"/>
              <w:rPr>
                <w:sz w:val="20"/>
                <w:szCs w:val="20"/>
                <w:color w:val="auto"/>
              </w:rPr>
            </w:pPr>
            <w:r>
              <w:rPr>
                <w:rFonts w:ascii="Arial" w:cs="Arial" w:eastAsia="Arial" w:hAnsi="Arial"/>
                <w:sz w:val="18"/>
                <w:szCs w:val="18"/>
                <w:color w:val="auto"/>
              </w:rPr>
              <w:t>Due to/from related parties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(2,448)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700"/>
              <w:spacing w:after="0"/>
              <w:rPr>
                <w:sz w:val="20"/>
                <w:szCs w:val="20"/>
                <w:color w:val="auto"/>
              </w:rPr>
            </w:pPr>
            <w:r>
              <w:rPr>
                <w:rFonts w:ascii="Arial" w:cs="Arial" w:eastAsia="Arial" w:hAnsi="Arial"/>
                <w:sz w:val="18"/>
                <w:szCs w:val="18"/>
                <w:color w:val="auto"/>
              </w:rPr>
              <w:t>Accrued liabilities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8"/>
              <w:spacing w:after="0"/>
              <w:rPr>
                <w:sz w:val="20"/>
                <w:szCs w:val="20"/>
                <w:color w:val="auto"/>
              </w:rPr>
            </w:pPr>
            <w:r>
              <w:rPr>
                <w:rFonts w:ascii="Arial" w:cs="Arial" w:eastAsia="Arial" w:hAnsi="Arial"/>
                <w:sz w:val="18"/>
                <w:szCs w:val="18"/>
                <w:color w:val="auto"/>
              </w:rPr>
              <w:t>(5,772)</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Income taxes receivable/payable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(4,965)</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16,378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700"/>
              <w:spacing w:after="0"/>
              <w:rPr>
                <w:sz w:val="20"/>
                <w:szCs w:val="20"/>
                <w:color w:val="auto"/>
              </w:rPr>
            </w:pPr>
            <w:r>
              <w:rPr>
                <w:rFonts w:ascii="Arial" w:cs="Arial" w:eastAsia="Arial" w:hAnsi="Arial"/>
                <w:sz w:val="18"/>
                <w:szCs w:val="18"/>
                <w:color w:val="auto"/>
              </w:rPr>
              <w:t>Deferred rent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8"/>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4,052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ind w:left="700"/>
              <w:spacing w:after="0"/>
              <w:rPr>
                <w:sz w:val="20"/>
                <w:szCs w:val="20"/>
                <w:color w:val="auto"/>
              </w:rPr>
            </w:pPr>
            <w:r>
              <w:rPr>
                <w:rFonts w:ascii="Arial" w:cs="Arial" w:eastAsia="Arial" w:hAnsi="Arial"/>
                <w:sz w:val="18"/>
                <w:szCs w:val="18"/>
                <w:color w:val="auto"/>
              </w:rPr>
              <w:t>Student deposits</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7,158</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173,900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166,996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118,449</w:t>
            </w:r>
          </w:p>
        </w:tc>
        <w:tc>
          <w:tcPr>
            <w:tcW w:w="0" w:type="dxa"/>
            <w:vAlign w:val="bottom"/>
          </w:tcPr>
          <w:p>
            <w:pPr>
              <w:spacing w:after="0"/>
              <w:rPr>
                <w:sz w:val="1"/>
                <w:szCs w:val="1"/>
                <w:color w:val="auto"/>
              </w:rPr>
            </w:pPr>
          </w:p>
        </w:tc>
      </w:tr>
      <w:tr>
        <w:trPr>
          <w:trHeight w:val="223"/>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Capital expenditures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8"/>
              </w:rPr>
              <w:t>(204,718)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(168,646)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Purchases of land, building and golf course improvements related to off-site development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8"/>
              <w:spacing w:after="0"/>
              <w:rPr>
                <w:sz w:val="20"/>
                <w:szCs w:val="20"/>
                <w:color w:val="auto"/>
              </w:rPr>
            </w:pPr>
            <w:r>
              <w:rPr>
                <w:rFonts w:ascii="Arial" w:cs="Arial" w:eastAsia="Arial" w:hAnsi="Arial"/>
                <w:sz w:val="18"/>
                <w:szCs w:val="18"/>
                <w:color w:val="auto"/>
              </w:rPr>
              <w:t>(13,583)</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received from note receivable</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Restricted funds held for derivative collateral and legal matter</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investments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(48,122)</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(114,919)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(168,953)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Proceeds from sale or maturity of investments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65,542</w:t>
            </w:r>
          </w:p>
        </w:tc>
        <w:tc>
          <w:tcPr>
            <w:tcW w:w="8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122,555</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60,533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w w:val="88"/>
              </w:rPr>
              <w:t>(200,881)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(161,010)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(172,498)</w:t>
            </w:r>
          </w:p>
        </w:tc>
        <w:tc>
          <w:tcPr>
            <w:tcW w:w="0" w:type="dxa"/>
            <w:vAlign w:val="bottom"/>
          </w:tcPr>
          <w:p>
            <w:pPr>
              <w:spacing w:after="0"/>
              <w:rPr>
                <w:sz w:val="1"/>
                <w:szCs w:val="1"/>
                <w:color w:val="auto"/>
              </w:rPr>
            </w:pPr>
          </w:p>
        </w:tc>
      </w:tr>
      <w:tr>
        <w:trPr>
          <w:trHeight w:val="223"/>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(6,784)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(6,696)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Repurchase of common shares including shares withheld in lieu of income taxes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8"/>
              <w:spacing w:after="0"/>
              <w:rPr>
                <w:sz w:val="20"/>
                <w:szCs w:val="20"/>
                <w:color w:val="auto"/>
              </w:rPr>
            </w:pPr>
            <w:r>
              <w:rPr>
                <w:rFonts w:ascii="Arial" w:cs="Arial" w:eastAsia="Arial" w:hAnsi="Arial"/>
                <w:sz w:val="18"/>
                <w:szCs w:val="18"/>
                <w:color w:val="auto"/>
              </w:rPr>
              <w:t>(15,562)</w:t>
            </w: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proceeds from exercise of stock options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7,825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Excess tax benefits from share-based compensation</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(15,221)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3,428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4,762</w:t>
            </w:r>
          </w:p>
        </w:tc>
        <w:tc>
          <w:tcPr>
            <w:tcW w:w="0" w:type="dxa"/>
            <w:vAlign w:val="bottom"/>
          </w:tcPr>
          <w:p>
            <w:pPr>
              <w:spacing w:after="0"/>
              <w:rPr>
                <w:sz w:val="1"/>
                <w:szCs w:val="1"/>
                <w:color w:val="auto"/>
              </w:rPr>
            </w:pPr>
          </w:p>
        </w:tc>
      </w:tr>
      <w:tr>
        <w:trPr>
          <w:trHeight w:val="223"/>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7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(42,202)</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9,414</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(49,287)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65,238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55,824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105,111</w:t>
            </w:r>
          </w:p>
        </w:tc>
        <w:tc>
          <w:tcPr>
            <w:tcW w:w="0" w:type="dxa"/>
            <w:vAlign w:val="bottom"/>
          </w:tcPr>
          <w:p>
            <w:pPr>
              <w:spacing w:after="0"/>
              <w:rPr>
                <w:sz w:val="1"/>
                <w:szCs w:val="1"/>
                <w:color w:val="auto"/>
              </w:rPr>
            </w:pPr>
          </w:p>
        </w:tc>
      </w:tr>
      <w:tr>
        <w:trPr>
          <w:trHeight w:val="223"/>
        </w:trPr>
        <w:tc>
          <w:tcPr>
            <w:tcW w:w="7520" w:type="dxa"/>
            <w:vAlign w:val="bottom"/>
            <w:gridSpan w:val="3"/>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23,036</w:t>
            </w:r>
          </w:p>
        </w:tc>
        <w:tc>
          <w:tcPr>
            <w:tcW w:w="4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65,238</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Cash paid during the year for interest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1,244</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1,793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paid during the year for income taxes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75,587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48,835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Cash received for income tax refunds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 included in accounts payable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8"/>
              <w:spacing w:after="0"/>
              <w:rPr>
                <w:sz w:val="20"/>
                <w:szCs w:val="20"/>
                <w:color w:val="auto"/>
              </w:rPr>
            </w:pPr>
            <w:r>
              <w:rPr>
                <w:rFonts w:ascii="Arial" w:cs="Arial" w:eastAsia="Arial" w:hAnsi="Arial"/>
                <w:sz w:val="18"/>
                <w:szCs w:val="18"/>
                <w:color w:val="auto"/>
              </w:rPr>
              <w:t>13,277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5,845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equipment though capital lease obligations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340"/>
              <w:spacing w:after="0"/>
              <w:rPr>
                <w:sz w:val="20"/>
                <w:szCs w:val="20"/>
                <w:color w:val="auto"/>
              </w:rPr>
            </w:pPr>
            <w:r>
              <w:rPr>
                <w:rFonts w:ascii="Arial" w:cs="Arial" w:eastAsia="Arial" w:hAnsi="Arial"/>
                <w:sz w:val="18"/>
                <w:szCs w:val="18"/>
                <w:color w:val="auto"/>
              </w:rPr>
              <w:t>Shortfall tax expense from share-based compensation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Tax benefit of Spirit warrant intangible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459" w:right="239"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Grand Canyon Education, Inc. (together with its subsidiaries, the “University”) was formed in Delaware in November 2003 as a limited liability company, under the name Significant Education, LLC, for the purpose of acquiring the assets of Grand Canyon University from a non-profit foundation on February 2, 2004. On August 24, 2005, the University converted from a limited liability company to a corporation and changed its name to Significant Education, Inc. On May 9, 2008, the University changed its name to Grand Canyon Education, Inc.</w:t>
      </w:r>
    </w:p>
    <w:p>
      <w:pPr>
        <w:spacing w:after="0" w:line="18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University is a comprehensive regionally accredited university that offers approximately 200 graduate and undergraduate degree programs and certificates across eight colleges both online and on ground at our 200+ acre campus in Phoenix, Arizona, and at facilities we lease and at facilities owned by third party employers. Our undergraduate programs are designed to be innovative and to meet the future needs of employers, while providing students with the needed critical thinking and effective communication skills developed through a Christian, liberal arts foundation. We offer master and doctoral degrees in contemporary fields that are designed to provide students with the capacity for transformational leadership in their chosen industry, emphasizing the immediate relevance of theory, application, and evaluation to promote personal and organizational change. The University is accredited by the Higher Learning Commission. The University’s wholly owned subsidiaries are primarily used to facilitate expansion of the University campus.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consolidated financial statements include the accounts of Grand Canyon Education, Inc. and its wholly owned subsidiaries. Intercompany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400" w:firstLine="456"/>
        <w:spacing w:after="0" w:line="342" w:lineRule="auto"/>
        <w:rPr>
          <w:sz w:val="20"/>
          <w:szCs w:val="20"/>
          <w:color w:val="auto"/>
        </w:rPr>
      </w:pPr>
      <w:r>
        <w:rPr>
          <w:rFonts w:ascii="Arial" w:cs="Arial" w:eastAsia="Arial" w:hAnsi="Arial"/>
          <w:sz w:val="16"/>
          <w:szCs w:val="16"/>
          <w:color w:val="auto"/>
        </w:rPr>
        <w:t>The University invests a portion of its cash in excess of current operating requirements in short term certificates of deposit and money market instruments. The University considers all highly liquid investments with maturities of three months or less at the time of purchase to be cash equivalents.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Cash Equivalents and Investments</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 significant portion of the University’s revenue is received from students who participate in government financial aid assistance programs. Restricted cash, cash equivalents and investments primarily represent amounts received from the federal and state governments under various student aid grant and loan programs, such as Title IV. The University receives these funds subsequent to the completion of the authorization and disbursement process and holds them for the benefit of the student. The U.S. Department of Education (“Department of Education”) requires Title IV funds collected in advance of student billings to be restricted until the course begins. The University records all of these amounts as a current asset in restricted cash, cash equivalents and investments. The majority of these funds remain as restricted for an average of 60 to 90 days from the date of receipt.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University considers its investments in municipal bond, mutual funds and municipal securities as available-for-sale securities.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Receivable</w:t>
      </w:r>
    </w:p>
    <w:p>
      <w:pPr>
        <w:spacing w:after="0" w:line="117"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The University purchased a note receivable from a financial institution at fair market value in the fourth quarter of 2012 for $27,000. The note bore interest at 11%, which represented the 6% rate of the loan plus the 5% default rate. The principal and most of the interest due on the note was paid in March 2013, resulting in the full return on investment of the note receivable and an additional gain in interest income and other income of $2,187 on the</w:t>
      </w:r>
    </w:p>
    <w:p>
      <w:pPr>
        <w:ind w:right="40"/>
        <w:spacing w:after="0" w:line="285" w:lineRule="auto"/>
        <w:rPr>
          <w:sz w:val="20"/>
          <w:szCs w:val="20"/>
          <w:color w:val="auto"/>
        </w:rPr>
      </w:pPr>
      <w:r>
        <w:rPr>
          <w:rFonts w:ascii="Arial" w:cs="Arial" w:eastAsia="Arial" w:hAnsi="Arial"/>
          <w:sz w:val="16"/>
          <w:szCs w:val="16"/>
          <w:color w:val="auto"/>
        </w:rPr>
        <w:t>loan. However, the borrower has disputed certain amounts remaining due under the note agreement, including default interest in the amount of $432, a late payment liquidated damage in the amount of $1,392, and a statutory trustee’s fee in the amount of $139. The funds disputed by the borrower, plus interest thereon, were deposited into an escrow account with the clerk of the Maricopa County Superior Court pending resolution of the disputed issues. In the third quarter of 2013, the court ruled in favor of the University with respect to the late payment liquidated damage and default interest accrued thereon. Accordingly, the University recorded interest and other income of $1,459 for the year ended December 31, 2013. The court ordered the late payment liquidated damage funds and interest thereon to be released to the University on October 28, 2013 unless prior to said date, borrower filed with the court a formal notice of appeal and simultaneously deposited an additional $344 into escrow with the clerk of the court representing continued interest accruing on the late payment liquidated damage pending an appeal. On October 28, 2013 borrower deposited with the clerk of the court the required cash bond in the amount of $344 and filed its formal notice of appeal. On January 29, 2015, the court ruled in favor of the University with respect to the remaining default interest and interest thereon. In January 2016, the Arizona Court of Appeals issued a ruling reversing the Maricopa County Superior Court’s award of the $1,392 late payment liquidated damage and the Maricopa County Superior Court released to us the remaining default interest and other fees due to the University totaling $501. Although, the University intends to appeal the late payment penalty decision to the Arizona Supreme Court, the University reversed other income of $958 for the year ended December 31, 2015 due to the uncertain outcome.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Internally developed software represents qualifying salary and consulting costs for time spent on developing internal use software and is included in construction in progress until its completion. The University capitalizes interest using its interest rates on the specific borrowings used to finance the improvements, which approximated 1.9% in 2015, 2014, and 2013. Interest cost capitalized and incurred in the years ended December 31, 2015, 2014, and 2013 are as follows:</w:t>
      </w:r>
    </w:p>
    <w:p>
      <w:pPr>
        <w:spacing w:after="0" w:line="19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40" w:type="dxa"/>
            <w:vAlign w:val="bottom"/>
            <w:gridSpan w:val="6"/>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2015</w:t>
            </w:r>
          </w:p>
        </w:tc>
        <w:tc>
          <w:tcPr>
            <w:tcW w:w="92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2014</w:t>
            </w:r>
          </w:p>
        </w:tc>
        <w:tc>
          <w:tcPr>
            <w:tcW w:w="9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incurred</w:t>
            </w:r>
          </w:p>
        </w:tc>
        <w:tc>
          <w:tcPr>
            <w:tcW w:w="2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$1,962</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$2,180</w:t>
            </w:r>
          </w:p>
        </w:tc>
        <w:tc>
          <w:tcPr>
            <w:tcW w:w="4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Interest capitalized</w:t>
            </w:r>
          </w:p>
        </w:tc>
        <w:tc>
          <w:tcPr>
            <w:tcW w:w="2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The University enters into various lease agreements in conducting its business. At the inception of each lease, the University evaluates the lease agreement to determine whether the lease is an operating or capital lease. In addition, many of the lease agreements contain renewal options and tenant improvement allowances. When such items are included in a lease agreement, the University records a deferred liability on the balance sheet and records the rent expense evenly over the term of the lease. Leasehold improvements are included as investing activities and are included as additions to property, plant and equipment. For leases with renewal options, the University records rent expense and amortizes the leasehold improvement on a straight-line basis over the initial non-cancelable lease term unless it intends to exercise the renewal option. Once it extends the renewal option, the University amortizes any tenant improvement allowances over the extended lease period as well as the leasehold improvement asset (unless the extended lease term is longer than the economic life of the asset). The University expenses any additional payments under its operating leases for taxes, insurance or other operating expenses as incurred.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During 2010, the University entered into an agreement with an affiliated entity to develop a new learning management system for use by the University. Through this agreement, the University prepaid perpetual license fees, acquired source code rights for the software developed, and prepaid maintenance and service fees for at least the first seven years of use for an aggregate amount of $4,900, which was paid in full as of December 31, 2011. The University commenced utilization of this software in October 2011. Included in current other assets is the amount that will be amortized in the next twelve month cycle for maintenance and service fees and included in property and equipment is the amount that will be amortized over fifteen years for the perpetual licenses.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University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Royalties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 connection with the February 2004 acquisition of the assets of Grand Canyon University from a non-profit foundation, the University entered into a royalty fee arrangement with the former owner in which the University agreed to pay a stated percentage of cash revenue generated by its online programs. The University settled all future royalty obligations with the former owner in April 2008 when it finalized an agreement to pay $22,500 to the former owner. Of this payment $5,920 was considered as settlement of the future royalty payment obligation and is included in the accompanying balance sheet as a component of “Prepaid Royalty” and is being amortized over a period of 20 years.</w:t>
      </w:r>
    </w:p>
    <w:p>
      <w:pPr>
        <w:spacing w:after="0" w:line="188"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addition, in June 2004, the University entered into a license agreement relating to the University’s use of the Ken Blanchard name for its College of Business. Under the terms of that agreement the University agreed to pay Blanchard a royalty generated on net tuition from certain programs in the University’s College of Business and to issue Blanchard shares of common stock with the actual number of shares issued to be contingent upon the University’s achievement of stated enrollment levels in its College of Business during the term of the agreement. The fair value of the shares issued to Blanchard as part of the license agreement of $3,394 was determined at the date it became probable that shares would then be earned and then adjusted until the date the shares were vested. During 2014, the University reached an agreement to cease the use of the Ken Blanchard name for its College of Business when it renamed the school the Colangelo School of Business; accordingly the remaining balance of the prepaid royalty was expensed during the year ended December 31, 2014.</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Goodwill represents the excess of the cost over the fair market value of net assets acquired, including identified intangible assets. Goodwill is tested annually or more frequently if circumstances indicate potential impairment. The Financial Accounting Standards Board (“FASB”) has issued guidance that permits an entity to first assess qualitative factors to determine whether it is necessary to perform the two-step quantitative goodwill impairment test. The University performed its annual goodwill impairment test, by performing a qualitative assessment. Following this assessment, the University determined that it is more likely than not that its fair value exceeds its carrying amount.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The University measures and recognizes compensation expense for share-based payment awards made to employees, consultants and directors, including employee stock options and restricted stock awards. The University calculates the fair value of share-based awards on the date of grant. The University calculates the fair value of share-based awards to consultants on the date of vesting. The University amortizes the share-based compensation expense over the period that the awards are expected to vest, net of estimated forfeiture rates. If the actual forfeitures differ from management estimates, adjustments to compensation expense are recorded. The University reports cash flows resulting from tax deductions in excess of the compensation cost realized for those options (excess tax benefits) as financing cash flows. The University reports cash flows resulting from tax deductions that are less than the compensation cost realized for those option (tax shortfalls) as a noncash transaction in the consolidated statement of cash flows.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For stock options, the University uses the Black-Scholes-Merton option pricing model to estimate fair value. The option pricing model requires the University to estimate certain key assumptions such as expected life, volatility, risk free interest rates, and dividend yield to determine the fair value of share-based awards, based on historical information and management judgment. The assumptions used in calculating the fair value of stock-based awards represent the University’s best estimates, but these estimates involve inherent uncertainties and the application of management judgment. The fair value of the University’s restricted stock awards is based on the market price of its common stock on the date of grant.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54"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Derivative financial instruments enable the University to manage its exposure to interest rate risk. The University does not engage in any derivative instrument trading activity. Credit risk associated with the University’s derivatives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The carrying value of cash and cash equivalents, accounts receivable, note receivable, accounts payable, accrued compensation and benefits and accrued liabilities approximate their fair value based on the liquidity or the short-term maturities of these instruments. The carrying value of notes payable approximate fair value based on its variable rate index. The carrying value of other notes payable and capital lease obligations approximate fair value based upon market interest rates available to the University for debt of similar risk and maturities.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 See Note 9, Derivative Instruments.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fair value of investments, primarily municipal securities, including municipal bond portfolios and a mutual fund holding municipal securities, were determined using Level 1 and Level 2 of the hierarchy of valuation inputs, with the use of quoted market prices and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 Because these securities are held by the University as investments, assessment of non-performance risk is not applicable as such considerations are only applicable in evaluating the fair value measurements for liabilities.</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fair value of the prepaid royalty asset relating to the settlement of future royalty payment obligations to the former owner was determined using an income approach, based on management’s forecasts of revenue to be generated through its online education program using Level 3 of the hierarchy of valuation inputs. The rate utilized to discount net cash flows to their present values was 35%. This discount rate was determined after consideration of the University’s weighted average cost of capital giving effect to estimates of the University’s risk-free rate, beta coefficient, equity risk premium, small size risk premium, and company-specific risk premium.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University accounts for income taxes payable or refundable for the current year and deferred tax assets and liabilities for future tax consequences of events that have been recognized in the University’s consolidated financial statements or tax returns. Deferred tax assets and liabilities are measured using enacted tax rates in effect for the year in which the temporary differences are expected to be realized.</w:t>
      </w:r>
    </w:p>
    <w:p>
      <w:pPr>
        <w:spacing w:after="0" w:line="181"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The University applies a more-likely-than-not threshold for financial statement recognition and measurement of an uncertain tax position taken or expected to be taken in a tax return. The University recognizes interest and penalties related to uncertain tax positions in income tax expense. As of December 31, 2015 and 2014, the University has reserved approximately $1,706 and $0, respectively, for uncertain tax positions, including interest and penalties, which is classified within accrued liabilities on the accompanying consolidated balance sheet.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 University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University accrues for a contingent obligation when it is probable that a liability has been incurred and the amount is reasonably estimable. When the University becomes aware of a claim or potential claim, the likelihood of any loss exposure is assessed. If it is probable that a loss will result and the amount of the loss is estimable, the University records a liability for the estimated loss. If the loss is not probable or the amount of the potential loss is not estimable, the University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University expenses legal fees as incurred.</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Net revenues consist primarily of tuition and fees derived from courses taught by the University online, at its over 200+ acre campus in Phoenix, Arizona, and at facilities it leases or those of employers, as well as from related educational resources that the University provides to its students, such as access to online materials. Tuition revenue and most fees from related educational resources are recognized pro-rata over the applicable period of instruction, net of scholarships provided by the University. For the years ended December 31, 2015, 2014 and 2013, the University’s revenue was reduced by approximately $163,893, $139,962 and $111,789, respectively, as a result of scholarships that the University offered to students. The University maintains an institutional tuition refund policy, which provides for all or a portion of tuition to be refunded if a student withdraws during stated refund periods. Certain states in which students reside impose separate, mandatory refund policies, which override the University’s policy to the extent in conflict. If a student withdraws at a time when only a portion, or none of the tuition is refundable, then in accordance with its revenue recognition policy, the University continues to recognize the tuition that was not refunded pro-rata over the applicable period of instruction. However, for students that have taken out financial aid to pay their tuition and for which a return to Title IV is required as a result of his or her withdrawal, the University recognizes revenue after a student withdraws only at the time of cash collection. Sales tax collected from students is excluded from net revenues. Collected but unremitted sales tax is included as an accrued liability in our consolidated balance sheet. The University also charges online students an upfront learning management fee, which is deferred and recognized over the average expected term of a student. Costs that are direct and incremental to new online students are also deferred and recognized ratably over the average expected term of a student. Deferred revenue and student deposits in any period represent the excess of tuition, fees, and other student payments received as compared to amounts recognized as revenue on the income statement and are reflected as current liabilities in the accompanying consolidated balance sheets. The University’s educational programs have starting and ending dates that differ from its fiscal quarters. Therefore, at the end of each fiscal quarter, a portion of revenue from these programs is not yet earned. Other revenues may be recognized as sales occur or services are performed.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University records an allowance for doubtful accounts for estimated losses resulting from the inability, failure or refusal of its students to make required payments, which includes the recovery of financial aid funds advanced to a student for amounts in excess of the student’s cost of tuition and related fees that we may have to return under Title IV after a student drops. The University determines the adequacy of its allowance for doubtful accounts based on an analysis of its historical bad debt experience, current economic trends, and the aging of the accounts receivable and student status. The University applies reserves to its receivables based upon an estimate of the risk presented by the age of the receivables and student status. The University writes off accounts receivable balances of active students at the earlier of the time the balances were deemed uncollectible, or one year after the revenue is generated. The University accelerates the write off of inactive student accounts such that the accounts are written off by day 150. The University continues to reflect accounts receivable with an offsetting allowance as long as management believes there is a reasonable possibility of collection. Bad debt expense is recorded as an instructional costs and services expense in the consolidated income statement.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Instructional Costs and Services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Instructional costs and services consist primarily of costs related to the administration and delivery of the University’s educational programs. This expense category includes salaries, benefits and share-based compensation for full-time and adjunct faculty and administrative personnel, information technology costs, bad debt expense, curriculum and new program development costs (which are expensed as incurred) and costs associated with other support groups that provide services directly to the students. This category also includes an allocation of depreciation, amortization, rent, and occupancy costs attributable to the provision of educational services, primarily at the University’s Phoenix, Arizona campus.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Admissions Advisory and Related</w:t>
      </w:r>
    </w:p>
    <w:p>
      <w:pPr>
        <w:spacing w:after="0" w:line="11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Admissions advisory and related expenses include salaries and benefits for admissions advisory personnel, and revenue share expense as well as an allocation of depreciation, amortization, rent and occupancy costs attributable to the admissions advisory personnel.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Advertising expenses include brand advertising, marketing leads and other branding activities. Advertising costs are expensed as incurred.</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Promotional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Marketing and promotional expenses include salaries, benefits and share-based compensation for marketing personnel, and other promotional expenses.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This category also includes an allocation of depreciation, amortization, rent, and occupancy costs attributable to marketing and promotional activities.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Marketing and promotional costs are expensed as incurred.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General and administrative expenses include salaries, and benefits and share-based compensation of employees engaged in corporate management, finance, human resources, compliance, and other corporate functions. General and administrative expenses also include an allocation of depreciation, amortization, rent, and occupancy costs attributable to the departments providing general and administrative functions.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University is a party to a revenue sharing arrangement (the Collaboration Agreement) with Mind Streams L.L.C. (Mind Streams), a related party, under which the University, in accordance with applicable Department of Education guidance, pays a percentage of net revenue that it receives from applicants recruited by Mind Streams that matriculate at the University. The University terminated the agreement in 2014 and the University is not accepting any new applicants recruited by Mind Streams. The expenses incurred in conjunction with the Collaboration Agreement are included in admissions advisory and related expenses on our Consolidated Income Statement.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Insurance/Self-Insurance</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University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University’s loss exposure related to self-insurance is limited by stop loss coverage on a per occurrence and aggregate basis. Expected loss accruals are based on estimates, and while the University believes the amounts accrued are adequate, the ultimate loss may differ from the amounts provided.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University believes the credit risk related to cash equivalents and investments is limited due to its adherence to an investment policy that required investments to have a minimum BB rating, depending on the type of security, by one major rating agency at the time of purchase. All of the University’s cash equivalents and investments as of December 31, 2015 and 2014 consist of investments rated BB or higher by at least one rating agency. Additionally, the University utilizes more than one financial institution to conduct initial and ongoing credit analysis on its investment portfolio to monitor and lower the potential impact of market risk associated with its cash equivalents and investment portfolio.</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majority of the University’s revenues are derived from tuition financed under the Title IV programs of the Higher Education Act of 1965, as amended (the “Higher Education Act”). The financial aid and assistance programs are subject to political and budgetary considerations and are subject to extensive and complex regulations. The University’s administration of these programs is periodically reviewed by various regulatory agencies. Any regulatory violation could be the basis for the initiation of potentially adverse actions including a suspension, limitation, or termination proceeding, which could have a material adverse effect on the University.</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Students obtain access to federal student financial aid through a Department of Education prescribed application and eligibility certification process. Student financial aid funds are generally made available to students at prescribed intervals throughout their predetermined expected length of study. Students typically apply the funds received from the federal financial aid programs first to pay their tuition and fees. Any remaining funds are distributed directly to the student.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University operates as a single educational delivery operation using a core infrastructure that serves the curriculum and educational delivery needs of both its ground and online students regardless of geography. The University’s Chief Executive Officer manages the University’s operations as a whole and no expense or operating income information is generated or evaluated on any component level.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May 2014, the FASB issued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After the FASB amended the standard in July 2015, the standard is effective for us January 1, 2018 and early adoption is permitted effective January 1, 2017. The University does not expect adoption of this guidance to have a material impact on its financial condition, results of operations or disclosures.</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April 2015, the FASB issued, “</w:t>
      </w:r>
      <w:r>
        <w:rPr>
          <w:rFonts w:ascii="Arial" w:cs="Arial" w:eastAsia="Arial" w:hAnsi="Arial"/>
          <w:sz w:val="18"/>
          <w:szCs w:val="18"/>
          <w:i w:val="1"/>
          <w:iCs w:val="1"/>
          <w:color w:val="auto"/>
        </w:rPr>
        <w:t>Simplifying the Presentation of Debt Issuance Costs</w:t>
      </w:r>
      <w:r>
        <w:rPr>
          <w:rFonts w:ascii="Arial" w:cs="Arial" w:eastAsia="Arial" w:hAnsi="Arial"/>
          <w:sz w:val="18"/>
          <w:szCs w:val="18"/>
          <w:color w:val="auto"/>
        </w:rPr>
        <w:t>.” The guidance requires that debt issuance costs related to a recognized debt liability be presented in the balance sheet as a direct deduction from the carrying amount of that debt liability, consistent with debt discounts. The guidance will be effective for the University’s annual reporting period beginning January 1, 2016, and applied on a retrospective basis. Early adoption is also permitted. The University plans to adopt this new standard on January 1, 2016 and does not expect adoption of this guidance to have a material impact on its financial condition, results of operations, or disclosures.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April 2015, the FASB issued, “</w:t>
      </w:r>
      <w:r>
        <w:rPr>
          <w:rFonts w:ascii="Arial" w:cs="Arial" w:eastAsia="Arial" w:hAnsi="Arial"/>
          <w:sz w:val="16"/>
          <w:szCs w:val="16"/>
          <w:i w:val="1"/>
          <w:iCs w:val="1"/>
          <w:color w:val="auto"/>
        </w:rPr>
        <w:t>Intangibles-Goodwill and Other-Internal-Use Software, Customer’s Accounting for Fees Paid in a Cloud Computing</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w:t>
      </w:r>
      <w:r>
        <w:rPr>
          <w:rFonts w:ascii="Arial" w:cs="Arial" w:eastAsia="Arial" w:hAnsi="Arial"/>
          <w:sz w:val="16"/>
          <w:szCs w:val="16"/>
          <w:color w:val="auto"/>
        </w:rPr>
        <w:t>.” The guidance requires customers to determine whether a cloud computing arrangement contains a software license. If the arrangement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contains a software license, customers must account for fees related to the software license element in a manner consistent with how the acquisition of other software licenses is accounted for under ASC 350-40; if the arrangement does not contain a software license, customers must account for the arrangement as a service contract. The standard will take effect for the University for the year ending December 31, 2016 and all interim periods therein. Entities may adopt this guidance retrospectively, or prospectively for arrangements entered into, or materially modified, after the standard’s effective date. The University does not expect adoption of this guidance to have a material impact on its financial condition, results of operations, or disclosures.</w:t>
      </w:r>
    </w:p>
    <w:p>
      <w:pPr>
        <w:spacing w:after="0" w:line="16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 November 2015, the FASB issued, “</w:t>
      </w:r>
      <w:r>
        <w:rPr>
          <w:rFonts w:ascii="Arial" w:cs="Arial" w:eastAsia="Arial" w:hAnsi="Arial"/>
          <w:sz w:val="16"/>
          <w:szCs w:val="16"/>
          <w:i w:val="1"/>
          <w:iCs w:val="1"/>
          <w:color w:val="auto"/>
        </w:rPr>
        <w:t>Income Taxes: Balance Sheet Classification of Deferred Taxes</w:t>
      </w:r>
      <w:r>
        <w:rPr>
          <w:rFonts w:ascii="Arial" w:cs="Arial" w:eastAsia="Arial" w:hAnsi="Arial"/>
          <w:sz w:val="16"/>
          <w:szCs w:val="16"/>
          <w:color w:val="auto"/>
        </w:rPr>
        <w:t>.” This standard requires that deferred tax assets and liabilities be classified as noncurrent on the balance sheet rather than being separated into current and noncurrent. This standard is effective for fiscal years, and interim periods within those years, beginning after December 15, 2016. Early adoption is permitted and the standard may be applied either retrospectively or on a prospective basis to all deferred tax assets and liabilities. The University plans to adopt this standard on January 1, 2016 and does not expect adoption of this guidance to have a material impact on its financial condition, results of operations, or disclosures.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In January 2016, the FASB issued “</w:t>
      </w:r>
      <w:r>
        <w:rPr>
          <w:rFonts w:ascii="Arial" w:cs="Arial" w:eastAsia="Arial" w:hAnsi="Arial"/>
          <w:sz w:val="16"/>
          <w:szCs w:val="16"/>
          <w:i w:val="1"/>
          <w:iCs w:val="1"/>
          <w:color w:val="auto"/>
        </w:rPr>
        <w:t>Financial Instruments – Overall: Recognition and Measurement of Financial Assets and Financial Liabilities</w:t>
      </w:r>
      <w:r>
        <w:rPr>
          <w:rFonts w:ascii="Arial" w:cs="Arial" w:eastAsia="Arial" w:hAnsi="Arial"/>
          <w:sz w:val="16"/>
          <w:szCs w:val="16"/>
          <w:color w:val="auto"/>
        </w:rPr>
        <w:t>.” The standard addresses certain aspects of recognition, measurement, presentation, and disclosure of financial instruments. This standard is effective for fiscal years, and interim periods within those years, beginning after December 15, 2017, and early adoption is not permitted. Accordingly, the standard is effective for us on January 1, 2018. We are currently evaluating the impact that the standard will have on our consolidated financial statements.</w:t>
      </w:r>
    </w:p>
    <w:p>
      <w:pPr>
        <w:spacing w:after="0" w:line="154"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The University has determined that no other recent accounting pronouncements apply to its operations or would otherwise have a material impact on its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The following is a summary of investments as of December 31, 2015 and 2014, which includes $67,840 of restricted investments as of December 31, 2014. In 2014, the University recorded a non-cash transaction to reflect the restriction of $67,840 of investments. The University considered all investments as available for sale.</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2015</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Adjusted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9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(Losses)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$ 83,507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26</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1"/>
              </w:rPr>
              <w:t>(169)</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83,364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55,720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55,605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and unrestricted investments</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139,227</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(284)</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31, 2014</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Adjusted</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w w:val="90"/>
              </w:rPr>
              <w:t>Gross</w:t>
            </w:r>
          </w:p>
        </w:tc>
        <w:tc>
          <w:tcPr>
            <w:tcW w:w="100" w:type="dxa"/>
            <w:vAlign w:val="bottom"/>
          </w:tcPr>
          <w:p>
            <w:pPr>
              <w:spacing w:after="0"/>
              <w:rPr>
                <w:sz w:val="10"/>
                <w:szCs w:val="10"/>
                <w:color w:val="auto"/>
              </w:rPr>
            </w:pPr>
          </w:p>
        </w:tc>
        <w:tc>
          <w:tcPr>
            <w:tcW w:w="90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6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4"/>
                <w:szCs w:val="14"/>
                <w:color w:val="auto"/>
              </w:rPr>
            </w:pPr>
          </w:p>
        </w:tc>
        <w:tc>
          <w:tcPr>
            <w:tcW w:w="9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(Losses)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4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$ 83,364</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51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1"/>
              </w:rPr>
              <w:t>(177)</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83,238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Municipal bond mutual fund</w:t>
            </w:r>
          </w:p>
        </w:tc>
        <w:tc>
          <w:tcPr>
            <w:tcW w:w="1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85,386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85,386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restricted and unrestricted investments</w:t>
            </w:r>
          </w:p>
        </w:tc>
        <w:tc>
          <w:tcPr>
            <w:tcW w:w="1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168,750</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(177)</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cash flows of municipal securities are backed by the issuing municipality’s credit worthiness. All municipal securities are due in one year or less as of December 31, 2015. For the years ended December 31, 2015 and 2014, the net unrealized losses on available-for-sale securities were $(159) and ($93), net of taxes,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Valuation and Qualifying Accounts</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1"/>
              </w:rPr>
              <w:t>Balance at</w:t>
            </w: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1"/>
              </w:rPr>
              <w:t>Charged to</w:t>
            </w: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3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Beginning of</w:t>
            </w:r>
          </w:p>
        </w:tc>
        <w:tc>
          <w:tcPr>
            <w:tcW w:w="1240" w:type="dxa"/>
            <w:vAlign w:val="bottom"/>
            <w:gridSpan w:val="2"/>
            <w:vMerge w:val="continue"/>
          </w:tcPr>
          <w:p>
            <w:pPr>
              <w:spacing w:after="0"/>
              <w:rPr>
                <w:sz w:val="12"/>
                <w:szCs w:val="12"/>
                <w:color w:val="auto"/>
              </w:rPr>
            </w:pPr>
          </w:p>
        </w:tc>
        <w:tc>
          <w:tcPr>
            <w:tcW w:w="14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0"/>
              </w:rPr>
              <w:t>Deductions</w:t>
            </w:r>
            <w:r>
              <w:rPr>
                <w:rFonts w:ascii="Arial" w:cs="Arial" w:eastAsia="Arial" w:hAnsi="Arial"/>
                <w:sz w:val="12"/>
                <w:szCs w:val="12"/>
                <w:b w:val="1"/>
                <w:bCs w:val="1"/>
                <w:color w:val="auto"/>
                <w:w w:val="90"/>
              </w:rPr>
              <w:t>(1)</w:t>
            </w: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8"/>
              </w:rPr>
              <w:t>Year</w:t>
            </w: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Expense</w:t>
            </w: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Year</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doubtful accounts receivable:</w:t>
            </w:r>
          </w:p>
        </w:tc>
        <w:tc>
          <w:tcPr>
            <w:tcW w:w="1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Year ended December 31, 2015</w:t>
            </w: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6,472</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16,620</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(17,955)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5,137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2014</w:t>
            </w: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9,678</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15,045</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(18,251)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6,472</w:t>
            </w:r>
          </w:p>
        </w:tc>
        <w:tc>
          <w:tcPr>
            <w:tcW w:w="0" w:type="dxa"/>
            <w:vAlign w:val="bottom"/>
          </w:tcPr>
          <w:p>
            <w:pPr>
              <w:spacing w:after="0"/>
              <w:rPr>
                <w:sz w:val="1"/>
                <w:szCs w:val="1"/>
                <w:color w:val="auto"/>
              </w:rPr>
            </w:pP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Year ended December 31, 2013</w:t>
            </w:r>
          </w:p>
        </w:tc>
        <w:tc>
          <w:tcPr>
            <w:tcW w:w="146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8,657</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19,897</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(18,876)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Deductions represent accounts written off, net of recoveries.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 of the following:</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12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$ 103,280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Land improvements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13,389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392,754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298,124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Building and leasehold improvements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72,494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45,855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Computer equipment</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91,225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51,352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Internally developed software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25,996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20,813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5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812,562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591,383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5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(145,079)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(113,213)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$ 667,483</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478,170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Depreciation and amortization expense associated with property and equipment, including assets under capital lease, totaled $34,821, $28,529, and $24,546 for the years ended December 31, 2015, 2014, and 2013,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Payable and Other Noncurrent Liabilities</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December 2012, we entered into a new credit agreement, which increased our term loan to $100 million with a maturity date of December 2019. Additionally, this facility, as amended in January 2016, provides a revolving line of credit in the amount of $150 million through December 2017 to be utilized for working capital, capital expenditures, share repurchases and other general corporate purposes. The amendment to this facility increased the revolving line of credit from $50 million to $150 million. Indebtedness under the credit facility is secured by our assets and is guaranteed by certain of our subsidiaries. The Agreement contains standard covenants that, among other things, restrict the University’s ability to incur additional debt or make certain investments, require the University to maintain compliance with certain applicable regulatory standards, and require the University to achieve certain financial ratios and maintain certain financial condition. Indebtedness under the Agreement is secured by the University’s assets and is guaranteed by certain of the University’s subsidiaries. As of December 31, 2015, the University is in compliance with its debt covenants. No amounts were drawn on the revolver as of December 31, 2015.</w:t>
      </w:r>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ind w:left="2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96"/>
        </w:trPr>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Notes Payable</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6960" w:type="dxa"/>
            <w:vAlign w:val="bottom"/>
          </w:tcPr>
          <w:p>
            <w:pPr>
              <w:spacing w:after="0" w:line="201" w:lineRule="exact"/>
              <w:rPr>
                <w:sz w:val="20"/>
                <w:szCs w:val="20"/>
                <w:color w:val="auto"/>
              </w:rPr>
            </w:pPr>
            <w:r>
              <w:rPr>
                <w:rFonts w:ascii="Arial" w:cs="Arial" w:eastAsia="Arial" w:hAnsi="Arial"/>
                <w:sz w:val="18"/>
                <w:szCs w:val="18"/>
                <w:color w:val="auto"/>
                <w:w w:val="98"/>
              </w:rPr>
              <w:t>Note payable, monthly payment of $556; interest at 30 day LIBOR plus 1.75% (1.99% at</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60" w:type="dxa"/>
            <w:vAlign w:val="bottom"/>
          </w:tcPr>
          <w:p>
            <w:pPr>
              <w:ind w:left="180"/>
              <w:spacing w:after="0"/>
              <w:rPr>
                <w:sz w:val="20"/>
                <w:szCs w:val="20"/>
                <w:color w:val="auto"/>
              </w:rPr>
            </w:pPr>
            <w:r>
              <w:rPr>
                <w:rFonts w:ascii="Arial" w:cs="Arial" w:eastAsia="Arial" w:hAnsi="Arial"/>
                <w:sz w:val="18"/>
                <w:szCs w:val="18"/>
                <w:color w:val="auto"/>
              </w:rPr>
              <w:t>December 31, 2015) through December 31, 2019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$79,525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$86,049</w:t>
            </w:r>
          </w:p>
        </w:tc>
        <w:tc>
          <w:tcPr>
            <w:tcW w:w="100" w:type="dxa"/>
            <w:vAlign w:val="bottom"/>
          </w:tcPr>
          <w:p>
            <w:pPr>
              <w:spacing w:after="0"/>
              <w:rPr>
                <w:sz w:val="20"/>
                <w:szCs w:val="20"/>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Annuities; quarterly payments of $34; extending through 2019; interest at 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79,877</w:t>
            </w:r>
          </w:p>
        </w:tc>
        <w:tc>
          <w:tcPr>
            <w:tcW w:w="4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86,493</w:t>
            </w:r>
          </w:p>
        </w:tc>
        <w:tc>
          <w:tcPr>
            <w:tcW w:w="10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73,252</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79,877</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7500" w:type="dxa"/>
            <w:vAlign w:val="bottom"/>
            <w:gridSpan w:val="2"/>
          </w:tcPr>
          <w:p>
            <w:pPr>
              <w:jc w:val="right"/>
              <w:ind w:right="870"/>
              <w:spacing w:after="0"/>
              <w:rPr>
                <w:sz w:val="20"/>
                <w:szCs w:val="20"/>
                <w:color w:val="auto"/>
              </w:rPr>
            </w:pPr>
            <w:r>
              <w:rPr>
                <w:rFonts w:ascii="Arial" w:cs="Arial" w:eastAsia="Arial" w:hAnsi="Arial"/>
                <w:sz w:val="18"/>
                <w:szCs w:val="18"/>
                <w:color w:val="auto"/>
                <w:w w:val="89"/>
              </w:rPr>
              <w:t>Payments due under the notes payable obligations are as follows as of December 31, 2015:</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6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120" w:type="dxa"/>
            <w:vAlign w:val="bottom"/>
            <w:shd w:val="clear" w:color="auto" w:fill="CCEEFF"/>
          </w:tcPr>
          <w:p>
            <w:pPr>
              <w:jc w:val="right"/>
              <w:ind w:right="5670"/>
              <w:spacing w:after="0"/>
              <w:rPr>
                <w:sz w:val="20"/>
                <w:szCs w:val="20"/>
                <w:color w:val="auto"/>
              </w:rPr>
            </w:pPr>
            <w:r>
              <w:rPr>
                <w:rFonts w:ascii="Arial" w:cs="Arial" w:eastAsia="Arial" w:hAnsi="Arial"/>
                <w:sz w:val="18"/>
                <w:szCs w:val="18"/>
                <w:color w:val="auto"/>
                <w:w w:val="84"/>
              </w:rPr>
              <w:t>2016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20" w:type="dxa"/>
            <w:vAlign w:val="bottom"/>
          </w:tcPr>
          <w:p>
            <w:pPr>
              <w:jc w:val="right"/>
              <w:ind w:right="5670"/>
              <w:spacing w:after="0"/>
              <w:rPr>
                <w:sz w:val="20"/>
                <w:szCs w:val="20"/>
                <w:color w:val="auto"/>
              </w:rPr>
            </w:pPr>
            <w:r>
              <w:rPr>
                <w:rFonts w:ascii="Arial" w:cs="Arial" w:eastAsia="Arial" w:hAnsi="Arial"/>
                <w:sz w:val="18"/>
                <w:szCs w:val="18"/>
                <w:color w:val="auto"/>
                <w:w w:val="84"/>
              </w:rPr>
              <w:t>2017</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20" w:type="dxa"/>
            <w:vAlign w:val="bottom"/>
            <w:shd w:val="clear" w:color="auto" w:fill="CCEEFF"/>
          </w:tcPr>
          <w:p>
            <w:pPr>
              <w:jc w:val="right"/>
              <w:ind w:right="5670"/>
              <w:spacing w:after="0"/>
              <w:rPr>
                <w:sz w:val="20"/>
                <w:szCs w:val="20"/>
                <w:color w:val="auto"/>
              </w:rPr>
            </w:pPr>
            <w:r>
              <w:rPr>
                <w:rFonts w:ascii="Arial" w:cs="Arial" w:eastAsia="Arial" w:hAnsi="Arial"/>
                <w:sz w:val="18"/>
                <w:szCs w:val="18"/>
                <w:color w:val="auto"/>
                <w:w w:val="84"/>
              </w:rPr>
              <w:t>2018</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120" w:type="dxa"/>
            <w:vAlign w:val="bottom"/>
          </w:tcPr>
          <w:p>
            <w:pPr>
              <w:jc w:val="right"/>
              <w:ind w:right="5670"/>
              <w:spacing w:after="0"/>
              <w:rPr>
                <w:sz w:val="20"/>
                <w:szCs w:val="20"/>
                <w:color w:val="auto"/>
              </w:rPr>
            </w:pPr>
            <w:r>
              <w:rPr>
                <w:rFonts w:ascii="Arial" w:cs="Arial" w:eastAsia="Arial" w:hAnsi="Arial"/>
                <w:sz w:val="18"/>
                <w:szCs w:val="18"/>
                <w:color w:val="auto"/>
                <w:w w:val="84"/>
              </w:rPr>
              <w:t>2019</w:t>
            </w:r>
          </w:p>
        </w:tc>
        <w:tc>
          <w:tcPr>
            <w:tcW w:w="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59,925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deferred rent included in other noncurrent liabilities as of December 31, 2015 and 2014 was $3,502 and $4,513, respectively.</w:t>
      </w:r>
    </w:p>
    <w:p>
      <w:pPr>
        <w:sectPr>
          <w:pgSz w:w="11900" w:h="16838" w:orient="portrait"/>
          <w:cols w:equalWidth="0" w:num="1">
            <w:col w:w="11400"/>
          </w:cols>
          <w:pgMar w:left="240" w:top="459" w:right="25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00"/>
          </w:cols>
          <w:pgMar w:left="240" w:top="459" w:right="2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Capital Lease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Capital lease obligations consist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left="239"/>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2015</w:t>
            </w:r>
          </w:p>
        </w:tc>
        <w:tc>
          <w:tcPr>
            <w:tcW w:w="3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Capital Lease Obligations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260" w:type="dxa"/>
            <w:vAlign w:val="bottom"/>
          </w:tcPr>
          <w:p>
            <w:pPr>
              <w:spacing w:after="0" w:line="201" w:lineRule="exact"/>
              <w:rPr>
                <w:sz w:val="20"/>
                <w:szCs w:val="20"/>
                <w:color w:val="auto"/>
              </w:rPr>
            </w:pPr>
            <w:r>
              <w:rPr>
                <w:rFonts w:ascii="Arial" w:cs="Arial" w:eastAsia="Arial" w:hAnsi="Arial"/>
                <w:sz w:val="18"/>
                <w:szCs w:val="18"/>
                <w:color w:val="auto"/>
                <w:w w:val="99"/>
              </w:rPr>
              <w:t>Capital leases for equipment, monthly payments totaling $33; interest rate at 2.2%, through</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280" w:type="dxa"/>
            <w:vAlign w:val="bottom"/>
            <w:gridSpan w:val="2"/>
          </w:tcPr>
          <w:p>
            <w:pPr>
              <w:jc w:val="right"/>
              <w:ind w:right="6650"/>
              <w:spacing w:after="0"/>
              <w:rPr>
                <w:sz w:val="20"/>
                <w:szCs w:val="20"/>
                <w:color w:val="auto"/>
              </w:rPr>
            </w:pPr>
            <w:r>
              <w:rPr>
                <w:rFonts w:ascii="Arial" w:cs="Arial" w:eastAsia="Arial" w:hAnsi="Arial"/>
                <w:sz w:val="18"/>
                <w:szCs w:val="18"/>
                <w:color w:val="auto"/>
              </w:rPr>
              <w:t>2019</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1,485</w:t>
            </w:r>
          </w:p>
        </w:tc>
        <w:tc>
          <w:tcPr>
            <w:tcW w:w="36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capital lease obligations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406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Payments due under future minimum lease payments under the capital lease obligations are as follows as of December 31, 2015:</w:t>
      </w:r>
    </w:p>
    <w:p>
      <w:pPr>
        <w:spacing w:after="0" w:line="267"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2017</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2019</w:t>
            </w:r>
          </w:p>
        </w:tc>
        <w:tc>
          <w:tcPr>
            <w:tcW w:w="2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Less: Portion representing interest</w:t>
            </w:r>
          </w:p>
        </w:tc>
        <w:tc>
          <w:tcPr>
            <w:tcW w:w="2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1,485</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University leases certain land, buildings and equipment under non-cancelable operating leases expiring at various dates through 2022. Future minimum lease payments under operating leases due each year are as follows at December 31, 2015:</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2017</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2019</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Thereafter</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20,941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years ended December 31, 2015, 2014 and 2013 was $7,759, $8,409, and $7,074,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From time to time, the University is party to various lawsuits, claims, and other legal proceedings that arise in the ordinary course of business, some of which are covered by insurance. When the University is aware of a claim or potential claim, it assesses the likelihood of any loss or exposure. If it is probable that a loss will result and the amount of the loss can be reasonably estimated, the University records a liability for the loss. If the loss is not probable or the amount of the loss cannot be reasonably estimated, the University discloses the nature of the specific claim if the likelihood of a potential loss is reasonably possible and the amount involved is material. With respect to the majority of pending litigation matters, the University’s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Upon resolution of any pending legal matters, the University may incur charges in excess of presently established reserves. Management does not believe that any such charges would, individually or in the aggregate, have a material adverse effect on the University’s financial condition, results of operations or cash flows.</w:t>
      </w:r>
    </w:p>
    <w:p>
      <w:pPr>
        <w:sectPr>
          <w:pgSz w:w="11900" w:h="16838" w:orient="portrait"/>
          <w:cols w:equalWidth="0" w:num="1">
            <w:col w:w="11360"/>
          </w:cols>
          <w:pgMar w:left="240" w:top="459" w:right="299" w:bottom="1440" w:gutter="0" w:footer="0" w:header="0"/>
        </w:sectPr>
      </w:pP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360"/>
          </w:cols>
          <w:pgMar w:left="240" w:top="459" w:right="29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From time to time the University has exposure to various non-income tax related matters that arise in the ordinary course of business. At December 31, 2015 and 2014, the University has reserved approximately $0 and $659, respectively, for tax matters where its ultimate exposure is considered probable and the potential loss can be reasonably estimated.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June 30, 2009 and February 27, 2013, respectively, the University entered into an interest rate swap and an interest rate corridor to manage its 30 Day LIBOR interest exposure related to its variable rate debt. Neither of these instruments contained financing elements. The contractual terms of the University’s derivative instruments have not been structured such that net payments made by one party in the earlier periods are to be subsequently returned by the counterparty in later periods of the derivative’s term. Neither of the University’s derivative instruments have been amended or modified since their inception. The fair value of the interest rate corridor instrument as of December 31, 2015 and 2014 was $728 and $1,332, respectively, which is included in other assets. The interest rate swap was terminated upon its expiration date in April 2014. The fair values of each derivative instrument were determined using a hypothetical derivative transaction and Level 2 of the hierarchy of valuation inputs. These derivative instruments were originally designated as cash flow hedges of variable rate debt obligations. The adjustments of $602, $486, and $947 for the years ended December 31, 2015, 2014 and 2013, respectively, for the effective portion of the gain/loss on the derivatives is included as a component of other comprehensive income, net of taxes.</w:t>
      </w:r>
    </w:p>
    <w:p>
      <w:pPr>
        <w:spacing w:after="0" w:line="167"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The interest rate corridor instrument reduces variable interest rate risk starting March 1, 2013 through December 20, 2019 with a notional amount of $80,000 as of December 31, 2015. The corridor instrument’s terms permit the University to hedge its interest rate risk at several thresholds; the University pays variable interest monthly based on the 30-day LIBOR rates until that index reaches 1.5%. If 30-day LIBOR is equal to 1.5% through 3.0%, the University pays 1.5%. If 30-day LIBOR exceeds 3.0%, the University pays actual 30-day LIBOR less 1.5%. Therefore, the University has hedged its exposure to future variable rate cash flows through December 20, 2019.</w:t>
      </w:r>
    </w:p>
    <w:p>
      <w:pPr>
        <w:spacing w:after="0" w:line="188" w:lineRule="exact"/>
        <w:rPr>
          <w:sz w:val="20"/>
          <w:szCs w:val="20"/>
          <w:color w:val="auto"/>
        </w:rPr>
      </w:pPr>
    </w:p>
    <w:p>
      <w:pPr>
        <w:jc w:val="both"/>
        <w:ind w:right="300" w:firstLine="456"/>
        <w:spacing w:after="0" w:line="279" w:lineRule="auto"/>
        <w:rPr>
          <w:sz w:val="20"/>
          <w:szCs w:val="20"/>
          <w:color w:val="auto"/>
        </w:rPr>
      </w:pPr>
      <w:r>
        <w:rPr>
          <w:rFonts w:ascii="Arial" w:cs="Arial" w:eastAsia="Arial" w:hAnsi="Arial"/>
          <w:sz w:val="17"/>
          <w:szCs w:val="17"/>
          <w:color w:val="auto"/>
        </w:rPr>
        <w:t>As of December 31, 2015 no derivative ineffectiveness was identified. Any ineffectiveness in the University’s derivative instruments designated as hedges would be reported in interest expense in the income statement. As of December 31, 2015, $2 of credit default risk interest expense was recorded in interest expense in the income statement. At December 31, 2015, the University does not expect to reclassify any gains or losses on derivative instruments from accumulated other comprehensive income (loss) into earnings during the next 12 months.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pacing w:after="0" w:line="15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24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r>
      <w:tr>
        <w:trPr>
          <w:trHeight w:val="142"/>
        </w:trPr>
        <w:tc>
          <w:tcPr>
            <w:tcW w:w="710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100" w:type="dxa"/>
            <w:vAlign w:val="bottom"/>
          </w:tcPr>
          <w:p>
            <w:pPr>
              <w:ind w:left="360"/>
              <w:spacing w:after="0"/>
              <w:rPr>
                <w:sz w:val="20"/>
                <w:szCs w:val="20"/>
                <w:color w:val="auto"/>
              </w:rPr>
            </w:pPr>
            <w:r>
              <w:rPr>
                <w:rFonts w:ascii="Arial" w:cs="Arial" w:eastAsia="Arial" w:hAnsi="Arial"/>
                <w:sz w:val="18"/>
                <w:szCs w:val="18"/>
                <w:color w:val="auto"/>
              </w:rPr>
              <w:t>Basic common shares outstanding</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45,975</w:t>
            </w:r>
          </w:p>
        </w:tc>
        <w:tc>
          <w:tcPr>
            <w:tcW w:w="34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45,538</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44,731</w:t>
            </w:r>
          </w:p>
        </w:tc>
      </w:tr>
      <w:tr>
        <w:trPr>
          <w:trHeight w:val="216"/>
        </w:trPr>
        <w:tc>
          <w:tcPr>
            <w:tcW w:w="7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dilutive stock options and restricted stock</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1,306</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r>
      <w:tr>
        <w:trPr>
          <w:trHeight w:val="223"/>
        </w:trPr>
        <w:tc>
          <w:tcPr>
            <w:tcW w:w="7100" w:type="dxa"/>
            <w:vAlign w:val="bottom"/>
          </w:tcPr>
          <w:p>
            <w:pPr>
              <w:ind w:left="360"/>
              <w:spacing w:after="0"/>
              <w:rPr>
                <w:sz w:val="20"/>
                <w:szCs w:val="20"/>
                <w:color w:val="auto"/>
              </w:rPr>
            </w:pPr>
            <w:r>
              <w:rPr>
                <w:rFonts w:ascii="Arial" w:cs="Arial" w:eastAsia="Arial" w:hAnsi="Arial"/>
                <w:sz w:val="18"/>
                <w:szCs w:val="18"/>
                <w:color w:val="auto"/>
              </w:rPr>
              <w:t>Diluted common shares outstanding</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47,281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47,006</w:t>
            </w:r>
          </w:p>
        </w:tc>
        <w:tc>
          <w:tcPr>
            <w:tcW w:w="3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46,131</w:t>
            </w:r>
          </w:p>
        </w:tc>
        <w:tc>
          <w:tcPr>
            <w:tcW w:w="100" w:type="dxa"/>
            <w:vAlign w:val="bottom"/>
          </w:tcPr>
          <w:p>
            <w:pPr>
              <w:spacing w:after="0"/>
              <w:rPr>
                <w:sz w:val="19"/>
                <w:szCs w:val="19"/>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Diluted weighted average shares outstanding exclude the incremental effect of shares that would be issued upon the assumed exercise of stock options and vesting of restricted stock. For each of the years ended December 31, 2015, 2014 and 2013, approximately 385, 174 and 134, respectively, of the University’s stock options and restricted stock awards outstanding were excluded from the calculation of diluted earnings per share as their inclusion would have been anti-dilutive. These options and restricted stock awards could be dilutive in the future.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As of December 31, 2015 and 2014, the University had 10,000 shares of authorized but unissued and undesignated preferred stock. The University’s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Board of Directors has authorized the University to repurchase up to $75,000 in aggregate of common stock, from time to time, depending on market conditions and other considerations. The expiration date on the repurchase authorization has been extended to September 30, 2016. Repurchases occur at the University’s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University has purchased 3,076 shares of common stock at an aggregate cost of $60,414, which includes 288 shares of common stock at an aggregate cost of $11,279 during the year ended December 31, 2015, which are recorded at cost in the accompanying December 31, 2015 consolidated balance sheet and statement of stockholders’ equity. At December 31, 2015, there remained $14,586 available under its current share repurchase authorization.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University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University will realize the benefits of these deductible differences. The University has no valuation allowance at December 31, 2015 and 2014. The components of income tax expense (benefit)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20" w:type="dxa"/>
            <w:vAlign w:val="bottom"/>
            <w:gridSpan w:val="14"/>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500" w:type="dxa"/>
            <w:vAlign w:val="bottom"/>
            <w:gridSpan w:val="2"/>
          </w:tcPr>
          <w:p>
            <w:pPr>
              <w:spacing w:after="0"/>
              <w:rPr>
                <w:sz w:val="12"/>
                <w:szCs w:val="12"/>
                <w:color w:val="auto"/>
              </w:rPr>
            </w:pPr>
          </w:p>
        </w:tc>
        <w:tc>
          <w:tcPr>
            <w:tcW w:w="580" w:type="dxa"/>
            <w:vAlign w:val="bottom"/>
            <w:tcBorders>
              <w:top w:val="single" w:sz="8" w:color="auto"/>
            </w:tcBorders>
            <w:gridSpan w:val="2"/>
          </w:tcPr>
          <w:p>
            <w:pPr>
              <w:jc w:val="right"/>
              <w:ind w:right="77"/>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ind w:left="360"/>
              <w:spacing w:after="0"/>
              <w:rPr>
                <w:sz w:val="20"/>
                <w:szCs w:val="20"/>
                <w:color w:val="auto"/>
              </w:rPr>
            </w:pPr>
            <w:r>
              <w:rPr>
                <w:rFonts w:ascii="Arial" w:cs="Arial" w:eastAsia="Arial" w:hAnsi="Arial"/>
                <w:sz w:val="18"/>
                <w:szCs w:val="18"/>
                <w:color w:val="auto"/>
              </w:rPr>
              <w:t>Federal</w:t>
            </w:r>
          </w:p>
        </w:tc>
        <w:tc>
          <w:tcPr>
            <w:tcW w:w="3100" w:type="dxa"/>
            <w:vAlign w:val="bottom"/>
            <w:gridSpan w:val="5"/>
          </w:tcPr>
          <w:p>
            <w:pPr>
              <w:jc w:val="right"/>
              <w:ind w:right="20"/>
              <w:spacing w:after="0"/>
              <w:rPr>
                <w:sz w:val="20"/>
                <w:szCs w:val="20"/>
                <w:color w:val="auto"/>
              </w:rPr>
            </w:pPr>
            <w:r>
              <w:rPr>
                <w:rFonts w:ascii="Arial" w:cs="Arial" w:eastAsia="Arial" w:hAnsi="Arial"/>
                <w:sz w:val="18"/>
                <w:szCs w:val="18"/>
                <w:color w:val="auto"/>
              </w:rPr>
              <w:t>$63,481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$50,980</w:t>
            </w:r>
          </w:p>
        </w:tc>
        <w:tc>
          <w:tcPr>
            <w:tcW w:w="30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$40,949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5,222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6,216</w:t>
            </w:r>
          </w:p>
        </w:tc>
        <w:tc>
          <w:tcPr>
            <w:tcW w:w="3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5,540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68,703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57,196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46,489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ind w:left="360"/>
              <w:spacing w:after="0"/>
              <w:rPr>
                <w:sz w:val="20"/>
                <w:szCs w:val="20"/>
                <w:color w:val="auto"/>
              </w:rPr>
            </w:pPr>
            <w:r>
              <w:rPr>
                <w:rFonts w:ascii="Arial" w:cs="Arial" w:eastAsia="Arial" w:hAnsi="Arial"/>
                <w:sz w:val="18"/>
                <w:szCs w:val="18"/>
                <w:color w:val="auto"/>
              </w:rPr>
              <w:t>Federal</w:t>
            </w:r>
          </w:p>
        </w:tc>
        <w:tc>
          <w:tcPr>
            <w:tcW w:w="3100" w:type="dxa"/>
            <w:vAlign w:val="bottom"/>
            <w:gridSpan w:val="5"/>
          </w:tcPr>
          <w:p>
            <w:pPr>
              <w:jc w:val="right"/>
              <w:ind w:right="20"/>
              <w:spacing w:after="0"/>
              <w:rPr>
                <w:sz w:val="20"/>
                <w:szCs w:val="20"/>
                <w:color w:val="auto"/>
              </w:rPr>
            </w:pPr>
            <w:r>
              <w:rPr>
                <w:rFonts w:ascii="Arial" w:cs="Arial" w:eastAsia="Arial" w:hAnsi="Arial"/>
                <w:sz w:val="18"/>
                <w:szCs w:val="18"/>
                <w:color w:val="auto"/>
              </w:rPr>
              <w:t>4,473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8"/>
                <w:szCs w:val="18"/>
                <w:color w:val="auto"/>
              </w:rPr>
              <w:t>2,734</w:t>
            </w:r>
          </w:p>
        </w:tc>
        <w:tc>
          <w:tcPr>
            <w:tcW w:w="30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4,209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3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557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3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5,030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3,152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7"/>
              </w:rPr>
              <w:t>Tax expense recorded as an increase of paid-in capital</w:t>
            </w:r>
          </w:p>
        </w:tc>
        <w:tc>
          <w:tcPr>
            <w:tcW w:w="3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3,863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7,884</w:t>
            </w:r>
          </w:p>
        </w:tc>
        <w:tc>
          <w:tcPr>
            <w:tcW w:w="3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4,588</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77,596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68,232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gridSpan w:val="4"/>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20" w:type="dxa"/>
            <w:vAlign w:val="bottom"/>
            <w:gridSpan w:val="9"/>
          </w:tcPr>
          <w:p>
            <w:pPr>
              <w:jc w:val="right"/>
              <w:ind w:right="200"/>
              <w:spacing w:after="0"/>
              <w:rPr>
                <w:sz w:val="20"/>
                <w:szCs w:val="20"/>
                <w:color w:val="auto"/>
              </w:rPr>
            </w:pPr>
            <w:r>
              <w:rPr>
                <w:rFonts w:ascii="Arial" w:cs="Arial" w:eastAsia="Arial" w:hAnsi="Arial"/>
                <w:sz w:val="18"/>
                <w:szCs w:val="18"/>
                <w:color w:val="auto"/>
                <w:w w:val="91"/>
              </w:rPr>
              <w:t>A reconciliation of income tax computed at the U.S. statutory rate to the effective income tax rate is as follows:</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12"/>
          </w:tcPr>
          <w:p>
            <w:pPr>
              <w:jc w:val="right"/>
              <w:ind w:right="52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4300" w:type="dxa"/>
            <w:vAlign w:val="bottom"/>
            <w:tcBorders>
              <w:bottom w:val="single" w:sz="8" w:color="CCEEFF"/>
            </w:tcBorders>
          </w:tcPr>
          <w:p>
            <w:pPr>
              <w:spacing w:after="0"/>
              <w:rPr>
                <w:sz w:val="12"/>
                <w:szCs w:val="12"/>
                <w:color w:val="auto"/>
              </w:rPr>
            </w:pPr>
          </w:p>
        </w:tc>
        <w:tc>
          <w:tcPr>
            <w:tcW w:w="2860" w:type="dxa"/>
            <w:vAlign w:val="bottom"/>
            <w:tcBorders>
              <w:bottom w:val="single" w:sz="8" w:color="CCEEFF"/>
            </w:tcBorders>
            <w:gridSpan w:val="3"/>
          </w:tcPr>
          <w:p>
            <w:pPr>
              <w:spacing w:after="0"/>
              <w:rPr>
                <w:sz w:val="12"/>
                <w:szCs w:val="12"/>
                <w:color w:val="auto"/>
              </w:rPr>
            </w:pPr>
          </w:p>
        </w:tc>
        <w:tc>
          <w:tcPr>
            <w:tcW w:w="3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gridSpan w:val="2"/>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gridSpan w:val="2"/>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2860" w:type="dxa"/>
            <w:vAlign w:val="bottom"/>
            <w:gridSpan w:val="3"/>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320" w:type="dxa"/>
            <w:vAlign w:val="bottom"/>
            <w:gridSpan w:val="2"/>
            <w:shd w:val="clear" w:color="auto" w:fill="CCEEFF"/>
          </w:tcPr>
          <w:p>
            <w:pPr>
              <w:spacing w:after="0"/>
              <w:rPr>
                <w:sz w:val="18"/>
                <w:szCs w:val="18"/>
                <w:color w:val="auto"/>
              </w:rPr>
            </w:pPr>
          </w:p>
        </w:tc>
        <w:tc>
          <w:tcPr>
            <w:tcW w:w="6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240" w:type="dxa"/>
            <w:vAlign w:val="bottom"/>
            <w:gridSpan w:val="2"/>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35.0%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State income taxes, net of federal tax benefit</w:t>
            </w:r>
          </w:p>
        </w:tc>
        <w:tc>
          <w:tcPr>
            <w:tcW w:w="3460" w:type="dxa"/>
            <w:vAlign w:val="bottom"/>
            <w:gridSpan w:val="7"/>
          </w:tcPr>
          <w:p>
            <w:pPr>
              <w:jc w:val="right"/>
              <w:ind w:right="220"/>
              <w:spacing w:after="0"/>
              <w:rPr>
                <w:sz w:val="20"/>
                <w:szCs w:val="20"/>
                <w:color w:val="auto"/>
              </w:rPr>
            </w:pPr>
            <w:r>
              <w:rPr>
                <w:rFonts w:ascii="Arial" w:cs="Arial" w:eastAsia="Arial" w:hAnsi="Arial"/>
                <w:sz w:val="18"/>
                <w:szCs w:val="18"/>
                <w:color w:val="auto"/>
              </w:rPr>
              <w:t>3.3</w:t>
            </w:r>
          </w:p>
        </w:tc>
        <w:tc>
          <w:tcPr>
            <w:tcW w:w="1000" w:type="dxa"/>
            <w:vAlign w:val="bottom"/>
            <w:gridSpan w:val="5"/>
          </w:tcPr>
          <w:p>
            <w:pPr>
              <w:jc w:val="right"/>
              <w:ind w:right="300"/>
              <w:spacing w:after="0"/>
              <w:rPr>
                <w:sz w:val="20"/>
                <w:szCs w:val="20"/>
                <w:color w:val="auto"/>
              </w:rPr>
            </w:pPr>
            <w:r>
              <w:rPr>
                <w:rFonts w:ascii="Arial" w:cs="Arial" w:eastAsia="Arial" w:hAnsi="Arial"/>
                <w:sz w:val="18"/>
                <w:szCs w:val="18"/>
                <w:color w:val="auto"/>
              </w:rPr>
              <w:t>4.3</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State tax credits, net of federal effect</w:t>
            </w:r>
          </w:p>
        </w:tc>
        <w:tc>
          <w:tcPr>
            <w:tcW w:w="3460" w:type="dxa"/>
            <w:vAlign w:val="bottom"/>
            <w:gridSpan w:val="7"/>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00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Nondeductible expenses</w:t>
            </w:r>
          </w:p>
        </w:tc>
        <w:tc>
          <w:tcPr>
            <w:tcW w:w="3460" w:type="dxa"/>
            <w:vAlign w:val="bottom"/>
            <w:gridSpan w:val="7"/>
          </w:tcPr>
          <w:p>
            <w:pPr>
              <w:jc w:val="right"/>
              <w:ind w:right="220"/>
              <w:spacing w:after="0"/>
              <w:rPr>
                <w:sz w:val="20"/>
                <w:szCs w:val="20"/>
                <w:color w:val="auto"/>
              </w:rPr>
            </w:pPr>
            <w:r>
              <w:rPr>
                <w:rFonts w:ascii="Arial" w:cs="Arial" w:eastAsia="Arial" w:hAnsi="Arial"/>
                <w:sz w:val="18"/>
                <w:szCs w:val="18"/>
                <w:color w:val="auto"/>
              </w:rPr>
              <w:t>0.1</w:t>
            </w:r>
          </w:p>
        </w:tc>
        <w:tc>
          <w:tcPr>
            <w:tcW w:w="1000" w:type="dxa"/>
            <w:vAlign w:val="bottom"/>
            <w:gridSpan w:val="5"/>
          </w:tcPr>
          <w:p>
            <w:pPr>
              <w:jc w:val="right"/>
              <w:ind w:right="300"/>
              <w:spacing w:after="0"/>
              <w:rPr>
                <w:sz w:val="20"/>
                <w:szCs w:val="20"/>
                <w:color w:val="auto"/>
              </w:rPr>
            </w:pPr>
            <w:r>
              <w:rPr>
                <w:rFonts w:ascii="Arial" w:cs="Arial" w:eastAsia="Arial" w:hAnsi="Arial"/>
                <w:sz w:val="18"/>
                <w:szCs w:val="18"/>
                <w:color w:val="auto"/>
              </w:rPr>
              <w:t>0.1</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860" w:type="dxa"/>
            <w:vAlign w:val="bottom"/>
            <w:gridSpan w:val="3"/>
            <w:shd w:val="clear" w:color="auto" w:fill="CCEEFF"/>
          </w:tcPr>
          <w:p>
            <w:pPr>
              <w:spacing w:after="0"/>
              <w:rPr>
                <w:sz w:val="18"/>
                <w:szCs w:val="18"/>
                <w:color w:val="auto"/>
              </w:rPr>
            </w:pPr>
          </w:p>
        </w:tc>
        <w:tc>
          <w:tcPr>
            <w:tcW w:w="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100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0.1</w:t>
            </w:r>
          </w:p>
        </w:tc>
        <w:tc>
          <w:tcPr>
            <w:tcW w:w="7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2860" w:type="dxa"/>
            <w:vAlign w:val="bottom"/>
            <w:gridSpan w:val="3"/>
            <w:vMerge w:val="restart"/>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 w:type="dxa"/>
            <w:vAlign w:val="bottom"/>
          </w:tcPr>
          <w:p>
            <w:pPr>
              <w:spacing w:after="0"/>
              <w:rPr>
                <w:sz w:val="19"/>
                <w:szCs w:val="19"/>
                <w:color w:val="auto"/>
              </w:rPr>
            </w:pPr>
          </w:p>
        </w:tc>
        <w:tc>
          <w:tcPr>
            <w:tcW w:w="4300" w:type="dxa"/>
            <w:vAlign w:val="bottom"/>
            <w:vMerge w:val="continue"/>
          </w:tcPr>
          <w:p>
            <w:pPr>
              <w:spacing w:after="0"/>
              <w:rPr>
                <w:sz w:val="19"/>
                <w:szCs w:val="19"/>
                <w:color w:val="auto"/>
              </w:rPr>
            </w:pPr>
          </w:p>
        </w:tc>
        <w:tc>
          <w:tcPr>
            <w:tcW w:w="2860" w:type="dxa"/>
            <w:vAlign w:val="bottom"/>
            <w:gridSpan w:val="3"/>
            <w:vMerge w:val="continue"/>
          </w:tcPr>
          <w:p>
            <w:pPr>
              <w:spacing w:after="0"/>
              <w:rPr>
                <w:sz w:val="19"/>
                <w:szCs w:val="19"/>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37.1%</w:t>
            </w:r>
          </w:p>
        </w:tc>
        <w:tc>
          <w:tcPr>
            <w:tcW w:w="320" w:type="dxa"/>
            <w:vAlign w:val="bottom"/>
            <w:gridSpan w:val="2"/>
            <w:vMerge w:val="continue"/>
          </w:tcPr>
          <w:p>
            <w:pPr>
              <w:spacing w:after="0"/>
              <w:rPr>
                <w:sz w:val="19"/>
                <w:szCs w:val="19"/>
                <w:color w:val="auto"/>
              </w:rPr>
            </w:pPr>
          </w:p>
        </w:tc>
        <w:tc>
          <w:tcPr>
            <w:tcW w:w="680" w:type="dxa"/>
            <w:vAlign w:val="bottom"/>
            <w:gridSpan w:val="3"/>
          </w:tcPr>
          <w:p>
            <w:pPr>
              <w:jc w:val="right"/>
              <w:ind w:right="140"/>
              <w:spacing w:after="0"/>
              <w:rPr>
                <w:sz w:val="20"/>
                <w:szCs w:val="20"/>
                <w:color w:val="auto"/>
              </w:rPr>
            </w:pPr>
            <w:r>
              <w:rPr>
                <w:rFonts w:ascii="Arial" w:cs="Arial" w:eastAsia="Arial" w:hAnsi="Arial"/>
                <w:sz w:val="18"/>
                <w:szCs w:val="18"/>
                <w:color w:val="auto"/>
              </w:rPr>
              <w:t>38.0%</w:t>
            </w:r>
          </w:p>
        </w:tc>
        <w:tc>
          <w:tcPr>
            <w:tcW w:w="240" w:type="dxa"/>
            <w:vAlign w:val="bottom"/>
            <w:gridSpan w:val="2"/>
            <w:vMerge w:val="continue"/>
          </w:tcPr>
          <w:p>
            <w:pPr>
              <w:spacing w:after="0"/>
              <w:rPr>
                <w:sz w:val="19"/>
                <w:szCs w:val="19"/>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38.8%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80" w:type="dxa"/>
            <w:vAlign w:val="bottom"/>
            <w:vMerge w:val="restart"/>
          </w:tcPr>
          <w:p>
            <w:pPr>
              <w:jc w:val="right"/>
              <w:ind w:right="181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University’s deferred income tax assets and liabilities are as follows:</w:t>
      </w:r>
    </w:p>
    <w:p>
      <w:pPr>
        <w:spacing w:after="0" w:line="200" w:lineRule="exact"/>
        <w:rPr>
          <w:sz w:val="20"/>
          <w:szCs w:val="20"/>
          <w:color w:val="auto"/>
        </w:rPr>
      </w:pPr>
    </w:p>
    <w:p>
      <w:pPr>
        <w:spacing w:after="0" w:line="28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Arial" w:cs="Arial" w:eastAsia="Arial" w:hAnsi="Arial"/>
                <w:sz w:val="18"/>
                <w:szCs w:val="18"/>
                <w:color w:val="auto"/>
              </w:rPr>
              <w:t>Allowance for doubtful accounts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2,051</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Arial" w:cs="Arial" w:eastAsia="Arial" w:hAnsi="Arial"/>
                <w:sz w:val="18"/>
                <w:szCs w:val="18"/>
                <w:color w:val="auto"/>
              </w:rPr>
              <w:t>Deferred tuition revenue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scholarship</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44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20,183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ind w:left="920"/>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(33,710)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(28,203)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liability</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(35,001)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(30,008)</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440" w:type="dxa"/>
            <w:vAlign w:val="bottom"/>
          </w:tcPr>
          <w:p>
            <w:pPr>
              <w:ind w:left="360"/>
              <w:spacing w:after="0"/>
              <w:rPr>
                <w:sz w:val="20"/>
                <w:szCs w:val="20"/>
                <w:color w:val="auto"/>
              </w:rPr>
            </w:pPr>
            <w:r>
              <w:rPr>
                <w:rFonts w:ascii="Arial" w:cs="Arial" w:eastAsia="Arial" w:hAnsi="Arial"/>
                <w:sz w:val="18"/>
                <w:szCs w:val="18"/>
                <w:color w:val="auto"/>
              </w:rPr>
              <w:t>Net deferred tax liability</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(14,855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spacing w:after="0"/>
              <w:rPr>
                <w:sz w:val="20"/>
                <w:szCs w:val="20"/>
                <w:color w:val="auto"/>
              </w:rPr>
            </w:pPr>
            <w:r>
              <w:rPr>
                <w:rFonts w:ascii="Arial" w:cs="Arial" w:eastAsia="Arial" w:hAnsi="Arial"/>
                <w:sz w:val="18"/>
                <w:szCs w:val="18"/>
                <w:color w:val="auto"/>
                <w:w w:val="92"/>
              </w:rPr>
              <w:t>The deferred tax amounts above have been classified in the University’s balance sheets as follows:</w:t>
            </w: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4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current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(21,303)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(15,974)</w:t>
            </w: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(14,855)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The University recognizes the impact of a tax position in its financial statements if that position is more-likely-than-not to be sustained on audit, based on the technical merits of the position. The University discloses all unrecognized tax benefits, which includes the reserves recorded for uncertain tax positions on filed tax returns and the unrecognized portion of affirmative claims. The University recognizes interest and penalties related to uncertain tax positions in income tax expense. Unrecognized tax benefits as of December 31, 2015 and 2014 were not significant.</w:t>
      </w:r>
    </w:p>
    <w:p>
      <w:pPr>
        <w:spacing w:after="0" w:line="17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University is subject to taxation in the United States, in states with an income tax and in several local jurisdictions. During the second quarter ended June 30, 2014, the Internal Revenue Service (“IRS”) commenced an examination of the University’s 2011 income tax return. The IRS concluded its audit of the University’s 2011 income tax return with no changes to our reported tax or tax liability. Additionally, we are currently under audit by several state taxing authorities. We do not anticipate any material adjustments as a result of these audits. As of December 31, 2015, the earliest tax year still subject to examination for federal and state purposes is 2012 and 2011,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Regulatory</w:t>
      </w:r>
    </w:p>
    <w:p>
      <w:pPr>
        <w:spacing w:after="0" w:line="121"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University is subject to extensive regulation by federal and state governmental agencies and accrediting bodies. In particular, the Higher Education Act and the regulations promulgated thereunder by the Department of Education, subject the University to significant regulatory scrutiny on the basis of numerous standards that schools must satisfy in order to participate in the various federal student financial assistance programs under Title IV.</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As of December 31, 2015, management believes the University is in compliance with the applicable regulations in all material respects.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right="220" w:firstLine="456"/>
        <w:spacing w:after="0" w:line="297" w:lineRule="auto"/>
        <w:rPr>
          <w:sz w:val="20"/>
          <w:szCs w:val="20"/>
          <w:color w:val="auto"/>
        </w:rPr>
      </w:pPr>
      <w:r>
        <w:rPr>
          <w:rFonts w:ascii="Arial" w:cs="Arial" w:eastAsia="Arial" w:hAnsi="Arial"/>
          <w:sz w:val="16"/>
          <w:szCs w:val="16"/>
          <w:color w:val="auto"/>
        </w:rPr>
        <w:t>Because the University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there can be no assurance that regulatory agencies or third parties will not undertake investigations or make claims against the University, or that such claims, if made, will not have a material adverse effect on the University’s business, results of operations or financial condition, management believes the University is in compliance with applicable regulations in all material respects.</w:t>
      </w:r>
    </w:p>
    <w:p>
      <w:pPr>
        <w:spacing w:after="0" w:line="15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connection with its administration of the Title IV federal student financial aid programs, the Department of Education periodically conducts program reviews at selected schools that receive Title IV funds. In July 2010, the Department of Education initiated a program review of the University covering the 2008-2009 and 2009-2010 award years. On September 27, 2013, the University and the Department of Education entered into an agreement that fully resolved the findings in the preliminary program review report and closed the program review. In connection with this closure, the University paid a total of $7,387, the majority of which consisted of returns of Title IV funds to the lenders of our students, related to the inadequate procedures related to non-passing grade finding. Although when the University makes a return to Title IV the applicable student is obligated to repay the University for the amounts returned, the University agreed that it would not seek reimbursement from these students.</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A second program review, focused on the University’s administration of the Title IV programs in which it participates, its administration of the Clery Act and related regulations, and its compliance with the requirements of the Drug-Free Schools and Communities Act for the 2012-2013 and 2013-2014 award years, was initiated in April 2014. The final program review determination letter received in June 2014 sets forth three findings, each of which involved individual student-specific information gathering and/or reporting errors and all of which the University promptly corrected to the Department of Education’s satisfaction. Accordingly, the final program review determination letter concluded that the University had taken all corrective actions necessary to resolve the findings and that the program review had been closed with no further action required.</w:t>
      </w:r>
    </w:p>
    <w:p>
      <w:pPr>
        <w:spacing w:after="0" w:line="17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On October 28, 2013, the University received a new program participation agreement with full certification from the Department of Education, which gives the University the ability to participate in the Title IV programs through September 30,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90/10 Disclosure</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University derives a substantial portion of its revenues from student financial aid received by its students under the Title IV programs administered by the Department of Education pursuant to the Higher Education Act. To continue to participate in the student financial aid programs the University must comply with the regulations promulgated under the Higher Education Act. The regulations restrict the proportion of cash receipts for tuition and fees from eligible programs to not more than 90 percent from Title IV programs (the “90/10 revenue test”). If an institution fails to satisfy the test for one year, its participation status becomes provisional for two consecutive fiscal years. If the test is not satisfied for two consecutive years, eligibility to participate in Title IV programs is lost for at least two fiscal years. Using the Department of Education’s cash-basis, regulatory formula under the 90/10 Rule as currently in effect, for its 2015, 2014, and 2013 fiscal years, the University derived 74.8%, 76.5%, and 78.5%, respectively, for its 90/10 revenue from Title IV program funds.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Compensation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Equity Plans</w:t>
      </w:r>
    </w:p>
    <w:p>
      <w:pPr>
        <w:spacing w:after="0" w:line="11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On September 27, 2008 the University’s shareholders approved the adoption of the 2008 Equity Incentive Plan (“Incentive Plan”) and the 2008 Employee Stock Purchase (“ESPP”). A total of 4,200 shares of the University’s common stock was originally authorized for issuance under the Incentive Plan. On January 1 of each subsequent year in accordance with the terms of the Incentive Plan, the number of shares authorized for issuance under the Incentive Plan automatically increases by 2.5% of the number of shares of common stock issued and outstanding on the applicable December 31, unless the Compensation Committee of our Board of Directors elects to decline the increase or chooses a lower increase. The Compensation Committee elected to decline the increase that would have gone into effect as of January 1, 2016, leaving the number of shares of common stock authorized for issuance under the Incentive Plan at 12,167. Although the ESPP has not yet been implemented, a total of 1,050 shares of the University’s common stock have been authorized for sale under the ESPP.</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fiscal year 2015, 2014, and 2013, the University granted 315, 308 and 575 shares of common stock, respectively, with a service vesting condition to certain of its executives, officers, faculty and employees. The restricted shares have voting rights and vest evenly at 20% over each of the next five years. Upon vesting, shares will be held in lieu of taxes equivalent to the minimum statutory tax withholding required to be paid when the restricted stock vests. In 2015, 2014, and 2013, the University granted 9, 9, and 11 shares of common stock, respectively, to certain of the non-employee members of the University’s board of directors. The restricted shares have voting rights and vest within one year of the date of grant. In addition, in 2013 the University granted 8 shares of common stock to a consultant. The restricted shares have voting rights and vest evenly at a rate of 20% per year over each of the next five years.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related to restricted stock granted under the University’s Incentive Plan is as follows: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4"/>
          </w:tcPr>
          <w:p>
            <w:pPr>
              <w:jc w:val="right"/>
              <w:ind w:right="10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4"/>
                <w:szCs w:val="14"/>
                <w:color w:val="auto"/>
              </w:rPr>
            </w:pP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Granted</w:t>
            </w:r>
          </w:p>
        </w:tc>
        <w:tc>
          <w:tcPr>
            <w:tcW w:w="460" w:type="dxa"/>
            <w:vAlign w:val="bottom"/>
          </w:tcPr>
          <w:p>
            <w:pPr>
              <w:jc w:val="right"/>
              <w:spacing w:after="0"/>
              <w:rPr>
                <w:sz w:val="20"/>
                <w:szCs w:val="20"/>
                <w:color w:val="auto"/>
              </w:rPr>
            </w:pPr>
            <w:r>
              <w:rPr>
                <w:rFonts w:ascii="Arial" w:cs="Arial" w:eastAsia="Arial" w:hAnsi="Arial"/>
                <w:sz w:val="18"/>
                <w:szCs w:val="18"/>
                <w:color w:val="auto"/>
              </w:rPr>
              <w:t>594</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46.02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317</w:t>
            </w: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2014</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1,033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45.66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00" w:type="dxa"/>
            <w:vAlign w:val="bottom"/>
            <w:gridSpan w:val="2"/>
            <w:vMerge w:val="continue"/>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1,056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As of December 31, 2015, there was approximately $27,778 of total unrecognized share-based compensation cost, net of estimated forfeitures, related to unvested restricted stock awards. These costs are expected to be recognized over a weighted average period of 2.10 years.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No options were granted in 2015 and 2014. During 2013, the University granted time vested options to purchase shares of common stock with an exercise price equal to the fair market value on the date of grant to an employee. The time vested options vest ratably over a period of four years and expire ten years from the date of grant. Prior to 2012, the University granted time vested options to purchase shares of common stock with an exercise price equal to the fair market value on the date of grant to employees. These time vested options vest ratably over a period of five years and expire ten years from the date of grant. A summary of the activity related to stock options granted under the University’s Incentive Plan is as follows: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w w:val="99"/>
              </w:rPr>
              <w:t>Summary of Stock Options Outstanding</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w w:val="95"/>
              </w:rPr>
              <w:t>Weighted</w:t>
            </w:r>
          </w:p>
        </w:tc>
        <w:tc>
          <w:tcPr>
            <w:tcW w:w="13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Exercise</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Price</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Remaining</w:t>
            </w: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per</w:t>
            </w: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Shares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Share</w:t>
            </w: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5"/>
              </w:rPr>
              <w:t>Term (Years)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2012</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5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24.97</w:t>
            </w: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(1,160)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17.22</w:t>
            </w: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2013</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16.93</w:t>
            </w: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2014</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7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tcPr>
          <w:p>
            <w:pPr>
              <w:jc w:val="right"/>
              <w:ind w:right="6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Forfeited, canceled or expired</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16.08</w:t>
            </w: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2015</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56,398</w:t>
            </w: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December 31, 2015</w:t>
            </w:r>
          </w:p>
        </w:tc>
        <w:tc>
          <w:tcPr>
            <w:tcW w:w="740" w:type="dxa"/>
            <w:vAlign w:val="bottom"/>
            <w:gridSpan w:val="2"/>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14.59</w:t>
            </w:r>
          </w:p>
        </w:tc>
        <w:tc>
          <w:tcPr>
            <w:tcW w:w="540" w:type="dxa"/>
            <w:vAlign w:val="bottom"/>
          </w:tcPr>
          <w:p>
            <w:pPr>
              <w:spacing w:after="0" w:line="20" w:lineRule="exact"/>
              <w:rPr>
                <w:sz w:val="1"/>
                <w:szCs w:val="1"/>
                <w:color w:val="auto"/>
              </w:rPr>
            </w:pP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8"/>
                <w:szCs w:val="18"/>
                <w:color w:val="auto"/>
              </w:rPr>
              <w:t>3.68</w:t>
            </w: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51,392</w:t>
            </w:r>
          </w:p>
        </w:tc>
        <w:tc>
          <w:tcPr>
            <w:tcW w:w="0" w:type="dxa"/>
            <w:vAlign w:val="bottom"/>
          </w:tcPr>
          <w:p>
            <w:pPr>
              <w:spacing w:after="0" w:line="20" w:lineRule="exact"/>
              <w:rPr>
                <w:sz w:val="1"/>
                <w:szCs w:val="1"/>
                <w:color w:val="auto"/>
              </w:rPr>
            </w:pPr>
          </w:p>
        </w:tc>
      </w:tr>
      <w:tr>
        <w:trPr>
          <w:trHeight w:val="210"/>
        </w:trPr>
        <w:tc>
          <w:tcPr>
            <w:tcW w:w="6120" w:type="dxa"/>
            <w:vAlign w:val="bottom"/>
            <w:gridSpan w:val="2"/>
            <w:vMerge w:val="continue"/>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issuance as of December 31, 2015</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right="180" w:hanging="452"/>
        <w:spacing w:after="0" w:line="277"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University’s closing stock price on December 31, 2015 ($40.12) in excess of the exercise price multiplied by the number of options outstanding or exercisable.</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As of December 31, 2015, there was approximately $323 of total unrecognized share-based compensation cost, net of estimated forfeitures, related to unvested stock options. These costs are expected to be recognized over a weighted average period of 0.35 years.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related to stock options exercised for years ended December 31, 2015, 2014 and 2013:</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84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89"/>
              </w:rPr>
              <w:t>2014</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Amounts related to options exercised:</w:t>
            </w:r>
          </w:p>
        </w:tc>
        <w:tc>
          <w:tcPr>
            <w:tcW w:w="1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Intrinsic value realized by optionee</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18,069</w:t>
            </w:r>
          </w:p>
        </w:tc>
        <w:tc>
          <w:tcPr>
            <w:tcW w:w="1060" w:type="dxa"/>
            <w:vAlign w:val="bottom"/>
            <w:gridSpan w:val="3"/>
          </w:tcPr>
          <w:p>
            <w:pPr>
              <w:jc w:val="center"/>
              <w:spacing w:after="0"/>
              <w:rPr>
                <w:sz w:val="20"/>
                <w:szCs w:val="20"/>
                <w:color w:val="auto"/>
              </w:rPr>
            </w:pPr>
            <w:r>
              <w:rPr>
                <w:rFonts w:ascii="Arial" w:cs="Arial" w:eastAsia="Arial" w:hAnsi="Arial"/>
                <w:sz w:val="18"/>
                <w:szCs w:val="18"/>
                <w:color w:val="auto"/>
                <w:w w:val="92"/>
              </w:rPr>
              <w:t>$27,499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20,364</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Actual tax benefit realized by the University for tax deductions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7,228</w:t>
            </w:r>
          </w:p>
        </w:tc>
        <w:tc>
          <w:tcPr>
            <w:tcW w:w="840" w:type="dxa"/>
            <w:vAlign w:val="bottom"/>
            <w:gridSpan w:val="2"/>
            <w:shd w:val="clear" w:color="auto" w:fill="CCEEFF"/>
          </w:tcPr>
          <w:p>
            <w:pPr>
              <w:jc w:val="center"/>
              <w:ind w:left="156"/>
              <w:spacing w:after="0"/>
              <w:rPr>
                <w:sz w:val="20"/>
                <w:szCs w:val="20"/>
                <w:color w:val="auto"/>
              </w:rPr>
            </w:pPr>
            <w:r>
              <w:rPr>
                <w:rFonts w:ascii="Arial" w:cs="Arial" w:eastAsia="Arial" w:hAnsi="Arial"/>
                <w:sz w:val="18"/>
                <w:szCs w:val="18"/>
                <w:color w:val="auto"/>
                <w:w w:val="92"/>
              </w:rPr>
              <w:t>$11,000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8,145</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Cash received from stock option exercises during fiscal year 2015, 2014 and 2013 totaled approximately $3,489, $7,825 and $16,278,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Expense Assumptions – Restricted Stock Awards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University measures and recognizes compensation expense for share-based payment awards made to employees, consultants and directors. The University calculates the fair value of share-based awards on the date of grant for employees and directors. The University calculates the fair value of share-based awards to consultants on the date of vesting. Stock-based compensation expense related to restricted stock grants is expensed over the vesting period using the straight-line method for University employees, the University’s board of directors and the consultant, net of estimated forfeitures. The restricted shares have voting rights.</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60"/>
          </w:cols>
          <w:pgMar w:left="240" w:top="459" w:right="3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Share-based Compensation Expense Assumptions – 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University granted stock options in 2013. No stock options were granted in 2015 or 2014.</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i w:val="1"/>
          <w:iCs w:val="1"/>
          <w:color w:val="auto"/>
        </w:rPr>
        <w:t xml:space="preserve">Fair Value. </w:t>
      </w:r>
      <w:r>
        <w:rPr>
          <w:rFonts w:ascii="Arial" w:cs="Arial" w:eastAsia="Arial" w:hAnsi="Arial"/>
          <w:sz w:val="18"/>
          <w:szCs w:val="18"/>
          <w:color w:val="auto"/>
        </w:rPr>
        <w:t>The University uses the Black-Scholes-Merton option pricing model to estimate the fair value of the University’s options as of the grant</w:t>
      </w:r>
      <w:r>
        <w:rPr>
          <w:rFonts w:ascii="Arial" w:cs="Arial" w:eastAsia="Arial" w:hAnsi="Arial"/>
          <w:sz w:val="18"/>
          <w:szCs w:val="18"/>
          <w:i w:val="1"/>
          <w:iCs w:val="1"/>
          <w:color w:val="auto"/>
        </w:rPr>
        <w:t xml:space="preserve"> </w:t>
      </w:r>
      <w:r>
        <w:rPr>
          <w:rFonts w:ascii="Arial" w:cs="Arial" w:eastAsia="Arial" w:hAnsi="Arial"/>
          <w:sz w:val="18"/>
          <w:szCs w:val="18"/>
          <w:color w:val="auto"/>
        </w:rPr>
        <w:t>dates using the following weighted average assumptions: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30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6"/>
                <w:szCs w:val="16"/>
                <w:color w:val="auto"/>
              </w:rPr>
            </w:pPr>
          </w:p>
        </w:tc>
      </w:tr>
      <w:tr>
        <w:trPr>
          <w:trHeight w:val="210"/>
        </w:trPr>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Weighted average fair</w:t>
            </w:r>
          </w:p>
        </w:tc>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w:t>
            </w:r>
          </w:p>
        </w:tc>
        <w:tc>
          <w:tcPr>
            <w:tcW w:w="2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$ 8.20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3220" w:type="dxa"/>
            <w:vAlign w:val="bottom"/>
            <w:gridSpan w:val="3"/>
          </w:tcPr>
          <w:p>
            <w:pPr>
              <w:jc w:val="right"/>
              <w:ind w:right="60"/>
              <w:spacing w:after="0"/>
              <w:rPr>
                <w:sz w:val="20"/>
                <w:szCs w:val="20"/>
                <w:color w:val="auto"/>
              </w:rPr>
            </w:pPr>
            <w:r>
              <w:rPr>
                <w:rFonts w:ascii="Arial" w:cs="Arial" w:eastAsia="Arial" w:hAnsi="Arial"/>
                <w:sz w:val="18"/>
                <w:szCs w:val="18"/>
                <w:color w:val="auto"/>
              </w:rPr>
              <w:t>39.86%</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3220" w:type="dxa"/>
            <w:vAlign w:val="bottom"/>
            <w:gridSpan w:val="3"/>
          </w:tcPr>
          <w:p>
            <w:pPr>
              <w:jc w:val="right"/>
              <w:ind w:right="60"/>
              <w:spacing w:after="0"/>
              <w:rPr>
                <w:sz w:val="20"/>
                <w:szCs w:val="20"/>
                <w:color w:val="auto"/>
              </w:rPr>
            </w:pPr>
            <w:r>
              <w:rPr>
                <w:rFonts w:ascii="Arial" w:cs="Arial" w:eastAsia="Arial" w:hAnsi="Arial"/>
                <w:sz w:val="18"/>
                <w:szCs w:val="18"/>
                <w:color w:val="auto"/>
              </w:rPr>
              <w:t>0.65%</w:t>
            </w: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University believes that the use of Grand Canyon Education, Inc.’s historical stock price provides an accurate estimate of</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volatility. Therefore, the expected volatility assumption for the year ended December 31, 2013 is based upon the University’s historical stock price.</w:t>
      </w:r>
    </w:p>
    <w:p>
      <w:pPr>
        <w:spacing w:after="0" w:line="124"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i w:val="1"/>
          <w:iCs w:val="1"/>
          <w:color w:val="auto"/>
        </w:rPr>
        <w:t xml:space="preserve">Expected Life (years). </w:t>
      </w:r>
      <w:r>
        <w:rPr>
          <w:rFonts w:ascii="Arial" w:cs="Arial" w:eastAsia="Arial" w:hAnsi="Arial"/>
          <w:sz w:val="16"/>
          <w:szCs w:val="16"/>
          <w:color w:val="auto"/>
        </w:rPr>
        <w:t>In 2013, the University determined it now has enough historical option exercise information to be able to accurately estimate an</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term, and as such, its computation of expected term was calculated using its own historical data. Prior to 2013, the University used the simplified method to estimate the expected term of stock options under certain circumstances. The simplified method for estimating expected term is to use the mid-point between the vesting term and the contractual term of the share option. The University elected to use the simplified method for options granted prior to 2013 because the University did not have historical exercise data to estimate expected term due to the limited time period its shares had been publicly traded.</w:t>
      </w:r>
    </w:p>
    <w:p>
      <w:pPr>
        <w:spacing w:after="0" w:line="15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assumption is based upon the U.S. constant maturity treasury rates as the risk-free rate interpolated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the years commensurate with the expected life of the options.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dividend yield assumption is zero since the University does not expect to declare or pay dividends in the foreseeable future.</w:t>
      </w:r>
    </w:p>
    <w:p>
      <w:pPr>
        <w:spacing w:after="0" w:line="23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Forfeitures. </w:t>
      </w:r>
      <w:r>
        <w:rPr>
          <w:rFonts w:ascii="Arial" w:cs="Arial" w:eastAsia="Arial" w:hAnsi="Arial"/>
          <w:sz w:val="18"/>
          <w:szCs w:val="18"/>
          <w:color w:val="auto"/>
        </w:rPr>
        <w:t>Forfeitures are estimated at the time of grant based on historical retention of employees. If necessary, management estimates are adjusted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end of each reporting period if actual forfeitures differ from those estimates.</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Expected Vesting Period. </w:t>
      </w:r>
      <w:r>
        <w:rPr>
          <w:rFonts w:ascii="Arial" w:cs="Arial" w:eastAsia="Arial" w:hAnsi="Arial"/>
          <w:sz w:val="18"/>
          <w:szCs w:val="18"/>
          <w:color w:val="auto"/>
        </w:rPr>
        <w:t>The University amortizes the share-based compensation expense, net of forfeitures, over the expected vesting period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straight-line method.</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table below outlines share-based compensation expense for the fiscal years ended December 31, 2015, 2014 and 2013 related to restricted stock and stock options granted: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$ 5,921</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$ 5,246</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Admissions advisory and related</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192</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166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promotional</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4,156</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3,638</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4,327</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11,257</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9,945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9,936</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Tax effect of share-based compensation</w:t>
            </w: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(4,503)</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(3,978)</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(3,974)</w:t>
            </w: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Share-based compensation expense,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6,754</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$ 5,967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$ 5,962</w:t>
            </w:r>
          </w:p>
        </w:tc>
      </w:tr>
      <w:tr>
        <w:trPr>
          <w:trHeight w:val="20"/>
        </w:trPr>
        <w:tc>
          <w:tcPr>
            <w:tcW w:w="6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University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University to make discretionary matching contributions. The University plans to make a matching contribution to the Plan of approximately $1,800 for the year ended December 31, 2015. The University made discretionary matching contributions to the Plan of $1,508 and $1,298 for the years ended December 31, 2014 and 2013, respectively.</w:t>
      </w:r>
    </w:p>
    <w:p>
      <w:pPr>
        <w:sectPr>
          <w:pgSz w:w="11900" w:h="16838" w:orient="portrait"/>
          <w:cols w:equalWidth="0" w:num="1">
            <w:col w:w="11400"/>
          </w:cols>
          <w:pgMar w:left="240" w:top="459" w:right="25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00"/>
          </w:cols>
          <w:pgMar w:left="240" w:top="459" w:right="25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Related party transactions include transactions between the University and certain of its affiliates. The following transactions were in the normal course of operations and were measured at the exchange amount, which is the amount of consideration established and agreed to by the parties.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and for the years ended December 31, 2015, 2014, and 2013, related party transactions consisted of the following: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Affiliates</w:t>
      </w:r>
    </w:p>
    <w:p>
      <w:pPr>
        <w:spacing w:after="0" w:line="11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i w:val="1"/>
          <w:iCs w:val="1"/>
          <w:color w:val="auto"/>
        </w:rPr>
        <w:t xml:space="preserve">Mind Streams, LLC (“Mind Streams”) — </w:t>
      </w:r>
      <w:r>
        <w:rPr>
          <w:rFonts w:ascii="Arial" w:cs="Arial" w:eastAsia="Arial" w:hAnsi="Arial"/>
          <w:sz w:val="18"/>
          <w:szCs w:val="18"/>
          <w:color w:val="auto"/>
        </w:rPr>
        <w:t>Mind Streams is owned and operated, in part, by the father of the University’s Executive Chairman.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further discussion in Note 2, Summary of Significant Accounting Policies </w:t>
      </w:r>
      <w:r>
        <w:rPr>
          <w:rFonts w:ascii="Arial" w:cs="Arial" w:eastAsia="Arial" w:hAnsi="Arial"/>
          <w:sz w:val="18"/>
          <w:szCs w:val="18"/>
          <w:i w:val="1"/>
          <w:iCs w:val="1"/>
          <w:color w:val="auto"/>
        </w:rPr>
        <w:t>—</w:t>
      </w:r>
      <w:r>
        <w:rPr>
          <w:rFonts w:ascii="Arial" w:cs="Arial" w:eastAsia="Arial" w:hAnsi="Arial"/>
          <w:sz w:val="18"/>
          <w:szCs w:val="18"/>
          <w:color w:val="auto"/>
        </w:rPr>
        <w:t xml:space="preserve"> Related party expenses.</w:t>
      </w:r>
    </w:p>
    <w:p>
      <w:pPr>
        <w:spacing w:after="0" w:line="170"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i w:val="1"/>
          <w:iCs w:val="1"/>
          <w:color w:val="auto"/>
        </w:rPr>
        <w:t xml:space="preserve">LOPE Kingdom Fund (“LKF”) — </w:t>
      </w:r>
      <w:r>
        <w:rPr>
          <w:rFonts w:ascii="Arial" w:cs="Arial" w:eastAsia="Arial" w:hAnsi="Arial"/>
          <w:sz w:val="18"/>
          <w:szCs w:val="18"/>
          <w:color w:val="auto"/>
        </w:rPr>
        <w:t>LKF was formed in 2014 to provide seed funding for entrepreneurial ventures initiated by the University’s students.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University’s President, CEO and Director serves as the president of LKF. All of the board seats are taken by University executives. The University is not the primary beneficiary of LKF, and accordingly, the University does not consolidate LKF’s statement of activities with its financial results. The University contributed $500 for each of the years ended December 31, 2015 and 2014, of which $500 and $0 amounts were owed at December 31, 2015 and 2014, respectively.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Quarterly Results of Operations (Unaudited)</w:t>
      </w:r>
    </w:p>
    <w:p>
      <w:pPr>
        <w:spacing w:after="0" w:line="121"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summarizes the unaudited quarterly results of operations for 2015 and 2014 and should be read in conjunction with other information included in the accompanying consolidated financial statements.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First Quarter</w:t>
            </w: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Second Quarter</w:t>
            </w:r>
          </w:p>
        </w:tc>
        <w:tc>
          <w:tcPr>
            <w:tcW w:w="48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Third Quarter</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Fourth Quarter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194,127</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174,726</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193,393</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78,687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75,357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83,180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28,333</w:t>
            </w: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27,372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27,506</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20,031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18,419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19,360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1,694</w:t>
            </w: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1,788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1,827</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9,396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9,534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138,141</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132,470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144,409</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55,986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42,256</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48,984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(375)</w:t>
            </w: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(313)</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55,868</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42,237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48,872</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21,689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16,461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15,530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23,916</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34,179</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25,776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33,342</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0.75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0.56</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0.72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0.55</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45,789</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46,012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46,063</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47,201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47,263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47,320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47,337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3620" w:hanging="5612"/>
        <w:spacing w:after="0" w:line="449" w:lineRule="auto"/>
        <w:tabs>
          <w:tab w:leader="none" w:pos="4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84</w:t>
      </w:r>
    </w:p>
    <w:p>
      <w:pPr>
        <w:sectPr>
          <w:pgSz w:w="11900" w:h="16838" w:orient="portrait"/>
          <w:cols w:equalWidth="0" w:num="1">
            <w:col w:w="10960"/>
          </w:cols>
          <w:pgMar w:left="240" w:top="459" w:right="6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 thousands, except per share data)</w:t>
      </w:r>
    </w:p>
    <w:p>
      <w:pPr>
        <w:spacing w:after="0" w:line="13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First Quarter</w:t>
            </w: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Second Quarter</w:t>
            </w:r>
          </w:p>
        </w:tc>
        <w:tc>
          <w:tcPr>
            <w:tcW w:w="480" w:type="dxa"/>
            <w:vAlign w:val="bottom"/>
          </w:tcPr>
          <w:p>
            <w:pPr>
              <w:spacing w:after="0"/>
              <w:rPr>
                <w:sz w:val="12"/>
                <w:szCs w:val="12"/>
                <w:color w:val="auto"/>
              </w:rPr>
            </w:pPr>
          </w:p>
        </w:tc>
        <w:tc>
          <w:tcPr>
            <w:tcW w:w="15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Third Quarter</w:t>
            </w: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7"/>
              </w:rPr>
              <w:t>Fourth Quarter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7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167,432</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158,594</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175,056</w:t>
            </w:r>
          </w:p>
        </w:tc>
        <w:tc>
          <w:tcPr>
            <w:tcW w:w="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Instructional costs and services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70,678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67,847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71,714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Admissions advisory and related</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26,261</w:t>
            </w: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26,208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27,324</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16,712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15,751</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16,491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Marketing and promotional</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1,791</w:t>
            </w: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1,907</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1,931</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8,554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8,994</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11,640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10,447</w:t>
            </w:r>
          </w:p>
        </w:tc>
        <w:tc>
          <w:tcPr>
            <w:tcW w:w="0" w:type="dxa"/>
            <w:vAlign w:val="bottom"/>
          </w:tcPr>
          <w:p>
            <w:pPr>
              <w:spacing w:after="0"/>
              <w:rPr>
                <w:sz w:val="1"/>
                <w:szCs w:val="1"/>
                <w:color w:val="auto"/>
              </w:rPr>
            </w:pPr>
          </w:p>
        </w:tc>
      </w:tr>
      <w:tr>
        <w:trPr>
          <w:trHeight w:val="230"/>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Total costs and expenses</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123,996</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129,100</w:t>
            </w:r>
          </w:p>
        </w:tc>
        <w:tc>
          <w:tcPr>
            <w:tcW w:w="6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136,437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43,436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37,887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45,956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(356)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(576)</w:t>
            </w:r>
          </w:p>
        </w:tc>
        <w:tc>
          <w:tcPr>
            <w:tcW w:w="2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and other</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43,050</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37,728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45,423</w:t>
            </w:r>
          </w:p>
        </w:tc>
        <w:tc>
          <w:tcPr>
            <w:tcW w:w="6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16,762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14,659</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16,407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20,404</w:t>
            </w: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26,288</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23,069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29,016</w:t>
            </w: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b w:val="1"/>
                <w:bCs w:val="1"/>
                <w:color w:val="auto"/>
              </w:rPr>
              <w:t>Basic income per share(1)</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0.58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0.51</w:t>
            </w: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0.64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income per share(1)</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0.56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0.49</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0.62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weighted average shares outstanding</w:t>
            </w: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45,205</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45,598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45,651</w:t>
            </w:r>
          </w:p>
        </w:tc>
        <w:tc>
          <w:tcPr>
            <w:tcW w:w="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weighted average shares outstanding</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46,841</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46,990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47,051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3620" w:hanging="5612"/>
        <w:spacing w:after="0" w:line="449" w:lineRule="auto"/>
        <w:tabs>
          <w:tab w:leader="none" w:pos="45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sum of quarterly income per share may not equal annual income per share due to rounding. 85</w:t>
      </w:r>
    </w:p>
    <w:p>
      <w:pPr>
        <w:sectPr>
          <w:pgSz w:w="11900" w:h="16838" w:orient="portrait"/>
          <w:cols w:equalWidth="0" w:num="1">
            <w:col w:w="10960"/>
          </w:cols>
          <w:pgMar w:left="240" w:top="459" w:right="6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0" w:firstLine="456"/>
        <w:spacing w:after="0" w:line="297"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158"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13a-15(e) or 15d-15(e)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2015.</w:t>
      </w:r>
    </w:p>
    <w:p>
      <w:pPr>
        <w:spacing w:after="0" w:line="188"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Attached as exhibits to this Annual Report on Form 10-K are certifications of our Chief Executive Officer and Chief Financial Officer, which are required in accordance with Rule 13a-14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Management is responsible for establishing and maintaining effective internal control over financial reporting, as such term is defined in Exchange Act Rule 13a-15(f).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131"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42" w:lineRule="exact"/>
        <w:rPr>
          <w:rFonts w:ascii="Arial" w:cs="Arial" w:eastAsia="Arial" w:hAnsi="Arial"/>
          <w:sz w:val="17"/>
          <w:szCs w:val="17"/>
          <w:color w:val="auto"/>
        </w:rPr>
      </w:pPr>
    </w:p>
    <w:p>
      <w:pPr>
        <w:ind w:left="900" w:right="80" w:hanging="446"/>
        <w:spacing w:after="0" w:line="381"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spacing w:after="0" w:line="6" w:lineRule="exact"/>
        <w:rPr>
          <w:rFonts w:ascii="Arial" w:cs="Arial" w:eastAsia="Arial" w:hAnsi="Arial"/>
          <w:sz w:val="15"/>
          <w:szCs w:val="15"/>
          <w:color w:val="auto"/>
        </w:rPr>
      </w:pPr>
    </w:p>
    <w:p>
      <w:pPr>
        <w:ind w:left="900" w:right="340" w:hanging="44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 controls may become inadequate because of changes in condition, or that the degree of compliance with the policies and procedures may deteriorate.</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2015, utilizing the criteria described in the “Internal Control-Integrated Framework (2013)” issued by the Committee of Sponsoring Organizations of the Treadway Commission. The objective of this assessment was to determine whether our internal control over financial reporting was effective as of December 31, 2015. Based on its assessment, management believes that, as of December 31, 2015, the Company’s internal control over financial reporting is effective.</w:t>
      </w:r>
    </w:p>
    <w:p>
      <w:pPr>
        <w:spacing w:after="0" w:line="15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and for the year ended December 31, 2015 has been audited by KPMG LLP, an independent registered public accounting firm, as stated in their audit report which is included 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103" w:lineRule="exact"/>
        <w:rPr>
          <w:sz w:val="20"/>
          <w:szCs w:val="20"/>
          <w:color w:val="auto"/>
        </w:rPr>
      </w:pPr>
    </w:p>
    <w:p>
      <w:pPr>
        <w:ind w:right="200" w:firstLine="456"/>
        <w:spacing w:after="0" w:line="276" w:lineRule="auto"/>
        <w:rPr>
          <w:sz w:val="20"/>
          <w:szCs w:val="20"/>
          <w:color w:val="auto"/>
        </w:rPr>
      </w:pPr>
      <w:r>
        <w:rPr>
          <w:rFonts w:ascii="Arial" w:cs="Arial" w:eastAsia="Arial" w:hAnsi="Arial"/>
          <w:sz w:val="17"/>
          <w:szCs w:val="17"/>
          <w:color w:val="auto"/>
        </w:rPr>
        <w:t xml:space="preserve">We have audited Grand Canyon Education, Inc.’s internal control over financial reporting as of December 31, 2015,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 (COSO). Grand</w:t>
      </w:r>
      <w:r>
        <w:rPr>
          <w:rFonts w:ascii="Arial" w:cs="Arial" w:eastAsia="Arial" w:hAnsi="Arial"/>
          <w:sz w:val="17"/>
          <w:szCs w:val="17"/>
          <w:i w:val="1"/>
          <w:iCs w:val="1"/>
          <w:color w:val="auto"/>
        </w:rPr>
        <w:t xml:space="preserve"> </w:t>
      </w:r>
      <w:r>
        <w:rPr>
          <w:rFonts w:ascii="Arial" w:cs="Arial" w:eastAsia="Arial" w:hAnsi="Arial"/>
          <w:sz w:val="17"/>
          <w:szCs w:val="17"/>
          <w:color w:val="auto"/>
        </w:rPr>
        <w:t>Canyon Education,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right="260" w:firstLine="456"/>
        <w:spacing w:after="0" w:line="28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w:t>
      </w:r>
    </w:p>
    <w:p>
      <w:pPr>
        <w:spacing w:after="0" w:line="5" w:lineRule="exact"/>
        <w:rPr>
          <w:sz w:val="20"/>
          <w:szCs w:val="20"/>
          <w:color w:val="auto"/>
        </w:rPr>
      </w:pPr>
    </w:p>
    <w:p>
      <w:pPr>
        <w:ind w:right="140" w:firstLine="8"/>
        <w:spacing w:after="0" w:line="261"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84"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In our opinion, Grand Canyon Education, Inc. maintained, in all material respects, effective internal control over financial reporting as of December 31, 2015,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181"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Grand Canyon Education, Inc. and subsidiaries as of December 31, 2015 and 2014, and the related consolidated statements of income, comprehensive income, stockholders’ equity, and cash flows for each of the years in the three-year period ended December 31, 2015, and our report dated February 17, 2016, expressed an unqualified opinion on those consolidated financial statements.</w:t>
      </w:r>
    </w:p>
    <w:p>
      <w:pPr>
        <w:spacing w:after="0" w:line="171"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2015, that materially affected, or are reasonably likely to materially affect, our internal control over financial reporting.</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We have a policy governing transactions in our securities by directors, officers, employees and others which permits these individuals to enter into trading plans complying with Rule 10b5-1 under the Securities Exchange Act of 1934, as amended.</w:t>
      </w:r>
    </w:p>
    <w:p>
      <w:pPr>
        <w:spacing w:after="0" w:line="170"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We anticipate that, as permitted by Rule 10b5-1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10b5-1 and the requirements of our policy governing transactions in our securities in our future quarterly and annual reports on Form 10-Q and 10-K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7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Information relating to our Board of Directors, Executive Officers, and Corporate Governance required by this item appears in the sections entitled “Corporate Governance and Board Matters” and “Proposal No. 1: Election of Directors” in our 2016 proxy statement, to be filed within 120 days of our fiscal year end (December 31, 2015) and such information is incorporated herein by reference.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www.gcu.edu/ Investor Relations/Corporate Governance.</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The charters of our Audit Committee, Compensation Committee, and Nominating and Corporate Governance Committee are also available in the Corporate Governance section of our website located at www.gcu.edu/Investor Relations/Corporate Governance.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Information relating to this item appears in the section entitled “Executive Compensation” in our 2016 proxy statement, to be filed within 120 days of our fiscal year end (December 31, 2015) and such information is incorporated herein by reference.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Information relating to this item appears in the sections entitled “Executive Compensation” and “Beneficial Ownership of Common Stock” in our 2016 proxy statement, to be filed within 120 days of our fiscal year end (December 31, 2015) and such information is incorporated herein by reference.</w:t>
      </w:r>
    </w:p>
    <w:p>
      <w:pPr>
        <w:spacing w:after="0" w:line="29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Information relating to this item appears in the sections entitled “Corporate Governance and Board Matters — Director Independence” and “Certain Relationships and Related Party Transactions” in our 2016 proxy statement, to be filed within 120 days of our fiscal year end (December 31, 2015) and such information is incorporated herein by reference.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Information relating to this item appears in the section entitled “Ratification of Independent Registered Public Accounting Firm — Fees” in our 2016 our proxy statement, to be filed within 120 days of our fiscal year end (December 31, 2015) and such information is incorporated herein by reference.</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360" w:type="dxa"/>
            <w:vAlign w:val="bottom"/>
            <w:gridSpan w:val="5"/>
          </w:tcPr>
          <w:p>
            <w:pPr>
              <w:ind w:left="700"/>
              <w:spacing w:after="0"/>
              <w:rPr>
                <w:sz w:val="20"/>
                <w:szCs w:val="20"/>
                <w:color w:val="auto"/>
              </w:rPr>
            </w:pPr>
            <w:r>
              <w:rPr>
                <w:rFonts w:ascii="Arial" w:cs="Arial" w:eastAsia="Arial" w:hAnsi="Arial"/>
                <w:sz w:val="18"/>
                <w:szCs w:val="18"/>
                <w:b w:val="1"/>
                <w:bCs w:val="1"/>
                <w:color w:val="auto"/>
              </w:rPr>
              <w:t>PART IV</w:t>
            </w:r>
          </w:p>
        </w:tc>
        <w:tc>
          <w:tcPr>
            <w:tcW w:w="300" w:type="dxa"/>
            <w:vAlign w:val="bottom"/>
          </w:tcPr>
          <w:p>
            <w:pPr>
              <w:spacing w:after="0"/>
              <w:rPr>
                <w:sz w:val="20"/>
                <w:szCs w:val="20"/>
                <w:color w:val="auto"/>
              </w:rPr>
            </w:pPr>
          </w:p>
        </w:tc>
      </w:tr>
      <w:tr>
        <w:trPr>
          <w:trHeight w:val="338"/>
        </w:trPr>
        <w:tc>
          <w:tcPr>
            <w:tcW w:w="760" w:type="dxa"/>
            <w:vAlign w:val="bottom"/>
          </w:tcPr>
          <w:p>
            <w:pPr>
              <w:spacing w:after="0"/>
              <w:rPr>
                <w:sz w:val="20"/>
                <w:szCs w:val="20"/>
                <w:color w:val="auto"/>
              </w:rPr>
            </w:pPr>
            <w:r>
              <w:rPr>
                <w:rFonts w:ascii="Arial" w:cs="Arial" w:eastAsia="Arial" w:hAnsi="Arial"/>
                <w:sz w:val="18"/>
                <w:szCs w:val="18"/>
                <w:b w:val="1"/>
                <w:bCs w:val="1"/>
                <w:color w:val="auto"/>
              </w:rPr>
              <w:t>Item 15.</w:t>
            </w:r>
          </w:p>
        </w:tc>
        <w:tc>
          <w:tcPr>
            <w:tcW w:w="10260" w:type="dxa"/>
            <w:vAlign w:val="bottom"/>
            <w:gridSpan w:val="9"/>
          </w:tcPr>
          <w:p>
            <w:pPr>
              <w:ind w:left="280"/>
              <w:spacing w:after="0"/>
              <w:rPr>
                <w:sz w:val="20"/>
                <w:szCs w:val="20"/>
                <w:color w:val="auto"/>
              </w:rPr>
            </w:pPr>
            <w:r>
              <w:rPr>
                <w:rFonts w:ascii="Arial" w:cs="Arial" w:eastAsia="Arial" w:hAnsi="Arial"/>
                <w:sz w:val="18"/>
                <w:szCs w:val="18"/>
                <w:b w:val="1"/>
                <w:bCs w:val="1"/>
                <w:i w:val="1"/>
                <w:iCs w:val="1"/>
                <w:color w:val="auto"/>
              </w:rPr>
              <w:t>Exhibits and Consolidated Financial Statement Schedules</w:t>
            </w:r>
          </w:p>
        </w:tc>
        <w:tc>
          <w:tcPr>
            <w:tcW w:w="300" w:type="dxa"/>
            <w:vAlign w:val="bottom"/>
          </w:tcPr>
          <w:p>
            <w:pPr>
              <w:spacing w:after="0"/>
              <w:rPr>
                <w:sz w:val="24"/>
                <w:szCs w:val="24"/>
                <w:color w:val="auto"/>
              </w:rPr>
            </w:pPr>
          </w:p>
        </w:tc>
      </w:tr>
      <w:tr>
        <w:trPr>
          <w:trHeight w:val="324"/>
        </w:trPr>
        <w:tc>
          <w:tcPr>
            <w:tcW w:w="11020" w:type="dxa"/>
            <w:vAlign w:val="bottom"/>
            <w:gridSpan w:val="10"/>
          </w:tcPr>
          <w:p>
            <w:pPr>
              <w:spacing w:after="0"/>
              <w:rPr>
                <w:sz w:val="20"/>
                <w:szCs w:val="20"/>
                <w:color w:val="auto"/>
              </w:rPr>
            </w:pPr>
            <w:r>
              <w:rPr>
                <w:rFonts w:ascii="Arial" w:cs="Arial" w:eastAsia="Arial" w:hAnsi="Arial"/>
                <w:sz w:val="18"/>
                <w:szCs w:val="18"/>
                <w:b w:val="1"/>
                <w:bCs w:val="1"/>
                <w:color w:val="auto"/>
              </w:rPr>
              <w:t>(a) The following documents are filed as part of this Annual Report on Form 10-K:</w:t>
            </w:r>
          </w:p>
        </w:tc>
        <w:tc>
          <w:tcPr>
            <w:tcW w:w="300" w:type="dxa"/>
            <w:vAlign w:val="bottom"/>
          </w:tcPr>
          <w:p>
            <w:pPr>
              <w:spacing w:after="0"/>
              <w:rPr>
                <w:sz w:val="24"/>
                <w:szCs w:val="24"/>
                <w:color w:val="auto"/>
              </w:rPr>
            </w:pPr>
          </w:p>
        </w:tc>
      </w:tr>
      <w:tr>
        <w:trPr>
          <w:trHeight w:val="338"/>
        </w:trPr>
        <w:tc>
          <w:tcPr>
            <w:tcW w:w="760" w:type="dxa"/>
            <w:vAlign w:val="bottom"/>
          </w:tcPr>
          <w:p>
            <w:pPr>
              <w:ind w:left="460"/>
              <w:spacing w:after="0"/>
              <w:rPr>
                <w:sz w:val="20"/>
                <w:szCs w:val="20"/>
                <w:color w:val="auto"/>
              </w:rPr>
            </w:pPr>
            <w:r>
              <w:rPr>
                <w:rFonts w:ascii="Arial" w:cs="Arial" w:eastAsia="Arial" w:hAnsi="Arial"/>
                <w:sz w:val="18"/>
                <w:szCs w:val="18"/>
                <w:color w:val="auto"/>
              </w:rPr>
              <w:t>1.</w:t>
            </w:r>
          </w:p>
        </w:tc>
        <w:tc>
          <w:tcPr>
            <w:tcW w:w="10260" w:type="dxa"/>
            <w:vAlign w:val="bottom"/>
            <w:gridSpan w:val="9"/>
          </w:tcPr>
          <w:p>
            <w:pPr>
              <w:ind w:left="140"/>
              <w:spacing w:after="0"/>
              <w:rPr>
                <w:sz w:val="20"/>
                <w:szCs w:val="20"/>
                <w:color w:val="auto"/>
              </w:rPr>
            </w:pPr>
            <w:r>
              <w:rPr>
                <w:rFonts w:ascii="Arial" w:cs="Arial" w:eastAsia="Arial" w:hAnsi="Arial"/>
                <w:sz w:val="18"/>
                <w:szCs w:val="18"/>
                <w:i w:val="1"/>
                <w:iCs w:val="1"/>
                <w:color w:val="auto"/>
              </w:rPr>
              <w:t>Consolidated Financial Statements filed as part of this report</w:t>
            </w:r>
          </w:p>
        </w:tc>
        <w:tc>
          <w:tcPr>
            <w:tcW w:w="300" w:type="dxa"/>
            <w:vAlign w:val="bottom"/>
          </w:tcPr>
          <w:p>
            <w:pPr>
              <w:spacing w:after="0"/>
              <w:rPr>
                <w:sz w:val="24"/>
                <w:szCs w:val="24"/>
                <w:color w:val="auto"/>
              </w:rPr>
            </w:pPr>
          </w:p>
        </w:tc>
      </w:tr>
      <w:tr>
        <w:trPr>
          <w:trHeight w:val="405"/>
        </w:trPr>
        <w:tc>
          <w:tcPr>
            <w:tcW w:w="11020" w:type="dxa"/>
            <w:vAlign w:val="bottom"/>
            <w:gridSpan w:val="10"/>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0"/>
        </w:trPr>
        <w:tc>
          <w:tcPr>
            <w:tcW w:w="268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r>
      <w:tr>
        <w:trPr>
          <w:trHeight w:val="156"/>
        </w:trPr>
        <w:tc>
          <w:tcPr>
            <w:tcW w:w="11020" w:type="dxa"/>
            <w:vAlign w:val="bottom"/>
            <w:gridSpan w:val="10"/>
          </w:tcPr>
          <w:p>
            <w:pPr>
              <w:spacing w:after="0" w:line="142" w:lineRule="exact"/>
              <w:rPr>
                <w:rFonts w:ascii="Arial" w:cs="Arial" w:eastAsia="Arial" w:hAnsi="Arial"/>
                <w:sz w:val="16"/>
                <w:szCs w:val="16"/>
                <w:color w:val="0000EE"/>
              </w:rPr>
            </w:pPr>
            <w:hyperlink w:anchor="page61">
              <w:r>
                <w:rPr>
                  <w:rFonts w:ascii="Arial" w:cs="Arial" w:eastAsia="Arial" w:hAnsi="Arial"/>
                  <w:sz w:val="16"/>
                  <w:szCs w:val="16"/>
                  <w:color w:val="0000EE"/>
                </w:rPr>
                <w:t>Report of Independent Registered Public Accounting Firm</w:t>
              </w:r>
            </w:hyperlink>
          </w:p>
        </w:tc>
        <w:tc>
          <w:tcPr>
            <w:tcW w:w="300" w:type="dxa"/>
            <w:vAlign w:val="bottom"/>
          </w:tcPr>
          <w:p>
            <w:pPr>
              <w:jc w:val="right"/>
              <w:spacing w:after="0" w:line="142" w:lineRule="exact"/>
              <w:rPr>
                <w:sz w:val="20"/>
                <w:szCs w:val="20"/>
                <w:color w:val="auto"/>
              </w:rPr>
            </w:pPr>
            <w:r>
              <w:rPr>
                <w:rFonts w:ascii="Arial" w:cs="Arial" w:eastAsia="Arial" w:hAnsi="Arial"/>
                <w:sz w:val="16"/>
                <w:szCs w:val="16"/>
                <w:color w:val="auto"/>
              </w:rPr>
              <w:t>60</w:t>
            </w:r>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10"/>
        </w:trPr>
        <w:tc>
          <w:tcPr>
            <w:tcW w:w="46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Consolidated Balance Sheets as of December 31, 2015 and 2014</w:t>
              </w:r>
            </w:hyperlink>
          </w:p>
        </w:tc>
        <w:tc>
          <w:tcPr>
            <w:tcW w:w="6360" w:type="dxa"/>
            <w:vAlign w:val="bottom"/>
            <w:gridSpan w:val="5"/>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196"/>
        </w:trPr>
        <w:tc>
          <w:tcPr>
            <w:tcW w:w="64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Consolidated Income Statements for the years ended December 31, 2015, 2014 and 2013</w:t>
              </w:r>
            </w:hyperlink>
          </w:p>
        </w:tc>
        <w:tc>
          <w:tcPr>
            <w:tcW w:w="46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1020" w:type="dxa"/>
            <w:vAlign w:val="bottom"/>
            <w:gridSpan w:val="1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Statements of Comprehensive Income for the years ended December 31, 2015, 2014 and 2013</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7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Consolidated Statements of Stockholders’ Equity for the years ended December 31, 2015, 2014 and 2013</w:t>
              </w:r>
            </w:hyperlink>
          </w:p>
        </w:tc>
        <w:tc>
          <w:tcPr>
            <w:tcW w:w="180" w:type="dxa"/>
            <w:vAlign w:val="bottom"/>
            <w:tcBorders>
              <w:top w:val="single" w:sz="8" w:color="0000EE"/>
            </w:tcBorders>
          </w:tcPr>
          <w:p>
            <w:pPr>
              <w:spacing w:after="0"/>
              <w:rPr>
                <w:sz w:val="17"/>
                <w:szCs w:val="17"/>
                <w:color w:val="auto"/>
              </w:rPr>
            </w:pPr>
          </w:p>
        </w:tc>
        <w:tc>
          <w:tcPr>
            <w:tcW w:w="324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69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Cash Flows for the years ended December 31, 2015, 2014 and 2013</w:t>
              </w:r>
            </w:hyperlink>
          </w:p>
        </w:tc>
        <w:tc>
          <w:tcPr>
            <w:tcW w:w="41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Notes to Consolidated Financial Statements</w:t>
              </w:r>
            </w:hyperlink>
          </w:p>
        </w:tc>
        <w:tc>
          <w:tcPr>
            <w:tcW w:w="786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r>
      <w:tr>
        <w:trPr>
          <w:trHeight w:val="358"/>
        </w:trPr>
        <w:tc>
          <w:tcPr>
            <w:tcW w:w="760" w:type="dxa"/>
            <w:vAlign w:val="bottom"/>
          </w:tcPr>
          <w:p>
            <w:pPr>
              <w:ind w:left="460"/>
              <w:spacing w:after="0"/>
              <w:rPr>
                <w:sz w:val="20"/>
                <w:szCs w:val="20"/>
                <w:color w:val="auto"/>
              </w:rPr>
            </w:pPr>
            <w:r>
              <w:rPr>
                <w:rFonts w:ascii="Arial" w:cs="Arial" w:eastAsia="Arial" w:hAnsi="Arial"/>
                <w:sz w:val="18"/>
                <w:szCs w:val="18"/>
                <w:color w:val="auto"/>
              </w:rPr>
              <w:t>2.</w:t>
            </w:r>
          </w:p>
        </w:tc>
        <w:tc>
          <w:tcPr>
            <w:tcW w:w="10260" w:type="dxa"/>
            <w:vAlign w:val="bottom"/>
            <w:gridSpan w:val="9"/>
          </w:tcPr>
          <w:p>
            <w:pPr>
              <w:ind w:left="140"/>
              <w:spacing w:after="0"/>
              <w:rPr>
                <w:sz w:val="20"/>
                <w:szCs w:val="20"/>
                <w:color w:val="auto"/>
              </w:rPr>
            </w:pPr>
            <w:r>
              <w:rPr>
                <w:rFonts w:ascii="Arial" w:cs="Arial" w:eastAsia="Arial" w:hAnsi="Arial"/>
                <w:sz w:val="18"/>
                <w:szCs w:val="18"/>
                <w:i w:val="1"/>
                <w:iCs w:val="1"/>
                <w:color w:val="auto"/>
              </w:rPr>
              <w:t>Consolidated Financial Statement Schedules</w:t>
            </w:r>
            <w:r>
              <w:rPr>
                <w:rFonts w:ascii="Arial" w:cs="Arial" w:eastAsia="Arial" w:hAnsi="Arial"/>
                <w:sz w:val="18"/>
                <w:szCs w:val="18"/>
                <w:color w:val="auto"/>
              </w:rPr>
              <w:t>:</w:t>
            </w:r>
          </w:p>
        </w:tc>
        <w:tc>
          <w:tcPr>
            <w:tcW w:w="300" w:type="dxa"/>
            <w:vAlign w:val="bottom"/>
          </w:tcPr>
          <w:p>
            <w:pPr>
              <w:spacing w:after="0"/>
              <w:rPr>
                <w:sz w:val="24"/>
                <w:szCs w:val="24"/>
                <w:color w:val="auto"/>
              </w:rPr>
            </w:pPr>
          </w:p>
        </w:tc>
      </w:tr>
    </w:tbl>
    <w:p>
      <w:pPr>
        <w:spacing w:after="0" w:line="9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Schedules are omitted because they are not required, or because the information required is included in the Consolidated Financial Statements and Notes thereto.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20"/>
          </w:cols>
          <w:pgMar w:left="24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6"/>
                <w:szCs w:val="16"/>
                <w:color w:val="auto"/>
              </w:rPr>
            </w:pPr>
          </w:p>
        </w:tc>
        <w:tc>
          <w:tcPr>
            <w:tcW w:w="5240" w:type="dxa"/>
            <w:vAlign w:val="bottom"/>
            <w:tcBorders>
              <w:bottom w:val="single" w:sz="8" w:color="auto"/>
            </w:tcBorders>
          </w:tcPr>
          <w:p>
            <w:pPr>
              <w:ind w:left="2260"/>
              <w:spacing w:after="0"/>
              <w:rPr>
                <w:sz w:val="20"/>
                <w:szCs w:val="20"/>
                <w:color w:val="auto"/>
              </w:rPr>
            </w:pPr>
            <w:r>
              <w:rPr>
                <w:rFonts w:ascii="Arial" w:cs="Arial" w:eastAsia="Arial" w:hAnsi="Arial"/>
                <w:sz w:val="14"/>
                <w:szCs w:val="14"/>
                <w:b w:val="1"/>
                <w:bCs w:val="1"/>
                <w:color w:val="auto"/>
              </w:rPr>
              <w:t>Description</w:t>
            </w: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Amended and Restated Certificate of Incorporation</w:t>
            </w:r>
          </w:p>
        </w:tc>
      </w:tr>
      <w:tr>
        <w:trPr>
          <w:trHeight w:val="756"/>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Third Amended and Restated Bylaws</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Specimen of Stock Certificate</w:t>
            </w:r>
          </w:p>
        </w:tc>
      </w:tr>
      <w:tr>
        <w:trPr>
          <w:trHeight w:val="742"/>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9"/>
              </w:rPr>
              <w:t>Amended and Restated Executive Employment Agreement, dated</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89"/>
              </w:rPr>
              <w:t>September 10, 2008, by and between Grand Canyon Education, Inc. and</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Brent Richardson†</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2008 Equity Incentive Plan, as amended†</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2008 Employee Stock Purchase Plan†</w:t>
            </w:r>
          </w:p>
        </w:tc>
      </w:tr>
      <w:tr>
        <w:trPr>
          <w:trHeight w:val="742"/>
        </w:trPr>
        <w:tc>
          <w:tcPr>
            <w:tcW w:w="520" w:type="dxa"/>
            <w:vAlign w:val="bottom"/>
          </w:tcPr>
          <w:p>
            <w:pPr>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30, 2012, by and between Grand Canyon Education, Inc. and Brian E.</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Mueller†</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10.4.1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Amended Executive Employment Agreement, dated February 9, 2016,</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4"/>
              </w:rPr>
              <w:t>by and between Grand Canyon Education, Inc. and Brian E. Mueller†</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30, 2012, by and between Grand Canyon Education, Inc. and W. Stan</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Meyer†</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10.5.1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Amended Executive Employment Agreement, dated February 9, 2016,</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6"/>
              </w:rPr>
              <w:t>by and between Grand Canyon Education, Inc. and W. Stan Meyer†</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30, 2012, by and between Grand Canyon Education, Inc. and Daniel E.</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Bachus†</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10.6.1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Amended Executive Employment Agreement, dated February 9, 2016,</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by and between Grand Canyon Education, Inc. and Daniel E. Bachus†</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2"/>
              </w:rPr>
              <w:t>Amended and Restated Executive Employment Agreement, dated July</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0"/>
              </w:rPr>
              <w:t>30, 2012, by and between Grand Canyon Education, Inc. and Joseph N.</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Mildenhall†</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w w:val="99"/>
              </w:rPr>
              <w:t>10.7.1</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3"/>
              </w:rPr>
              <w:t>Amended Executive Employment Agreement, dated February 9, 2016,</w:t>
            </w:r>
          </w:p>
        </w:tc>
      </w:tr>
      <w:tr>
        <w:trPr>
          <w:trHeight w:val="216"/>
        </w:trPr>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by and between Grand Canyon Education, Inc. and Joseph N.</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Mildenhall†</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Arial" w:cs="Arial" w:eastAsia="Arial" w:hAnsi="Arial"/>
                <w:sz w:val="18"/>
                <w:szCs w:val="18"/>
                <w:color w:val="auto"/>
                <w:w w:val="94"/>
              </w:rPr>
              <w:t>Executive Employment Agreement, dated September 7, 2012, by and</w:t>
            </w:r>
          </w:p>
        </w:tc>
      </w:tr>
      <w:tr>
        <w:trPr>
          <w:trHeight w:val="230"/>
        </w:trPr>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between Grand Canyon Education, Inc. and Brian M. Roberts†</w:t>
            </w:r>
          </w:p>
        </w:tc>
      </w:tr>
      <w:tr>
        <w:trPr>
          <w:trHeight w:val="365"/>
        </w:trPr>
        <w:tc>
          <w:tcPr>
            <w:tcW w:w="520" w:type="dxa"/>
            <w:vAlign w:val="bottom"/>
          </w:tcPr>
          <w:p>
            <w:pPr>
              <w:spacing w:after="0"/>
              <w:rPr>
                <w:sz w:val="24"/>
                <w:szCs w:val="24"/>
                <w:color w:val="auto"/>
              </w:rPr>
            </w:pPr>
          </w:p>
        </w:tc>
        <w:tc>
          <w:tcPr>
            <w:tcW w:w="5560" w:type="dxa"/>
            <w:vAlign w:val="bottom"/>
            <w:gridSpan w:val="2"/>
          </w:tcPr>
          <w:p>
            <w:pPr>
              <w:jc w:val="right"/>
              <w:ind w:right="191"/>
              <w:spacing w:after="0"/>
              <w:rPr>
                <w:sz w:val="20"/>
                <w:szCs w:val="20"/>
                <w:color w:val="auto"/>
              </w:rPr>
            </w:pPr>
            <w:r>
              <w:rPr>
                <w:rFonts w:ascii="Arial" w:cs="Arial" w:eastAsia="Arial" w:hAnsi="Arial"/>
                <w:sz w:val="18"/>
                <w:szCs w:val="18"/>
                <w:color w:val="auto"/>
              </w:rPr>
              <w:t>90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32588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9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3.1 to Amendment No. 6 to the University’s Registration Statement on Form S-1 filed with the SEC on November 12, 2008.</w:t>
      </w:r>
    </w:p>
    <w:p>
      <w:pPr>
        <w:spacing w:after="0" w:line="73"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Incorporated by reference to Exhibit 3.1 to the University’s Current Report on Form 8-K filed with the SEC on October 29, 2014.</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4.1 to Amendment No. 2 to the University’s Registration Statement on Form S-1 filed with the SEC on September 29, 2008.</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10.1 to Amendment No. 2 to the University’s Registration Statement on Form S-1 filed with the SEC on September 29, 2008.</w:t>
      </w:r>
    </w:p>
    <w:p>
      <w:pPr>
        <w:spacing w:after="0" w:line="7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November 14, 2011.</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Incorporated by reference to Exhibit 10.5 to Amendment No. 2 to the University’s Registration Statement on Form S-1 filed with the SEC on September 29, 2008.</w:t>
      </w:r>
    </w:p>
    <w:p>
      <w:pPr>
        <w:spacing w:after="0" w:line="28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10.1 to the University’s Quarterly Report on Form 10-Q filed with the SEC on August 6, 2012.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10.2 to the University’s Quarterly Report on Form 10-Q filed with the SEC on August 6, 2012.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10.3 to the University’s Quarterly Report on Form 10-Q filed with the SEC on August 6, 2012.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Incorporated by reference to Exhibit 10.4 to the University’s Quarterly Report on Form 10-Q filed with the SEC on August 6, 2012.</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Incorporated by reference to Exhibit 10.1 to the University’s Quarterly Report on Form 10-Q filed with the SEC on May 7, 2013.</w:t>
      </w:r>
    </w:p>
    <w:p>
      <w:pPr>
        <w:sectPr>
          <w:pgSz w:w="11900" w:h="16838" w:orient="portrait"/>
          <w:cols w:equalWidth="0" w:num="2">
            <w:col w:w="6080" w:space="200"/>
            <w:col w:w="5140"/>
          </w:cols>
          <w:pgMar w:left="240" w:top="459"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140" w:type="dxa"/>
            <w:vAlign w:val="bottom"/>
            <w:tcBorders>
              <w:bottom w:val="single" w:sz="8" w:color="auto"/>
            </w:tcBorders>
          </w:tcPr>
          <w:p>
            <w:pPr>
              <w:ind w:left="2220"/>
              <w:spacing w:after="0"/>
              <w:rPr>
                <w:sz w:val="20"/>
                <w:szCs w:val="20"/>
                <w:color w:val="auto"/>
              </w:rPr>
            </w:pPr>
            <w:r>
              <w:rPr>
                <w:rFonts w:ascii="Arial" w:cs="Arial" w:eastAsia="Arial" w:hAnsi="Arial"/>
                <w:sz w:val="14"/>
                <w:szCs w:val="14"/>
                <w:b w:val="1"/>
                <w:bCs w:val="1"/>
                <w:color w:val="auto"/>
              </w:rPr>
              <w:t>Description</w:t>
            </w:r>
          </w:p>
        </w:tc>
      </w:tr>
      <w:tr>
        <w:trPr>
          <w:trHeight w:val="290"/>
        </w:trPr>
        <w:tc>
          <w:tcPr>
            <w:tcW w:w="880" w:type="dxa"/>
            <w:vAlign w:val="bottom"/>
            <w:gridSpan w:val="2"/>
          </w:tcPr>
          <w:p>
            <w:pPr>
              <w:ind w:left="100"/>
              <w:spacing w:after="0"/>
              <w:rPr>
                <w:sz w:val="20"/>
                <w:szCs w:val="20"/>
                <w:color w:val="auto"/>
              </w:rPr>
            </w:pPr>
            <w:r>
              <w:rPr>
                <w:rFonts w:ascii="Arial" w:cs="Arial" w:eastAsia="Arial" w:hAnsi="Arial"/>
                <w:sz w:val="18"/>
                <w:szCs w:val="18"/>
                <w:color w:val="auto"/>
              </w:rPr>
              <w:t>10.8.1</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1"/>
              </w:rPr>
              <w:t>Amended Executive Employment Agreement, dated February 9, 2016,</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1"/>
              </w:rPr>
              <w:t>by and between Grand Canyon Education, Inc. and Brian M. Roberts†</w:t>
            </w: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10.9</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Form of Director and Officer Indemnity Agreement</w:t>
            </w:r>
          </w:p>
        </w:tc>
      </w:tr>
      <w:tr>
        <w:trPr>
          <w:trHeight w:val="742"/>
        </w:trPr>
        <w:tc>
          <w:tcPr>
            <w:tcW w:w="520" w:type="dxa"/>
            <w:vAlign w:val="bottom"/>
          </w:tcPr>
          <w:p>
            <w:pPr>
              <w:ind w:left="100"/>
              <w:spacing w:after="0"/>
              <w:rPr>
                <w:sz w:val="20"/>
                <w:szCs w:val="20"/>
                <w:color w:val="auto"/>
              </w:rPr>
            </w:pPr>
            <w:r>
              <w:rPr>
                <w:rFonts w:ascii="Arial" w:cs="Arial" w:eastAsia="Arial" w:hAnsi="Arial"/>
                <w:sz w:val="18"/>
                <w:szCs w:val="18"/>
                <w:color w:val="auto"/>
                <w:w w:val="88"/>
              </w:rPr>
              <w:t>10.10</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5"/>
              </w:rPr>
              <w:t>Credit Agreement, dated December 21, 2012, by and among Grand</w:t>
            </w:r>
          </w:p>
        </w:tc>
      </w:tr>
      <w:tr>
        <w:trPr>
          <w:trHeight w:val="216"/>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3"/>
              </w:rPr>
              <w:t>Canyon Education, Inc., Bank of America, N.A., and the other parties</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named therein.</w:t>
            </w:r>
          </w:p>
        </w:tc>
      </w:tr>
      <w:tr>
        <w:trPr>
          <w:trHeight w:val="310"/>
        </w:trPr>
        <w:tc>
          <w:tcPr>
            <w:tcW w:w="880" w:type="dxa"/>
            <w:vAlign w:val="bottom"/>
            <w:gridSpan w:val="2"/>
          </w:tcPr>
          <w:p>
            <w:pPr>
              <w:ind w:left="100"/>
              <w:spacing w:after="0"/>
              <w:rPr>
                <w:sz w:val="20"/>
                <w:szCs w:val="20"/>
                <w:color w:val="auto"/>
              </w:rPr>
            </w:pPr>
            <w:r>
              <w:rPr>
                <w:rFonts w:ascii="Arial" w:cs="Arial" w:eastAsia="Arial" w:hAnsi="Arial"/>
                <w:sz w:val="18"/>
                <w:szCs w:val="18"/>
                <w:color w:val="auto"/>
              </w:rPr>
              <w:t>10.10.1</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4"/>
              </w:rPr>
              <w:t>Amendment No. 1 to Credit Agreement, dated January 15, 2016, by</w:t>
            </w:r>
          </w:p>
        </w:tc>
      </w:tr>
      <w:tr>
        <w:trPr>
          <w:trHeight w:val="216"/>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6"/>
              </w:rPr>
              <w:t>and among Grand Canyon Education, Inc., Bank of America, N.A.,</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and the other parties named therein.</w:t>
            </w: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21.0</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Subsidiaries of Grand Canyon Education, Inc.</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23.1</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6"/>
              </w:rPr>
              <w:t>Consent of KPMG LLP, Independent Registered Public Accounting</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Firm</w:t>
            </w:r>
          </w:p>
        </w:tc>
      </w:tr>
      <w:tr>
        <w:trPr>
          <w:trHeight w:val="324"/>
        </w:trPr>
        <w:tc>
          <w:tcPr>
            <w:tcW w:w="520" w:type="dxa"/>
            <w:vAlign w:val="bottom"/>
          </w:tcPr>
          <w:p>
            <w:pPr>
              <w:ind w:left="100"/>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Power of Attorney</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2"/>
              </w:rPr>
              <w:t>Certification of Principal Executive Officer Pursuant to Rule 13a-14(a)</w:t>
            </w:r>
          </w:p>
        </w:tc>
      </w:tr>
      <w:tr>
        <w:trPr>
          <w:trHeight w:val="216"/>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4"/>
              </w:rPr>
              <w:t>and 15d-14(a) as Adopted Pursuant to Section 302 of the Sarbanes-</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3"/>
              </w:rPr>
              <w:t>Certification of Principal Financial Officer Pursuant to Rule 13a-14(a)</w:t>
            </w:r>
          </w:p>
        </w:tc>
      </w:tr>
      <w:tr>
        <w:trPr>
          <w:trHeight w:val="216"/>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4"/>
              </w:rPr>
              <w:t>and 15d-14(a) as Adopted Pursuant to Section 302 of the Sarbanes-</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Certification of Principal Executive Officer Pursuant to 18 U.S.C.</w:t>
            </w:r>
          </w:p>
        </w:tc>
      </w:tr>
      <w:tr>
        <w:trPr>
          <w:trHeight w:val="216"/>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4"/>
              </w:rPr>
              <w:t>Section 1350, as Adopted Pursuant to Section 906 of the Sarbanes-</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w:t>
            </w:r>
          </w:p>
        </w:tc>
      </w:tr>
      <w:tr>
        <w:trPr>
          <w:trHeight w:val="310"/>
        </w:trPr>
        <w:tc>
          <w:tcPr>
            <w:tcW w:w="520" w:type="dxa"/>
            <w:vAlign w:val="bottom"/>
          </w:tcPr>
          <w:p>
            <w:pPr>
              <w:ind w:left="10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4"/>
                <w:szCs w:val="24"/>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Certification of Principal Financial Officer Pursuant to 18 U.S.C.</w:t>
            </w:r>
          </w:p>
        </w:tc>
      </w:tr>
      <w:tr>
        <w:trPr>
          <w:trHeight w:val="216"/>
        </w:trPr>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w w:val="94"/>
              </w:rPr>
              <w:t>Section 1350, as Adopted Pursuant to Section 906 of the Sarbanes-</w:t>
            </w:r>
          </w:p>
        </w:tc>
      </w:tr>
      <w:tr>
        <w:trPr>
          <w:trHeight w:val="230"/>
        </w:trPr>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Oxley Act of 2002††</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8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320" w:type="dxa"/>
            <w:vAlign w:val="bottom"/>
            <w:gridSpan w:val="2"/>
          </w:tcPr>
          <w:p>
            <w:pPr>
              <w:ind w:left="1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318135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Incorporated by reference to Exhibit 10.21 to Amendment No. 2 to the University’s Registration Statement on Form S-1 filed with the SEC on September 29, 2008.</w:t>
      </w:r>
    </w:p>
    <w:p>
      <w:pPr>
        <w:spacing w:after="0" w:line="7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Incorporated by reference to Exhibit 10.10 to the University’s Annual Report on Form 10-K filed with the SEC on February 19, 2013.</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 (on signature page)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98" w:lineRule="exact"/>
        <w:rPr>
          <w:sz w:val="20"/>
          <w:szCs w:val="20"/>
          <w:color w:val="auto"/>
        </w:rPr>
      </w:pPr>
    </w:p>
    <w:p>
      <w:pPr>
        <w:sectPr>
          <w:pgSz w:w="11900" w:h="16838" w:orient="portrait"/>
          <w:cols w:equalWidth="0" w:num="2">
            <w:col w:w="6200" w:space="200"/>
            <w:col w:w="4820"/>
          </w:cols>
          <w:pgMar w:left="240" w:top="459" w:right="439" w:bottom="1440" w:gutter="0" w:footer="0" w:header="0"/>
          <w:type w:val="continuous"/>
        </w:sect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23" w:lineRule="exact"/>
        <w:rPr>
          <w:sz w:val="20"/>
          <w:szCs w:val="20"/>
          <w:color w:val="auto"/>
        </w:rPr>
      </w:pPr>
    </w:p>
    <w:p>
      <w:pPr>
        <w:ind w:left="460" w:right="22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University, whether made before or after the date hereof, regardless of any general incorporation language in such filing.</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GRAND CANYON EDUCATION,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Brian E. Mueller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Dated: February 17, 2016</w:t>
      </w:r>
    </w:p>
    <w:p>
      <w:pPr>
        <w:spacing w:after="0" w:line="21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Brian E. Mueller, Daniel E. Bachus, and Brian M. Roberts, and each of them,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17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Title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r>
        <w:trPr>
          <w:trHeight w:val="304"/>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E. Mueller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17, 2016</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Brian E. Mueller</w:t>
            </w:r>
          </w:p>
        </w:tc>
        <w:tc>
          <w:tcPr>
            <w:tcW w:w="100" w:type="dxa"/>
            <w:vAlign w:val="bottom"/>
          </w:tcPr>
          <w:p>
            <w:pPr>
              <w:spacing w:after="0"/>
              <w:rPr>
                <w:sz w:val="19"/>
                <w:szCs w:val="19"/>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Daniel E. Bachus</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17, 2016</w:t>
            </w:r>
          </w:p>
        </w:tc>
      </w:tr>
      <w:tr>
        <w:trPr>
          <w:trHeight w:val="182"/>
        </w:trPr>
        <w:tc>
          <w:tcPr>
            <w:tcW w:w="4280" w:type="dxa"/>
            <w:vAlign w:val="bottom"/>
            <w:gridSpan w:val="2"/>
          </w:tcPr>
          <w:p>
            <w:pPr>
              <w:spacing w:after="0" w:line="182" w:lineRule="exact"/>
              <w:rPr>
                <w:sz w:val="20"/>
                <w:szCs w:val="20"/>
                <w:color w:val="auto"/>
              </w:rPr>
            </w:pPr>
            <w:r>
              <w:rPr>
                <w:rFonts w:ascii="Arial" w:cs="Arial" w:eastAsia="Arial" w:hAnsi="Arial"/>
                <w:sz w:val="18"/>
                <w:szCs w:val="18"/>
                <w:color w:val="auto"/>
              </w:rPr>
              <w:t>Daniel E. Bachus</w:t>
            </w:r>
          </w:p>
        </w:tc>
        <w:tc>
          <w:tcPr>
            <w:tcW w:w="100" w:type="dxa"/>
            <w:vAlign w:val="bottom"/>
          </w:tcPr>
          <w:p>
            <w:pPr>
              <w:spacing w:after="0"/>
              <w:rPr>
                <w:sz w:val="15"/>
                <w:szCs w:val="15"/>
                <w:color w:val="auto"/>
              </w:rPr>
            </w:pPr>
          </w:p>
        </w:tc>
        <w:tc>
          <w:tcPr>
            <w:tcW w:w="5300" w:type="dxa"/>
            <w:vAlign w:val="bottom"/>
            <w:gridSpan w:val="2"/>
          </w:tcPr>
          <w:p>
            <w:pPr>
              <w:jc w:val="center"/>
              <w:ind w:right="220"/>
              <w:spacing w:after="0" w:line="182" w:lineRule="exact"/>
              <w:rPr>
                <w:sz w:val="20"/>
                <w:szCs w:val="20"/>
                <w:color w:val="auto"/>
              </w:rPr>
            </w:pPr>
            <w:r>
              <w:rPr>
                <w:rFonts w:ascii="Arial" w:cs="Arial" w:eastAsia="Arial" w:hAnsi="Arial"/>
                <w:sz w:val="18"/>
                <w:szCs w:val="18"/>
                <w:color w:val="auto"/>
                <w:w w:val="94"/>
              </w:rPr>
              <w:t>(Principal Financial Officer and Principal</w:t>
            </w:r>
          </w:p>
        </w:tc>
        <w:tc>
          <w:tcPr>
            <w:tcW w:w="1740" w:type="dxa"/>
            <w:vAlign w:val="bottom"/>
          </w:tcPr>
          <w:p>
            <w:pPr>
              <w:spacing w:after="0"/>
              <w:rPr>
                <w:sz w:val="15"/>
                <w:szCs w:val="15"/>
                <w:color w:val="auto"/>
              </w:rPr>
            </w:pPr>
          </w:p>
        </w:tc>
      </w:tr>
      <w:tr>
        <w:trPr>
          <w:trHeight w:val="230"/>
        </w:trPr>
        <w:tc>
          <w:tcPr>
            <w:tcW w:w="6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Accounting Officer)</w:t>
            </w:r>
          </w:p>
        </w:tc>
        <w:tc>
          <w:tcPr>
            <w:tcW w:w="1740" w:type="dxa"/>
            <w:vAlign w:val="bottom"/>
          </w:tcPr>
          <w:p>
            <w:pPr>
              <w:spacing w:after="0"/>
              <w:rPr>
                <w:sz w:val="20"/>
                <w:szCs w:val="20"/>
                <w:color w:val="auto"/>
              </w:rPr>
            </w:pPr>
          </w:p>
        </w:tc>
      </w:tr>
      <w:tr>
        <w:trPr>
          <w:trHeight w:val="338"/>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Brent D. Richardson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17, 2016</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Brent D. Richardson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J. Johnson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17, 2016</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David J. Johnson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Jack A. Henry</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17, 2016</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Jack A. Henry</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Bradley A. Casper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17, 2016</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Bradley A. Casper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F. Warren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17, 2016</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Kevin F. Warren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10"/>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Sara R. Dial</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February 17, 2016</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Sara R. Dial</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0"/>
        </w:trPr>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5180" w:type="dxa"/>
            <w:vAlign w:val="bottom"/>
            <w:gridSpan w:val="2"/>
          </w:tcPr>
          <w:p>
            <w:pPr>
              <w:jc w:val="right"/>
              <w:ind w:right="3571"/>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Executive Employment Agreement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Amendment to Executive Employment Agreement, effective this 9th day of February 2016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an Amendment to the Amended and Restated Executive Employment Agreement between Brian E. Mueller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Grand Canyon Education, Inc.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collectively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entered into effective July 1, 2012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Executive and Company entered into the Original Agreement effective July 1, 2012, which is scheduled to expire by its terms on June 30, 2016;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Executive and Company wish to extend the term of the Original Agreement through June 30, 2020;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herein contained, it is hereby agreed: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Section 3.1 of the Original Agreement is hereby amended and restated in its entirety to state as follows:</w:t>
      </w:r>
    </w:p>
    <w:p>
      <w:pPr>
        <w:spacing w:after="0" w:line="121"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Term</w:t>
      </w:r>
      <w:r>
        <w:rPr>
          <w:rFonts w:ascii="Arial" w:cs="Arial" w:eastAsia="Arial" w:hAnsi="Arial"/>
          <w:sz w:val="18"/>
          <w:szCs w:val="18"/>
          <w:color w:val="auto"/>
        </w:rPr>
        <w:t>. The employment relationship pursuant to this Agreement shall continue in effect for a period through June 30, 2020, unless sooner terminated in accordance with Section 7.”</w:t>
      </w:r>
    </w:p>
    <w:p>
      <w:pPr>
        <w:spacing w:after="0" w:line="166" w:lineRule="exact"/>
        <w:rPr>
          <w:sz w:val="20"/>
          <w:szCs w:val="20"/>
          <w:color w:val="auto"/>
        </w:rPr>
      </w:pPr>
    </w:p>
    <w:p>
      <w:pPr>
        <w:ind w:right="200" w:firstLine="464"/>
        <w:spacing w:after="0" w:line="282"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Continuing Effect</w:t>
      </w:r>
      <w:r>
        <w:rPr>
          <w:rFonts w:ascii="Arial" w:cs="Arial" w:eastAsia="Arial" w:hAnsi="Arial"/>
          <w:sz w:val="18"/>
          <w:szCs w:val="18"/>
          <w:color w:val="auto"/>
        </w:rPr>
        <w:t>. All other terms and conditions of the Original Agreement, unless specifically amended pursuant to this Amendment,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and effect.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Amendment by their duly authorized representatives as of the date hereof.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Grand Canyon Education, Inc.</w:t>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Dan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Dan Bachus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Chief Financial Officer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/s/ Brian Mueller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Brian E. Mueller</w:t>
      </w:r>
    </w:p>
    <w:p>
      <w:pPr>
        <w:sectPr>
          <w:pgSz w:w="11900" w:h="16838" w:orient="portrait"/>
          <w:cols w:equalWidth="0" w:num="2">
            <w:col w:w="5340" w:space="720"/>
            <w:col w:w="5360"/>
          </w:cols>
          <w:pgMar w:left="240" w:top="121" w:right="239" w:bottom="1440" w:gutter="0" w:footer="0" w:header="0"/>
          <w:type w:val="continuous"/>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Executive Employment Agreement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Amendment to Executive Employment Agreement, effective this 9th day of February 2016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an Amendment to the Amended and Restated Executive Employment Agreement between W. Stan Meyer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Grand Canyon Education, Inc.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collectively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entered into effective July 1, 2012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Executive and Company entered into the Original Agreement effective July 1, 2012, which is scheduled to expire by its terms on June 30, 2016;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Executive and Company wish to extend the term of the Original Agreement through June 30, 2020;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herein contained, it is hereby agreed: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Section 3.1 of the Original Agreement is hereby amended and restated in its entirety to state as follows:</w:t>
      </w:r>
    </w:p>
    <w:p>
      <w:pPr>
        <w:spacing w:after="0" w:line="121"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Term</w:t>
      </w:r>
      <w:r>
        <w:rPr>
          <w:rFonts w:ascii="Arial" w:cs="Arial" w:eastAsia="Arial" w:hAnsi="Arial"/>
          <w:sz w:val="18"/>
          <w:szCs w:val="18"/>
          <w:color w:val="auto"/>
        </w:rPr>
        <w:t>. The employment relationship pursuant to this Agreement shall continue in effect for a period through June 30, 2020, unless sooner terminated in accordance with Section 7.”</w:t>
      </w:r>
    </w:p>
    <w:p>
      <w:pPr>
        <w:spacing w:after="0" w:line="166" w:lineRule="exact"/>
        <w:rPr>
          <w:sz w:val="20"/>
          <w:szCs w:val="20"/>
          <w:color w:val="auto"/>
        </w:rPr>
      </w:pPr>
    </w:p>
    <w:p>
      <w:pPr>
        <w:ind w:right="200" w:firstLine="464"/>
        <w:spacing w:after="0" w:line="282"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Continuing Effect</w:t>
      </w:r>
      <w:r>
        <w:rPr>
          <w:rFonts w:ascii="Arial" w:cs="Arial" w:eastAsia="Arial" w:hAnsi="Arial"/>
          <w:sz w:val="18"/>
          <w:szCs w:val="18"/>
          <w:color w:val="auto"/>
        </w:rPr>
        <w:t>. All other terms and conditions of the Original Agreement, unless specifically amended pursuant to this Amendment,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and effect.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Amendment by their duly authorized representatives as of the date hereof.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Grand Canyon Education, Inc.</w:t>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Brian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Brian Mueller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Chief Executive Officer, Director and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Grand Canyon University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By: /s/ W. Stan Meyer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Name: W. Stan Meyer</w:t>
      </w:r>
    </w:p>
    <w:p>
      <w:pPr>
        <w:sectPr>
          <w:pgSz w:w="11900" w:h="16838" w:orient="portrait"/>
          <w:cols w:equalWidth="0" w:num="2">
            <w:col w:w="5340" w:space="720"/>
            <w:col w:w="5360"/>
          </w:cols>
          <w:pgMar w:left="240" w:top="121" w:right="2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10.6.1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Executive Employment Agreement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Amendment to Executive Employment Agreement, effective this 9th day of February 2016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an Amendment to the Amended and Restated Executive Employment Agreement between Daniel E. Bachus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Grand Canyon Education, Inc.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collectively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entered into effective July 1, 2012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Executive and Company entered into the Original Agreement effective July 1, 2012, which is scheduled to expire by its terms on June 30, 2016;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Executive and Company wish to extend the term of the Original Agreement through June 30, 2020;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herein contained, it is hereby agreed: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Section 3.1 of the Original Agreement is hereby amended and restated in its entirety to state as follows:</w:t>
      </w:r>
    </w:p>
    <w:p>
      <w:pPr>
        <w:spacing w:after="0" w:line="121"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Term</w:t>
      </w:r>
      <w:r>
        <w:rPr>
          <w:rFonts w:ascii="Arial" w:cs="Arial" w:eastAsia="Arial" w:hAnsi="Arial"/>
          <w:sz w:val="18"/>
          <w:szCs w:val="18"/>
          <w:color w:val="auto"/>
        </w:rPr>
        <w:t>. The employment relationship pursuant to this Agreement shall continue in effect for a period through June 30, 2020, unless sooner terminated in accordance with Section 7.”</w:t>
      </w:r>
    </w:p>
    <w:p>
      <w:pPr>
        <w:spacing w:after="0" w:line="166" w:lineRule="exact"/>
        <w:rPr>
          <w:sz w:val="20"/>
          <w:szCs w:val="20"/>
          <w:color w:val="auto"/>
        </w:rPr>
      </w:pPr>
    </w:p>
    <w:p>
      <w:pPr>
        <w:ind w:right="200" w:firstLine="464"/>
        <w:spacing w:after="0" w:line="282" w:lineRule="auto"/>
        <w:tabs>
          <w:tab w:leader="none" w:pos="636"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Continuing Effect</w:t>
      </w:r>
      <w:r>
        <w:rPr>
          <w:rFonts w:ascii="Arial" w:cs="Arial" w:eastAsia="Arial" w:hAnsi="Arial"/>
          <w:sz w:val="18"/>
          <w:szCs w:val="18"/>
          <w:color w:val="auto"/>
        </w:rPr>
        <w:t>. All other terms and conditions of the Original Agreement, unless specifically amended pursuant to this Amendment,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and effect.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Amendment by their duly authorized representatives as of the date hereof.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Grand Canyon Education, Inc.</w:t>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Brian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Brian Mueller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Chief Executive Officer, Director and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Grand Canyon University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By: /s/ Dan Bachus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 Daniel E. Bachus</w:t>
      </w:r>
    </w:p>
    <w:p>
      <w:pPr>
        <w:sectPr>
          <w:pgSz w:w="11900" w:h="16838" w:orient="portrait"/>
          <w:cols w:equalWidth="0" w:num="2">
            <w:col w:w="5340" w:space="720"/>
            <w:col w:w="5360"/>
          </w:cols>
          <w:pgMar w:left="240" w:top="121" w:right="23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10.7.1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Executive Employment Agreement</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Amendment to Executive Employment Agreement, effective this 9th day of February 2016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an Amendment to the Amended and Restated Executive Employment Agreement between Joseph N. Mildenhall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Grand Canyon Education, Inc.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collectively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entered into effective July 1, 2012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WHEREAS, Executive and Company entered into the Original Agreement effective July 1, 2012, which is scheduled to expire by its terms on June 30, 2016;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Executive and Company wish to extend the term of the Original Agreement through June 30, 2020;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herein contained, it is hereby agreed: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Section 3.1 of the Original Agreement is hereby amended and restated in its entirety to state as follows:</w:t>
      </w:r>
    </w:p>
    <w:p>
      <w:pPr>
        <w:spacing w:after="0" w:line="121"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Term</w:t>
      </w:r>
      <w:r>
        <w:rPr>
          <w:rFonts w:ascii="Arial" w:cs="Arial" w:eastAsia="Arial" w:hAnsi="Arial"/>
          <w:sz w:val="18"/>
          <w:szCs w:val="18"/>
          <w:color w:val="auto"/>
        </w:rPr>
        <w:t>. The employment relationship pursuant to this Agreement shall continue in effect for a period through June 30, 2020, unless sooner terminated in accordance with Section 7.”</w:t>
      </w:r>
    </w:p>
    <w:p>
      <w:pPr>
        <w:spacing w:after="0" w:line="166" w:lineRule="exact"/>
        <w:rPr>
          <w:sz w:val="20"/>
          <w:szCs w:val="20"/>
          <w:color w:val="auto"/>
        </w:rPr>
      </w:pPr>
    </w:p>
    <w:p>
      <w:pPr>
        <w:ind w:right="200" w:firstLine="464"/>
        <w:spacing w:after="0" w:line="282" w:lineRule="auto"/>
        <w:tabs>
          <w:tab w:leader="none" w:pos="636" w:val="left"/>
        </w:tabs>
        <w:numPr>
          <w:ilvl w:val="0"/>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Continuing Effect</w:t>
      </w:r>
      <w:r>
        <w:rPr>
          <w:rFonts w:ascii="Arial" w:cs="Arial" w:eastAsia="Arial" w:hAnsi="Arial"/>
          <w:sz w:val="18"/>
          <w:szCs w:val="18"/>
          <w:color w:val="auto"/>
        </w:rPr>
        <w:t>. All other terms and conditions of the Original Agreement, unless specifically amended pursuant to this Amendment,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and effect.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Amendment by their duly authorized representatives as of the date hereof.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Grand Canyon Education, Inc.</w:t>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Brian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Brian Mueller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Chief Executive Officer, Director and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Grand Canyon University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By: /s/ Joseph N. Mildenhall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Name: Joseph N. Mildenhall</w:t>
      </w:r>
    </w:p>
    <w:p>
      <w:pPr>
        <w:sectPr>
          <w:pgSz w:w="11900" w:h="16838" w:orient="portrait"/>
          <w:cols w:equalWidth="0" w:num="2">
            <w:col w:w="5340" w:space="720"/>
            <w:col w:w="5360"/>
          </w:cols>
          <w:pgMar w:left="240" w:top="121" w:right="239" w:bottom="1440" w:gutter="0" w:footer="0" w:header="0"/>
          <w:type w:val="continuous"/>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10.8.1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Executive Employment Agreement</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This Amendment to Executive Employment Agreement, effective this 9th day of February 2016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an Amendment to the Executive Employment Agreement between Brian M. Roberts (“</w:t>
      </w:r>
      <w:r>
        <w:rPr>
          <w:rFonts w:ascii="Arial" w:cs="Arial" w:eastAsia="Arial" w:hAnsi="Arial"/>
          <w:sz w:val="18"/>
          <w:szCs w:val="18"/>
          <w:b w:val="1"/>
          <w:bCs w:val="1"/>
          <w:i w:val="1"/>
          <w:iCs w:val="1"/>
          <w:color w:val="auto"/>
        </w:rPr>
        <w:t>Executive</w:t>
      </w:r>
      <w:r>
        <w:rPr>
          <w:rFonts w:ascii="Arial" w:cs="Arial" w:eastAsia="Arial" w:hAnsi="Arial"/>
          <w:sz w:val="18"/>
          <w:szCs w:val="18"/>
          <w:color w:val="auto"/>
        </w:rPr>
        <w:t>”) and Grand Canyon Education, Inc.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collectively referred to herein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entered into effective July 30, 2012 (the “</w:t>
      </w:r>
      <w:r>
        <w:rPr>
          <w:rFonts w:ascii="Arial" w:cs="Arial" w:eastAsia="Arial" w:hAnsi="Arial"/>
          <w:sz w:val="18"/>
          <w:szCs w:val="18"/>
          <w:b w:val="1"/>
          <w:bCs w:val="1"/>
          <w:i w:val="1"/>
          <w:iCs w:val="1"/>
          <w:color w:val="auto"/>
        </w:rPr>
        <w:t>Original Agreement</w:t>
      </w:r>
      <w:r>
        <w:rPr>
          <w:rFonts w:ascii="Arial" w:cs="Arial" w:eastAsia="Arial" w:hAnsi="Arial"/>
          <w:sz w:val="18"/>
          <w:szCs w:val="18"/>
          <w:color w:val="auto"/>
        </w:rPr>
        <w: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WHEREAS, Executive and Company entered into the Original Agreement effective July 30, 2012, which is scheduled to expire by its terms on July 30, 2016; and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Executive and Company wish to extend the term of the Original Agreement through June 30, 2020;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promises herein contained, it is hereby agreed: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Section 3.1 of the Original Agreement is hereby amended and restated in its entirety to state as follows:</w:t>
      </w:r>
    </w:p>
    <w:p>
      <w:pPr>
        <w:spacing w:after="0" w:line="121" w:lineRule="exact"/>
        <w:rPr>
          <w:sz w:val="20"/>
          <w:szCs w:val="20"/>
          <w:color w:val="auto"/>
        </w:rPr>
      </w:pPr>
    </w:p>
    <w:p>
      <w:pPr>
        <w:ind w:left="920" w:right="28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Term</w:t>
      </w:r>
      <w:r>
        <w:rPr>
          <w:rFonts w:ascii="Arial" w:cs="Arial" w:eastAsia="Arial" w:hAnsi="Arial"/>
          <w:sz w:val="18"/>
          <w:szCs w:val="18"/>
          <w:color w:val="auto"/>
        </w:rPr>
        <w:t>. The employment relationship pursuant to this Agreement shall continue in effect for a period through June 30, 2020, unless sooner terminated in accordance with Section 7.”</w:t>
      </w:r>
    </w:p>
    <w:p>
      <w:pPr>
        <w:spacing w:after="0" w:line="166" w:lineRule="exact"/>
        <w:rPr>
          <w:sz w:val="20"/>
          <w:szCs w:val="20"/>
          <w:color w:val="auto"/>
        </w:rPr>
      </w:pPr>
    </w:p>
    <w:p>
      <w:pPr>
        <w:ind w:right="200" w:firstLine="464"/>
        <w:spacing w:after="0" w:line="282" w:lineRule="auto"/>
        <w:tabs>
          <w:tab w:leader="none" w:pos="636" w:val="left"/>
        </w:tabs>
        <w:numPr>
          <w:ilvl w:val="0"/>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Continuing Effect</w:t>
      </w:r>
      <w:r>
        <w:rPr>
          <w:rFonts w:ascii="Arial" w:cs="Arial" w:eastAsia="Arial" w:hAnsi="Arial"/>
          <w:sz w:val="18"/>
          <w:szCs w:val="18"/>
          <w:color w:val="auto"/>
        </w:rPr>
        <w:t>. All other terms and conditions of the Original Agreement, unless specifically amended pursuant to this Amendment, remain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force and effect.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have executed this Amendment by their duly authorized representatives as of the date hereof.</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Grand Canyon Education, Inc.</w:t>
      </w:r>
    </w:p>
    <w:p>
      <w:pPr>
        <w:sectPr>
          <w:pgSz w:w="11900" w:h="16838" w:orient="portrait"/>
          <w:cols w:equalWidth="0" w:num="1">
            <w:col w:w="11420"/>
          </w:cols>
          <w:pgMar w:left="240" w:top="121"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/s/ Brian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Brian Mueller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Chief Executive Officer, Director and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Grand Canyon University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By: /s/ Brian M. Roberts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Name: Brian M. Roberts</w:t>
      </w:r>
    </w:p>
    <w:p>
      <w:pPr>
        <w:sectPr>
          <w:pgSz w:w="11900" w:h="16838" w:orient="portrait"/>
          <w:cols w:equalWidth="0" w:num="2">
            <w:col w:w="5340" w:space="720"/>
            <w:col w:w="5360"/>
          </w:cols>
          <w:pgMar w:left="240" w:top="121" w:right="23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w:t>
      </w:r>
    </w:p>
    <w:p>
      <w:pPr>
        <w:spacing w:after="0" w:line="225"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THIS FIRST AMENDMENT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January 15, 2016 to the Credit Agreement referenced below is by and among Grand Canyon Education,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Guarantors identified on the signature pages hereto, the Lenders identified on the signature pages hereto and Bank of America, N.A., in its capacity as Administrative Agent (in such capacity,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WHEREAS, revolving credit and term loan facilities has been extended to the Borrower pursuant to the Credit Agreement (as amended, modified, supplemented, increased, and extended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dated as of December 21, 2012 by and among the Borrower, the Guarantors identified therein, the Lenders identified therein and the Administrative Agent; and</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WHEREAS, the Borrower has requested certain modifications to the Credit Agreement and the Lenders have agreed to such requested modifications on the terms and conditions set forth herein.</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are hereby acknowledged, the parties hereto agree as follows:</w:t>
      </w:r>
    </w:p>
    <w:p>
      <w:pPr>
        <w:spacing w:after="0" w:line="170" w:lineRule="exact"/>
        <w:rPr>
          <w:sz w:val="20"/>
          <w:szCs w:val="20"/>
          <w:color w:val="auto"/>
        </w:rPr>
      </w:pPr>
    </w:p>
    <w:p>
      <w:pPr>
        <w:ind w:right="700" w:firstLine="464"/>
        <w:spacing w:after="0" w:line="277" w:lineRule="auto"/>
        <w:tabs>
          <w:tab w:leader="none" w:pos="63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herein but not otherwise defined herein shall have the meanings provided to such terms in the Credit Agreement.</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Amendments to Credit Agreement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 The Aggregate Revolving Commitments are increased from $50 million to $150 million.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2.2 Schedule 2.01 is amended to read as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17" w:lineRule="exact"/>
        <w:rPr>
          <w:sz w:val="20"/>
          <w:szCs w:val="20"/>
          <w:color w:val="auto"/>
        </w:rPr>
      </w:pPr>
    </w:p>
    <w:p>
      <w:pPr>
        <w:ind w:left="460" w:right="20"/>
        <w:spacing w:after="0" w:line="297" w:lineRule="auto"/>
        <w:rPr>
          <w:sz w:val="20"/>
          <w:szCs w:val="20"/>
          <w:color w:val="auto"/>
        </w:rPr>
      </w:pPr>
      <w:r>
        <w:rPr>
          <w:rFonts w:ascii="Arial" w:cs="Arial" w:eastAsia="Arial" w:hAnsi="Arial"/>
          <w:sz w:val="16"/>
          <w:szCs w:val="16"/>
          <w:color w:val="auto"/>
        </w:rPr>
        <w:t>2.3 Immediately after giving effect to the increase of the Aggregate Revolving Commitments contemplated herein and the amendment of the amount of each Lender’s Revolving Commitment as set forth on Exhibit A attached hereto, each Lender shall be deemed to, and hereby irrevocably and unconditionally agrees to, purchase from (x) the L/C Issuer a risk participation in each outstanding Letter of Credit in an amount equal to the product of such Lender’s Applicable Percentage times the amount of such Letter of Credit and (y) the Swing Line Lender a risk participation in each outstanding Swing Line Loan in an amount equal to the product of such Lender’s Applicable Percentage times the amount of such Swing Line Loan.</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2.4 The Credit Agreement is hereby amended by this Amendment to read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225" w:lineRule="exact"/>
        <w:rPr>
          <w:sz w:val="20"/>
          <w:szCs w:val="20"/>
          <w:color w:val="auto"/>
        </w:rPr>
      </w:pPr>
    </w:p>
    <w:p>
      <w:pPr>
        <w:ind w:right="60" w:firstLine="464"/>
        <w:spacing w:after="0" w:line="264" w:lineRule="auto"/>
        <w:tabs>
          <w:tab w:leader="none" w:pos="636"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Representation and Warranty relating to Guarantors</w:t>
      </w:r>
      <w:r>
        <w:rPr>
          <w:rFonts w:ascii="Arial" w:cs="Arial" w:eastAsia="Arial" w:hAnsi="Arial"/>
          <w:sz w:val="18"/>
          <w:szCs w:val="18"/>
          <w:color w:val="auto"/>
        </w:rPr>
        <w:t>. The Borrower represents and warrants to the Administrative Agent and each Lender that neither of La Sonrisa De Siena, L.L.C., an Arizona limited liability company, and Tierra Vista Inversiones, LLC, a Delaware limited liability company. is a Material Domestic Subsidiary as of the date hereof.</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Conditions Precedent</w:t>
      </w:r>
      <w:r>
        <w:rPr>
          <w:rFonts w:ascii="Arial" w:cs="Arial" w:eastAsia="Arial" w:hAnsi="Arial"/>
          <w:sz w:val="16"/>
          <w:szCs w:val="16"/>
          <w:color w:val="auto"/>
        </w:rPr>
        <w:t>. This Amendment shall become effective as of the date hereof upon satisfaction of each of the following conditions precedent:</w:t>
      </w:r>
    </w:p>
    <w:p>
      <w:pPr>
        <w:sectPr>
          <w:pgSz w:w="11900" w:h="16838" w:orient="portrait"/>
          <w:cols w:equalWidth="0" w:num="1">
            <w:col w:w="11420"/>
          </w:cols>
          <w:pgMar w:left="240" w:top="121" w:right="239" w:bottom="1440" w:gutter="0" w:footer="0" w:header="0"/>
        </w:sectPr>
      </w:pPr>
    </w:p>
    <w:bookmarkStart w:id="99" w:name="page100"/>
    <w:bookmarkEnd w:id="99"/>
    <w:p>
      <w:pPr>
        <w:ind w:left="456" w:right="340" w:firstLine="1"/>
        <w:spacing w:after="0" w:line="277"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Documentation</w:t>
      </w:r>
      <w:r>
        <w:rPr>
          <w:rFonts w:ascii="Arial" w:cs="Arial" w:eastAsia="Arial" w:hAnsi="Arial"/>
          <w:sz w:val="18"/>
          <w:szCs w:val="18"/>
          <w:color w:val="auto"/>
        </w:rPr>
        <w:t>. Receipt by the Administrative Agent of counterparts of this Amendment executed by the Borrower, the Guarantors, each Lender and the Administrative Agent.</w:t>
      </w:r>
    </w:p>
    <w:p>
      <w:pPr>
        <w:spacing w:after="0" w:line="62" w:lineRule="exact"/>
        <w:rPr>
          <w:rFonts w:ascii="Arial" w:cs="Arial" w:eastAsia="Arial" w:hAnsi="Arial"/>
          <w:sz w:val="18"/>
          <w:szCs w:val="18"/>
          <w:color w:val="auto"/>
        </w:rPr>
      </w:pPr>
    </w:p>
    <w:p>
      <w:pPr>
        <w:ind w:left="456" w:right="740" w:firstLine="1"/>
        <w:spacing w:after="0" w:line="342" w:lineRule="auto"/>
        <w:tabs>
          <w:tab w:leader="none" w:pos="71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Opinions of Counsel</w:t>
      </w:r>
      <w:r>
        <w:rPr>
          <w:rFonts w:ascii="Arial" w:cs="Arial" w:eastAsia="Arial" w:hAnsi="Arial"/>
          <w:sz w:val="16"/>
          <w:szCs w:val="16"/>
          <w:color w:val="auto"/>
        </w:rPr>
        <w:t>. Receipt by the Administrative Agent of favorable opinions of legal counsel to the Borrower, addressed to the Administrative Agent and each Lender, dated as of the date hereof, and in form and substance satisfactory to the Administrative Agent.</w:t>
      </w:r>
    </w:p>
    <w:p>
      <w:pPr>
        <w:spacing w:after="0" w:line="15" w:lineRule="exact"/>
        <w:rPr>
          <w:rFonts w:ascii="Arial" w:cs="Arial" w:eastAsia="Arial" w:hAnsi="Arial"/>
          <w:sz w:val="16"/>
          <w:szCs w:val="16"/>
          <w:color w:val="auto"/>
        </w:rPr>
      </w:pPr>
    </w:p>
    <w:p>
      <w:pPr>
        <w:ind w:left="456" w:right="60" w:firstLine="1"/>
        <w:spacing w:after="0" w:line="264"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Receipt by the Administrative Agent of certificate of the Borrower signed by a Responsible Officer of the Borrower certifying and attaching resolutions adopted by the board of directors (or equivalent governing body) of the Borrower approving this Amendment and the transactions contemplated hereby, in form and substance satisfactory to the Administrative Agent.</w:t>
      </w:r>
    </w:p>
    <w:p>
      <w:pPr>
        <w:spacing w:after="0" w:line="73" w:lineRule="exact"/>
        <w:rPr>
          <w:rFonts w:ascii="Arial" w:cs="Arial" w:eastAsia="Arial" w:hAnsi="Arial"/>
          <w:sz w:val="18"/>
          <w:szCs w:val="18"/>
          <w:color w:val="auto"/>
        </w:rPr>
      </w:pPr>
    </w:p>
    <w:p>
      <w:pPr>
        <w:ind w:left="456" w:right="100" w:firstLine="1"/>
        <w:spacing w:after="0" w:line="297" w:lineRule="auto"/>
        <w:tabs>
          <w:tab w:leader="none" w:pos="710"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Mortgages; Title Insurance</w:t>
      </w:r>
      <w:r>
        <w:rPr>
          <w:rFonts w:ascii="Arial" w:cs="Arial" w:eastAsia="Arial" w:hAnsi="Arial"/>
          <w:sz w:val="16"/>
          <w:szCs w:val="16"/>
          <w:color w:val="auto"/>
        </w:rPr>
        <w:t>. Receipt by the Administrative Agent of the following in each case in form and substance reasonably satisfactory to the Administrative Agent: (i) such amendments to the Mortgages requested by the Administrative Agent to cause the Mortgages to secure the maximum principal amount of Loans and Letters of Credit available under the Credit Agreement and (ii) endorsements to the mortgagee title insurance policies issued in favor of the Administrative Agent with respect to the real property Collateral to cause to such title policies to insure the maximum principal amount of Loans and Letters of Credit available under the Credit Agreement.</w:t>
      </w:r>
    </w:p>
    <w:p>
      <w:pPr>
        <w:spacing w:after="0" w:line="50" w:lineRule="exact"/>
        <w:rPr>
          <w:rFonts w:ascii="Arial" w:cs="Arial" w:eastAsia="Arial" w:hAnsi="Arial"/>
          <w:sz w:val="16"/>
          <w:szCs w:val="16"/>
          <w:color w:val="auto"/>
        </w:rPr>
      </w:pPr>
    </w:p>
    <w:p>
      <w:pPr>
        <w:ind w:left="456" w:right="40" w:firstLine="1"/>
        <w:spacing w:after="0" w:line="277" w:lineRule="auto"/>
        <w:tabs>
          <w:tab w:leader="none" w:pos="700"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Upfront Fee</w:t>
      </w:r>
      <w:r>
        <w:rPr>
          <w:rFonts w:ascii="Arial" w:cs="Arial" w:eastAsia="Arial" w:hAnsi="Arial"/>
          <w:sz w:val="18"/>
          <w:szCs w:val="18"/>
          <w:color w:val="auto"/>
        </w:rPr>
        <w:t>. Payment by the Borrower to the Administrative Agent, for the account of each Lender, of an upfront fee equal to 10 basis points (0.10%) of the amount of the increase in the Revolving Commitment of such Lender contemplated herein.</w:t>
      </w:r>
    </w:p>
    <w:p>
      <w:pPr>
        <w:spacing w:after="0" w:line="170" w:lineRule="exact"/>
        <w:rPr>
          <w:rFonts w:ascii="Arial" w:cs="Arial" w:eastAsia="Arial" w:hAnsi="Arial"/>
          <w:sz w:val="18"/>
          <w:szCs w:val="18"/>
          <w:color w:val="auto"/>
        </w:rPr>
      </w:pPr>
    </w:p>
    <w:p>
      <w:pPr>
        <w:ind w:left="-464" w:right="60" w:firstLine="464"/>
        <w:spacing w:after="0" w:line="286" w:lineRule="auto"/>
        <w:tabs>
          <w:tab w:leader="none" w:pos="172"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FATCA</w:t>
      </w:r>
      <w:r>
        <w:rPr>
          <w:rFonts w:ascii="Arial" w:cs="Arial" w:eastAsia="Arial" w:hAnsi="Arial"/>
          <w:sz w:val="17"/>
          <w:szCs w:val="17"/>
          <w:color w:val="auto"/>
        </w:rPr>
        <w:t>. For purposes of determining withholding Taxes imposed under the Foreign Account Tax Compliance Act (FATCA), from and after the effective date of the Amendment, the Borrower and the Administrative Agent shall treat (and the Lenders hereby authorize the Administrative Agent to treat) the Loan as not qualifying as a “grandfathered obligation” within the meaning of Treasury Regulation Section 1.1471-2(b)(2)(i).</w:t>
      </w:r>
    </w:p>
    <w:p>
      <w:pPr>
        <w:spacing w:after="0" w:line="165" w:lineRule="exact"/>
        <w:rPr>
          <w:rFonts w:ascii="Arial" w:cs="Arial" w:eastAsia="Arial" w:hAnsi="Arial"/>
          <w:sz w:val="17"/>
          <w:szCs w:val="17"/>
          <w:color w:val="auto"/>
        </w:rPr>
      </w:pPr>
    </w:p>
    <w:p>
      <w:pPr>
        <w:ind w:left="-464" w:firstLine="464"/>
        <w:spacing w:after="0" w:line="264" w:lineRule="auto"/>
        <w:tabs>
          <w:tab w:leader="none" w:pos="17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Amendment is a “Loan Document”</w:t>
      </w:r>
      <w:r>
        <w:rPr>
          <w:rFonts w:ascii="Arial" w:cs="Arial" w:eastAsia="Arial" w:hAnsi="Arial"/>
          <w:sz w:val="18"/>
          <w:szCs w:val="18"/>
          <w:color w:val="auto"/>
        </w:rPr>
        <w:t>. This Amendment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Amendment.</w:t>
      </w:r>
    </w:p>
    <w:p>
      <w:pPr>
        <w:spacing w:after="0" w:line="181" w:lineRule="exact"/>
        <w:rPr>
          <w:rFonts w:ascii="Arial" w:cs="Arial" w:eastAsia="Arial" w:hAnsi="Arial"/>
          <w:sz w:val="18"/>
          <w:szCs w:val="18"/>
          <w:color w:val="auto"/>
        </w:rPr>
      </w:pPr>
    </w:p>
    <w:p>
      <w:pPr>
        <w:ind w:left="-464" w:right="20" w:firstLine="464"/>
        <w:spacing w:after="0" w:line="264" w:lineRule="auto"/>
        <w:tabs>
          <w:tab w:leader="none" w:pos="17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Reaffirmation of Representations and Warranties</w:t>
      </w:r>
      <w:r>
        <w:rPr>
          <w:rFonts w:ascii="Arial" w:cs="Arial" w:eastAsia="Arial" w:hAnsi="Arial"/>
          <w:sz w:val="18"/>
          <w:szCs w:val="18"/>
          <w:color w:val="auto"/>
        </w:rPr>
        <w:t>. The Borrower represents and warrants to the Administrative Agent and each Lender that each of the representations and warranties set forth in the Loan Documents is true and correct in all material respects as of the date hereof (except those that expressly relate to an earlier period).</w:t>
      </w:r>
    </w:p>
    <w:p>
      <w:pPr>
        <w:spacing w:after="0" w:line="181" w:lineRule="exact"/>
        <w:rPr>
          <w:rFonts w:ascii="Arial" w:cs="Arial" w:eastAsia="Arial" w:hAnsi="Arial"/>
          <w:sz w:val="18"/>
          <w:szCs w:val="18"/>
          <w:color w:val="auto"/>
        </w:rPr>
      </w:pPr>
    </w:p>
    <w:p>
      <w:pPr>
        <w:ind w:left="-464" w:right="60" w:firstLine="464"/>
        <w:spacing w:after="0" w:line="264" w:lineRule="auto"/>
        <w:tabs>
          <w:tab w:leader="none" w:pos="17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Reaffirmation of Obligations</w:t>
      </w:r>
      <w:r>
        <w:rPr>
          <w:rFonts w:ascii="Arial" w:cs="Arial" w:eastAsia="Arial" w:hAnsi="Arial"/>
          <w:sz w:val="18"/>
          <w:szCs w:val="18"/>
          <w:color w:val="auto"/>
        </w:rPr>
        <w:t>. Each Loan Party (a) acknowledges and consents to all of the terms and conditions of this Amendment, (b) affirms all of its obligations under the Loan Documents and (c) agrees that this Amendment and all documents executed in connection herewith do not operate to reduce or discharge such Loan Party’s obligations under the Loan Documents.</w:t>
      </w:r>
    </w:p>
    <w:p>
      <w:pPr>
        <w:sectPr>
          <w:pgSz w:w="11900" w:h="16838" w:orient="portrait"/>
          <w:cols w:equalWidth="0" w:num="1">
            <w:col w:w="10936"/>
          </w:cols>
          <w:pgMar w:left="704" w:top="274" w:right="259" w:bottom="1440" w:gutter="0" w:footer="0" w:header="0"/>
        </w:sectPr>
      </w:pPr>
    </w:p>
    <w:bookmarkStart w:id="100" w:name="page101"/>
    <w:bookmarkEnd w:id="100"/>
    <w:p>
      <w:pPr>
        <w:ind w:left="-20" w:right="240" w:firstLine="464"/>
        <w:spacing w:after="0" w:line="264" w:lineRule="auto"/>
        <w:tabs>
          <w:tab w:leader="none" w:pos="61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Reaffirmation of Security Interests</w:t>
      </w:r>
      <w:r>
        <w:rPr>
          <w:rFonts w:ascii="Arial" w:cs="Arial" w:eastAsia="Arial" w:hAnsi="Arial"/>
          <w:sz w:val="18"/>
          <w:szCs w:val="18"/>
          <w:color w:val="auto"/>
        </w:rPr>
        <w:t>. Each Loan Party (a) affirms that each of the Liens granted in or pursuant to the Loan Documents are valid and subsisting and (b) agrees that this Amendment shall in no manner impair or otherwise adversely affect any of the Liens granted in or pursuant to the Loan Documents.</w:t>
      </w:r>
    </w:p>
    <w:p>
      <w:pPr>
        <w:spacing w:after="0" w:line="181" w:lineRule="exact"/>
        <w:rPr>
          <w:rFonts w:ascii="Arial" w:cs="Arial" w:eastAsia="Arial" w:hAnsi="Arial"/>
          <w:sz w:val="18"/>
          <w:szCs w:val="18"/>
          <w:color w:val="auto"/>
        </w:rPr>
      </w:pPr>
    </w:p>
    <w:p>
      <w:pPr>
        <w:ind w:left="720" w:hanging="276"/>
        <w:spacing w:after="0"/>
        <w:tabs>
          <w:tab w:leader="none" w:pos="72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No Other Changes</w:t>
      </w:r>
      <w:r>
        <w:rPr>
          <w:rFonts w:ascii="Arial" w:cs="Arial" w:eastAsia="Arial" w:hAnsi="Arial"/>
          <w:sz w:val="17"/>
          <w:szCs w:val="17"/>
          <w:color w:val="auto"/>
        </w:rPr>
        <w:t>. Except as modified hereby, all of the terms and provisions of the Loan Documents shall remain in full force and effect.</w:t>
      </w:r>
    </w:p>
    <w:p>
      <w:pPr>
        <w:spacing w:after="0" w:line="236" w:lineRule="exact"/>
        <w:rPr>
          <w:rFonts w:ascii="Arial" w:cs="Arial" w:eastAsia="Arial" w:hAnsi="Arial"/>
          <w:sz w:val="17"/>
          <w:szCs w:val="17"/>
          <w:color w:val="auto"/>
        </w:rPr>
      </w:pPr>
    </w:p>
    <w:p>
      <w:pPr>
        <w:jc w:val="both"/>
        <w:ind w:left="-20" w:right="60" w:firstLine="464"/>
        <w:spacing w:after="0" w:line="264" w:lineRule="auto"/>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Counterparts; Delivery</w:t>
      </w:r>
      <w:r>
        <w:rPr>
          <w:rFonts w:ascii="Arial" w:cs="Arial" w:eastAsia="Arial" w:hAnsi="Arial"/>
          <w:sz w:val="18"/>
          <w:szCs w:val="18"/>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this Amendment by facsimile or other electronic imaging means shall be effective as an original.</w:t>
      </w:r>
    </w:p>
    <w:p>
      <w:pPr>
        <w:spacing w:after="0" w:line="181" w:lineRule="exact"/>
        <w:rPr>
          <w:rFonts w:ascii="Arial" w:cs="Arial" w:eastAsia="Arial" w:hAnsi="Arial"/>
          <w:sz w:val="18"/>
          <w:szCs w:val="18"/>
          <w:color w:val="auto"/>
        </w:rPr>
      </w:pPr>
    </w:p>
    <w:p>
      <w:pPr>
        <w:ind w:left="-20" w:firstLine="464"/>
        <w:spacing w:after="0" w:line="277" w:lineRule="auto"/>
        <w:tabs>
          <w:tab w:leader="none" w:pos="70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deemed to be a contract made under, and for all purposes shall be construed in accordance with, the laws of the State of New York.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1380"/>
          </w:cols>
          <w:pgMar w:left="260" w:top="274" w:right="25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i w:val="1"/>
          <w:iCs w:val="1"/>
          <w:color w:val="auto"/>
        </w:rPr>
        <w:t>,</w:t>
      </w:r>
      <w:r>
        <w:rPr>
          <w:rFonts w:ascii="Arial" w:cs="Arial" w:eastAsia="Arial" w:hAnsi="Arial"/>
          <w:sz w:val="16"/>
          <w:szCs w:val="16"/>
          <w:color w:val="auto"/>
        </w:rPr>
        <w:t xml:space="preserve"> the parties hereto have caused this First Amendment to be duly executed as of the date first above written.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r>
              <w:rPr>
                <w:rFonts w:ascii="Arial" w:cs="Arial" w:eastAsia="Arial" w:hAnsi="Arial"/>
                <w:sz w:val="18"/>
                <w:szCs w:val="18"/>
                <w:color w:val="auto"/>
              </w:rPr>
              <w:t>BORROWER:</w:t>
            </w:r>
          </w:p>
        </w:tc>
        <w:tc>
          <w:tcPr>
            <w:tcW w:w="5660" w:type="dxa"/>
            <w:vAlign w:val="bottom"/>
            <w:gridSpan w:val="3"/>
          </w:tcPr>
          <w:p>
            <w:pPr>
              <w:ind w:left="900"/>
              <w:spacing w:after="0"/>
              <w:rPr>
                <w:sz w:val="20"/>
                <w:szCs w:val="20"/>
                <w:color w:val="auto"/>
              </w:rPr>
            </w:pPr>
            <w:r>
              <w:rPr>
                <w:rFonts w:ascii="Arial" w:cs="Arial" w:eastAsia="Arial" w:hAnsi="Arial"/>
                <w:sz w:val="18"/>
                <w:szCs w:val="18"/>
                <w:color w:val="auto"/>
                <w:w w:val="94"/>
              </w:rPr>
              <w:t>GRAND CANYON EDUCATION, INC., a Delaware corporation</w:t>
            </w:r>
          </w:p>
        </w:tc>
      </w:tr>
      <w:tr>
        <w:trPr>
          <w:trHeight w:val="432"/>
        </w:trPr>
        <w:tc>
          <w:tcPr>
            <w:tcW w:w="1960" w:type="dxa"/>
            <w:vAlign w:val="bottom"/>
          </w:tcPr>
          <w:p>
            <w:pPr>
              <w:spacing w:after="0"/>
              <w:rPr>
                <w:sz w:val="24"/>
                <w:szCs w:val="24"/>
                <w:color w:val="auto"/>
              </w:rPr>
            </w:pPr>
          </w:p>
        </w:tc>
        <w:tc>
          <w:tcPr>
            <w:tcW w:w="1500" w:type="dxa"/>
            <w:vAlign w:val="bottom"/>
          </w:tcPr>
          <w:p>
            <w:pPr>
              <w:ind w:left="900"/>
              <w:spacing w:after="0"/>
              <w:rPr>
                <w:sz w:val="20"/>
                <w:szCs w:val="20"/>
                <w:color w:val="auto"/>
              </w:rPr>
            </w:pPr>
            <w:r>
              <w:rPr>
                <w:rFonts w:ascii="Arial" w:cs="Arial" w:eastAsia="Arial" w:hAnsi="Arial"/>
                <w:sz w:val="18"/>
                <w:szCs w:val="18"/>
                <w:color w:val="auto"/>
              </w:rPr>
              <w:t>By:</w:t>
            </w:r>
          </w:p>
        </w:tc>
        <w:tc>
          <w:tcPr>
            <w:tcW w:w="4160" w:type="dxa"/>
            <w:vAlign w:val="bottom"/>
            <w:gridSpan w:val="2"/>
          </w:tcPr>
          <w:p>
            <w:pPr>
              <w:spacing w:after="0"/>
              <w:rPr>
                <w:sz w:val="20"/>
                <w:szCs w:val="20"/>
                <w:color w:val="auto"/>
              </w:rPr>
            </w:pPr>
            <w:r>
              <w:rPr>
                <w:rFonts w:ascii="Arial" w:cs="Arial" w:eastAsia="Arial" w:hAnsi="Arial"/>
                <w:sz w:val="18"/>
                <w:szCs w:val="18"/>
                <w:color w:val="auto"/>
              </w:rPr>
              <w:t>/s/ Dan Bachus</w:t>
            </w:r>
          </w:p>
        </w:tc>
      </w:tr>
      <w:tr>
        <w:trPr>
          <w:trHeight w:val="209"/>
        </w:trPr>
        <w:tc>
          <w:tcPr>
            <w:tcW w:w="1960" w:type="dxa"/>
            <w:vAlign w:val="bottom"/>
          </w:tcPr>
          <w:p>
            <w:pPr>
              <w:spacing w:after="0"/>
              <w:rPr>
                <w:sz w:val="18"/>
                <w:szCs w:val="18"/>
                <w:color w:val="auto"/>
              </w:rPr>
            </w:pPr>
          </w:p>
        </w:tc>
        <w:tc>
          <w:tcPr>
            <w:tcW w:w="1500" w:type="dxa"/>
            <w:vAlign w:val="bottom"/>
          </w:tcPr>
          <w:p>
            <w:pPr>
              <w:ind w:left="900"/>
              <w:spacing w:after="0"/>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 Bachus</w:t>
            </w:r>
          </w:p>
        </w:tc>
        <w:tc>
          <w:tcPr>
            <w:tcW w:w="18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1500" w:type="dxa"/>
            <w:vAlign w:val="bottom"/>
          </w:tcPr>
          <w:p>
            <w:pPr>
              <w:ind w:left="900"/>
              <w:spacing w:after="0"/>
              <w:rPr>
                <w:sz w:val="20"/>
                <w:szCs w:val="20"/>
                <w:color w:val="auto"/>
              </w:rPr>
            </w:pPr>
            <w:r>
              <w:rPr>
                <w:rFonts w:ascii="Arial" w:cs="Arial" w:eastAsia="Arial" w:hAnsi="Arial"/>
                <w:sz w:val="18"/>
                <w:szCs w:val="18"/>
                <w:color w:val="auto"/>
              </w:rPr>
              <w:t>Title:</w:t>
            </w:r>
          </w:p>
        </w:tc>
        <w:tc>
          <w:tcPr>
            <w:tcW w:w="41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0219"/>
          </w:cols>
          <w:pgMar w:left="240" w:top="274"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GUARANTORS:</w:t>
            </w:r>
          </w:p>
        </w:tc>
        <w:tc>
          <w:tcPr>
            <w:tcW w:w="6420" w:type="dxa"/>
            <w:vAlign w:val="bottom"/>
            <w:gridSpan w:val="3"/>
          </w:tcPr>
          <w:p>
            <w:pPr>
              <w:ind w:left="780"/>
              <w:spacing w:after="0"/>
              <w:rPr>
                <w:sz w:val="20"/>
                <w:szCs w:val="20"/>
                <w:color w:val="auto"/>
              </w:rPr>
            </w:pPr>
            <w:r>
              <w:rPr>
                <w:rFonts w:ascii="Arial" w:cs="Arial" w:eastAsia="Arial" w:hAnsi="Arial"/>
                <w:sz w:val="18"/>
                <w:szCs w:val="18"/>
                <w:color w:val="auto"/>
              </w:rPr>
              <w:t>LA SONRISA DE SIENA, L.L.C., an Arizona limited liability company</w:t>
            </w:r>
          </w:p>
        </w:tc>
      </w:tr>
      <w:tr>
        <w:trPr>
          <w:trHeight w:val="432"/>
        </w:trPr>
        <w:tc>
          <w:tcPr>
            <w:tcW w:w="2080" w:type="dxa"/>
            <w:vAlign w:val="bottom"/>
          </w:tcPr>
          <w:p>
            <w:pPr>
              <w:spacing w:after="0"/>
              <w:rPr>
                <w:sz w:val="24"/>
                <w:szCs w:val="24"/>
                <w:color w:val="auto"/>
              </w:rPr>
            </w:pPr>
          </w:p>
        </w:tc>
        <w:tc>
          <w:tcPr>
            <w:tcW w:w="1380" w:type="dxa"/>
            <w:vAlign w:val="bottom"/>
          </w:tcPr>
          <w:p>
            <w:pPr>
              <w:ind w:left="780"/>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/s/ Dan Bachus</w:t>
            </w:r>
          </w:p>
        </w:tc>
      </w:tr>
      <w:tr>
        <w:trPr>
          <w:trHeight w:val="209"/>
        </w:trPr>
        <w:tc>
          <w:tcPr>
            <w:tcW w:w="2080" w:type="dxa"/>
            <w:vAlign w:val="bottom"/>
          </w:tcPr>
          <w:p>
            <w:pPr>
              <w:spacing w:after="0"/>
              <w:rPr>
                <w:sz w:val="18"/>
                <w:szCs w:val="18"/>
                <w:color w:val="auto"/>
              </w:rPr>
            </w:pPr>
          </w:p>
        </w:tc>
        <w:tc>
          <w:tcPr>
            <w:tcW w:w="1380" w:type="dxa"/>
            <w:vAlign w:val="bottom"/>
          </w:tcPr>
          <w:p>
            <w:pPr>
              <w:ind w:left="780"/>
              <w:spacing w:after="0"/>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 Bachus</w:t>
            </w:r>
          </w:p>
        </w:tc>
        <w:tc>
          <w:tcPr>
            <w:tcW w:w="1060" w:type="dxa"/>
            <w:vAlign w:val="bottom"/>
          </w:tcPr>
          <w:p>
            <w:pPr>
              <w:spacing w:after="0"/>
              <w:rPr>
                <w:sz w:val="18"/>
                <w:szCs w:val="18"/>
                <w:color w:val="auto"/>
              </w:rPr>
            </w:pPr>
          </w:p>
        </w:tc>
      </w:tr>
      <w:tr>
        <w:trPr>
          <w:trHeight w:val="230"/>
        </w:trPr>
        <w:tc>
          <w:tcPr>
            <w:tcW w:w="2080" w:type="dxa"/>
            <w:vAlign w:val="bottom"/>
          </w:tcPr>
          <w:p>
            <w:pPr>
              <w:spacing w:after="0"/>
              <w:rPr>
                <w:sz w:val="20"/>
                <w:szCs w:val="20"/>
                <w:color w:val="auto"/>
              </w:rPr>
            </w:pPr>
          </w:p>
        </w:tc>
        <w:tc>
          <w:tcPr>
            <w:tcW w:w="1380" w:type="dxa"/>
            <w:vAlign w:val="bottom"/>
          </w:tcPr>
          <w:p>
            <w:pPr>
              <w:ind w:left="780"/>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540"/>
        </w:trPr>
        <w:tc>
          <w:tcPr>
            <w:tcW w:w="2080" w:type="dxa"/>
            <w:vAlign w:val="bottom"/>
          </w:tcPr>
          <w:p>
            <w:pPr>
              <w:spacing w:after="0"/>
              <w:rPr>
                <w:sz w:val="24"/>
                <w:szCs w:val="24"/>
                <w:color w:val="auto"/>
              </w:rPr>
            </w:pPr>
          </w:p>
        </w:tc>
        <w:tc>
          <w:tcPr>
            <w:tcW w:w="6420" w:type="dxa"/>
            <w:vAlign w:val="bottom"/>
            <w:gridSpan w:val="3"/>
          </w:tcPr>
          <w:p>
            <w:pPr>
              <w:ind w:left="780"/>
              <w:spacing w:after="0"/>
              <w:rPr>
                <w:sz w:val="20"/>
                <w:szCs w:val="20"/>
                <w:color w:val="auto"/>
              </w:rPr>
            </w:pPr>
            <w:r>
              <w:rPr>
                <w:rFonts w:ascii="Arial" w:cs="Arial" w:eastAsia="Arial" w:hAnsi="Arial"/>
                <w:sz w:val="18"/>
                <w:szCs w:val="18"/>
                <w:color w:val="auto"/>
                <w:w w:val="95"/>
              </w:rPr>
              <w:t>TIERRA VISTA INVERSIONES, LLC, a Delaware limited liability company</w:t>
            </w:r>
          </w:p>
        </w:tc>
      </w:tr>
      <w:tr>
        <w:trPr>
          <w:trHeight w:val="432"/>
        </w:trPr>
        <w:tc>
          <w:tcPr>
            <w:tcW w:w="2080" w:type="dxa"/>
            <w:vAlign w:val="bottom"/>
          </w:tcPr>
          <w:p>
            <w:pPr>
              <w:spacing w:after="0"/>
              <w:rPr>
                <w:sz w:val="24"/>
                <w:szCs w:val="24"/>
                <w:color w:val="auto"/>
              </w:rPr>
            </w:pPr>
          </w:p>
        </w:tc>
        <w:tc>
          <w:tcPr>
            <w:tcW w:w="1380" w:type="dxa"/>
            <w:vAlign w:val="bottom"/>
          </w:tcPr>
          <w:p>
            <w:pPr>
              <w:ind w:left="780"/>
              <w:spacing w:after="0"/>
              <w:rPr>
                <w:sz w:val="20"/>
                <w:szCs w:val="20"/>
                <w:color w:val="auto"/>
              </w:rPr>
            </w:pPr>
            <w:r>
              <w:rPr>
                <w:rFonts w:ascii="Arial" w:cs="Arial" w:eastAsia="Arial" w:hAnsi="Arial"/>
                <w:sz w:val="18"/>
                <w:szCs w:val="18"/>
                <w:color w:val="auto"/>
              </w:rPr>
              <w:t>By:</w:t>
            </w:r>
          </w:p>
        </w:tc>
        <w:tc>
          <w:tcPr>
            <w:tcW w:w="5040" w:type="dxa"/>
            <w:vAlign w:val="bottom"/>
            <w:gridSpan w:val="2"/>
          </w:tcPr>
          <w:p>
            <w:pPr>
              <w:spacing w:after="0"/>
              <w:rPr>
                <w:sz w:val="20"/>
                <w:szCs w:val="20"/>
                <w:color w:val="auto"/>
              </w:rPr>
            </w:pPr>
            <w:r>
              <w:rPr>
                <w:rFonts w:ascii="Arial" w:cs="Arial" w:eastAsia="Arial" w:hAnsi="Arial"/>
                <w:sz w:val="18"/>
                <w:szCs w:val="18"/>
                <w:color w:val="auto"/>
              </w:rPr>
              <w:t>/s/ Dan Bachus</w:t>
            </w:r>
          </w:p>
        </w:tc>
      </w:tr>
      <w:tr>
        <w:trPr>
          <w:trHeight w:val="209"/>
        </w:trPr>
        <w:tc>
          <w:tcPr>
            <w:tcW w:w="2080" w:type="dxa"/>
            <w:vAlign w:val="bottom"/>
          </w:tcPr>
          <w:p>
            <w:pPr>
              <w:spacing w:after="0"/>
              <w:rPr>
                <w:sz w:val="18"/>
                <w:szCs w:val="18"/>
                <w:color w:val="auto"/>
              </w:rPr>
            </w:pPr>
          </w:p>
        </w:tc>
        <w:tc>
          <w:tcPr>
            <w:tcW w:w="1380" w:type="dxa"/>
            <w:vAlign w:val="bottom"/>
          </w:tcPr>
          <w:p>
            <w:pPr>
              <w:ind w:left="780"/>
              <w:spacing w:after="0"/>
              <w:rPr>
                <w:sz w:val="20"/>
                <w:szCs w:val="20"/>
                <w:color w:val="auto"/>
              </w:rPr>
            </w:pPr>
            <w:r>
              <w:rPr>
                <w:rFonts w:ascii="Arial" w:cs="Arial" w:eastAsia="Arial" w:hAnsi="Arial"/>
                <w:sz w:val="18"/>
                <w:szCs w:val="18"/>
                <w:color w:val="auto"/>
              </w:rPr>
              <w:t>Name:</w:t>
            </w: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Dan Bachus</w:t>
            </w:r>
          </w:p>
        </w:tc>
        <w:tc>
          <w:tcPr>
            <w:tcW w:w="1060" w:type="dxa"/>
            <w:vAlign w:val="bottom"/>
          </w:tcPr>
          <w:p>
            <w:pPr>
              <w:spacing w:after="0"/>
              <w:rPr>
                <w:sz w:val="18"/>
                <w:szCs w:val="18"/>
                <w:color w:val="auto"/>
              </w:rPr>
            </w:pPr>
          </w:p>
        </w:tc>
      </w:tr>
      <w:tr>
        <w:trPr>
          <w:trHeight w:val="230"/>
        </w:trPr>
        <w:tc>
          <w:tcPr>
            <w:tcW w:w="2080" w:type="dxa"/>
            <w:vAlign w:val="bottom"/>
          </w:tcPr>
          <w:p>
            <w:pPr>
              <w:spacing w:after="0"/>
              <w:rPr>
                <w:sz w:val="20"/>
                <w:szCs w:val="20"/>
                <w:color w:val="auto"/>
              </w:rPr>
            </w:pPr>
          </w:p>
        </w:tc>
        <w:tc>
          <w:tcPr>
            <w:tcW w:w="1380" w:type="dxa"/>
            <w:vAlign w:val="bottom"/>
          </w:tcPr>
          <w:p>
            <w:pPr>
              <w:ind w:left="780"/>
              <w:spacing w:after="0"/>
              <w:rPr>
                <w:sz w:val="20"/>
                <w:szCs w:val="20"/>
                <w:color w:val="auto"/>
              </w:rPr>
            </w:pPr>
            <w:r>
              <w:rPr>
                <w:rFonts w:ascii="Arial" w:cs="Arial" w:eastAsia="Arial" w:hAnsi="Arial"/>
                <w:sz w:val="18"/>
                <w:szCs w:val="18"/>
                <w:color w:val="auto"/>
              </w:rPr>
              <w:t>Title:</w:t>
            </w:r>
          </w:p>
        </w:tc>
        <w:tc>
          <w:tcPr>
            <w:tcW w:w="50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60"/>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0219"/>
          </w:cols>
          <w:pgMar w:left="240" w:top="274" w:right="1440"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sz w:val="20"/>
                <w:szCs w:val="20"/>
                <w:color w:val="auto"/>
              </w:rPr>
            </w:pPr>
            <w:r>
              <w:rPr>
                <w:rFonts w:ascii="Arial" w:cs="Arial" w:eastAsia="Arial" w:hAnsi="Arial"/>
                <w:sz w:val="18"/>
                <w:szCs w:val="18"/>
                <w:color w:val="auto"/>
              </w:rPr>
              <w:t>ADMINISTRATIVE AGENT:</w:t>
            </w:r>
          </w:p>
        </w:tc>
        <w:tc>
          <w:tcPr>
            <w:tcW w:w="4900" w:type="dxa"/>
            <w:vAlign w:val="bottom"/>
            <w:gridSpan w:val="2"/>
          </w:tcPr>
          <w:p>
            <w:pPr>
              <w:ind w:left="320"/>
              <w:spacing w:after="0"/>
              <w:rPr>
                <w:sz w:val="20"/>
                <w:szCs w:val="20"/>
                <w:color w:val="auto"/>
              </w:rPr>
            </w:pPr>
            <w:r>
              <w:rPr>
                <w:rFonts w:ascii="Arial" w:cs="Arial" w:eastAsia="Arial" w:hAnsi="Arial"/>
                <w:sz w:val="18"/>
                <w:szCs w:val="18"/>
                <w:color w:val="auto"/>
              </w:rPr>
              <w:t>BANK OF AMERICA, N.A., as Administrative Agent</w:t>
            </w:r>
          </w:p>
        </w:tc>
      </w:tr>
      <w:tr>
        <w:trPr>
          <w:trHeight w:val="432"/>
        </w:trPr>
        <w:tc>
          <w:tcPr>
            <w:tcW w:w="254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Tebelman</w:t>
            </w:r>
          </w:p>
        </w:tc>
      </w:tr>
      <w:tr>
        <w:trPr>
          <w:trHeight w:val="209"/>
        </w:trPr>
        <w:tc>
          <w:tcPr>
            <w:tcW w:w="254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Kenneth Tebelman</w:t>
            </w:r>
          </w:p>
        </w:tc>
      </w:tr>
      <w:tr>
        <w:trPr>
          <w:trHeight w:val="230"/>
        </w:trPr>
        <w:tc>
          <w:tcPr>
            <w:tcW w:w="2540" w:type="dxa"/>
            <w:vAlign w:val="bottom"/>
          </w:tcPr>
          <w:p>
            <w:pPr>
              <w:spacing w:after="0"/>
              <w:rPr>
                <w:sz w:val="20"/>
                <w:szCs w:val="20"/>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418"/>
        </w:trPr>
        <w:tc>
          <w:tcPr>
            <w:tcW w:w="2540" w:type="dxa"/>
            <w:vAlign w:val="bottom"/>
          </w:tcPr>
          <w:p>
            <w:pPr>
              <w:spacing w:after="0"/>
              <w:rPr>
                <w:sz w:val="20"/>
                <w:szCs w:val="20"/>
                <w:color w:val="auto"/>
              </w:rPr>
            </w:pPr>
            <w:r>
              <w:rPr>
                <w:rFonts w:ascii="Arial" w:cs="Arial" w:eastAsia="Arial" w:hAnsi="Arial"/>
                <w:sz w:val="18"/>
                <w:szCs w:val="18"/>
                <w:color w:val="auto"/>
              </w:rPr>
              <w:t>LENDERS:</w:t>
            </w:r>
          </w:p>
        </w:tc>
        <w:tc>
          <w:tcPr>
            <w:tcW w:w="4900" w:type="dxa"/>
            <w:vAlign w:val="bottom"/>
            <w:gridSpan w:val="2"/>
          </w:tcPr>
          <w:p>
            <w:pPr>
              <w:ind w:left="320"/>
              <w:spacing w:after="0"/>
              <w:rPr>
                <w:sz w:val="20"/>
                <w:szCs w:val="20"/>
                <w:color w:val="auto"/>
              </w:rPr>
            </w:pPr>
            <w:r>
              <w:rPr>
                <w:rFonts w:ascii="Arial" w:cs="Arial" w:eastAsia="Arial" w:hAnsi="Arial"/>
                <w:sz w:val="18"/>
                <w:szCs w:val="18"/>
                <w:color w:val="auto"/>
              </w:rPr>
              <w:t>BANK OF AMERICA, N.A.,</w:t>
            </w:r>
          </w:p>
        </w:tc>
      </w:tr>
      <w:tr>
        <w:trPr>
          <w:trHeight w:val="230"/>
        </w:trPr>
        <w:tc>
          <w:tcPr>
            <w:tcW w:w="2540" w:type="dxa"/>
            <w:vAlign w:val="bottom"/>
          </w:tcPr>
          <w:p>
            <w:pPr>
              <w:spacing w:after="0"/>
              <w:rPr>
                <w:sz w:val="20"/>
                <w:szCs w:val="20"/>
                <w:color w:val="auto"/>
              </w:rPr>
            </w:pPr>
          </w:p>
        </w:tc>
        <w:tc>
          <w:tcPr>
            <w:tcW w:w="4900" w:type="dxa"/>
            <w:vAlign w:val="bottom"/>
            <w:gridSpan w:val="2"/>
          </w:tcPr>
          <w:p>
            <w:pPr>
              <w:ind w:left="320"/>
              <w:spacing w:after="0"/>
              <w:rPr>
                <w:sz w:val="20"/>
                <w:szCs w:val="20"/>
                <w:color w:val="auto"/>
              </w:rPr>
            </w:pPr>
            <w:r>
              <w:rPr>
                <w:rFonts w:ascii="Arial" w:cs="Arial" w:eastAsia="Arial" w:hAnsi="Arial"/>
                <w:sz w:val="18"/>
                <w:szCs w:val="18"/>
                <w:color w:val="auto"/>
              </w:rPr>
              <w:t>as a Lender, L/C Issuer and Swing Line Lender</w:t>
            </w:r>
          </w:p>
        </w:tc>
      </w:tr>
      <w:tr>
        <w:trPr>
          <w:trHeight w:val="432"/>
        </w:trPr>
        <w:tc>
          <w:tcPr>
            <w:tcW w:w="254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Tebelman</w:t>
            </w:r>
          </w:p>
        </w:tc>
      </w:tr>
      <w:tr>
        <w:trPr>
          <w:trHeight w:val="209"/>
        </w:trPr>
        <w:tc>
          <w:tcPr>
            <w:tcW w:w="254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Kenneth Tebelman</w:t>
            </w:r>
          </w:p>
        </w:tc>
      </w:tr>
      <w:tr>
        <w:trPr>
          <w:trHeight w:val="230"/>
        </w:trPr>
        <w:tc>
          <w:tcPr>
            <w:tcW w:w="2540" w:type="dxa"/>
            <w:vAlign w:val="bottom"/>
          </w:tcPr>
          <w:p>
            <w:pPr>
              <w:spacing w:after="0"/>
              <w:rPr>
                <w:sz w:val="20"/>
                <w:szCs w:val="20"/>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540"/>
        </w:trPr>
        <w:tc>
          <w:tcPr>
            <w:tcW w:w="2540" w:type="dxa"/>
            <w:vAlign w:val="bottom"/>
          </w:tcPr>
          <w:p>
            <w:pPr>
              <w:spacing w:after="0"/>
              <w:rPr>
                <w:sz w:val="24"/>
                <w:szCs w:val="24"/>
                <w:color w:val="auto"/>
              </w:rPr>
            </w:pPr>
          </w:p>
        </w:tc>
        <w:tc>
          <w:tcPr>
            <w:tcW w:w="4900" w:type="dxa"/>
            <w:vAlign w:val="bottom"/>
            <w:gridSpan w:val="2"/>
          </w:tcPr>
          <w:p>
            <w:pPr>
              <w:ind w:left="320"/>
              <w:spacing w:after="0"/>
              <w:rPr>
                <w:sz w:val="20"/>
                <w:szCs w:val="20"/>
                <w:color w:val="auto"/>
              </w:rPr>
            </w:pPr>
            <w:r>
              <w:rPr>
                <w:rFonts w:ascii="Arial" w:cs="Arial" w:eastAsia="Arial" w:hAnsi="Arial"/>
                <w:sz w:val="18"/>
                <w:szCs w:val="18"/>
                <w:color w:val="auto"/>
              </w:rPr>
              <w:t>WELLS FARGO BANK, NATIONAL ASSOCIATION</w:t>
            </w:r>
          </w:p>
        </w:tc>
      </w:tr>
      <w:tr>
        <w:trPr>
          <w:trHeight w:val="432"/>
        </w:trPr>
        <w:tc>
          <w:tcPr>
            <w:tcW w:w="254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Jorgensen</w:t>
            </w:r>
          </w:p>
        </w:tc>
      </w:tr>
      <w:tr>
        <w:trPr>
          <w:trHeight w:val="209"/>
        </w:trPr>
        <w:tc>
          <w:tcPr>
            <w:tcW w:w="254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Douglas Jorgensen</w:t>
            </w:r>
          </w:p>
        </w:tc>
      </w:tr>
      <w:tr>
        <w:trPr>
          <w:trHeight w:val="230"/>
        </w:trPr>
        <w:tc>
          <w:tcPr>
            <w:tcW w:w="2540" w:type="dxa"/>
            <w:vAlign w:val="bottom"/>
          </w:tcPr>
          <w:p>
            <w:pPr>
              <w:spacing w:after="0"/>
              <w:rPr>
                <w:sz w:val="20"/>
                <w:szCs w:val="20"/>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540"/>
        </w:trPr>
        <w:tc>
          <w:tcPr>
            <w:tcW w:w="2540" w:type="dxa"/>
            <w:vAlign w:val="bottom"/>
          </w:tcPr>
          <w:p>
            <w:pPr>
              <w:spacing w:after="0"/>
              <w:rPr>
                <w:sz w:val="24"/>
                <w:szCs w:val="24"/>
                <w:color w:val="auto"/>
              </w:rPr>
            </w:pPr>
          </w:p>
        </w:tc>
        <w:tc>
          <w:tcPr>
            <w:tcW w:w="4900" w:type="dxa"/>
            <w:vAlign w:val="bottom"/>
            <w:gridSpan w:val="2"/>
          </w:tcPr>
          <w:p>
            <w:pPr>
              <w:ind w:left="320"/>
              <w:spacing w:after="0"/>
              <w:rPr>
                <w:sz w:val="20"/>
                <w:szCs w:val="20"/>
                <w:color w:val="auto"/>
              </w:rPr>
            </w:pPr>
            <w:r>
              <w:rPr>
                <w:rFonts w:ascii="Arial" w:cs="Arial" w:eastAsia="Arial" w:hAnsi="Arial"/>
                <w:sz w:val="18"/>
                <w:szCs w:val="18"/>
                <w:color w:val="auto"/>
              </w:rPr>
              <w:t>BOKF, NA d/b/a BANK OF ARIZONA</w:t>
            </w:r>
          </w:p>
        </w:tc>
      </w:tr>
      <w:tr>
        <w:trPr>
          <w:trHeight w:val="432"/>
        </w:trPr>
        <w:tc>
          <w:tcPr>
            <w:tcW w:w="2540" w:type="dxa"/>
            <w:vAlign w:val="bottom"/>
          </w:tcPr>
          <w:p>
            <w:pPr>
              <w:spacing w:after="0"/>
              <w:rPr>
                <w:sz w:val="24"/>
                <w:szCs w:val="24"/>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C. Luttrell</w:t>
            </w:r>
          </w:p>
        </w:tc>
      </w:tr>
      <w:tr>
        <w:trPr>
          <w:trHeight w:val="209"/>
        </w:trPr>
        <w:tc>
          <w:tcPr>
            <w:tcW w:w="2540" w:type="dxa"/>
            <w:vAlign w:val="bottom"/>
          </w:tcPr>
          <w:p>
            <w:pPr>
              <w:spacing w:after="0"/>
              <w:rPr>
                <w:sz w:val="18"/>
                <w:szCs w:val="18"/>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Stephen C. Luttrell</w:t>
            </w:r>
          </w:p>
        </w:tc>
      </w:tr>
      <w:tr>
        <w:trPr>
          <w:trHeight w:val="230"/>
        </w:trPr>
        <w:tc>
          <w:tcPr>
            <w:tcW w:w="2540" w:type="dxa"/>
            <w:vAlign w:val="bottom"/>
          </w:tcPr>
          <w:p>
            <w:pPr>
              <w:spacing w:after="0"/>
              <w:rPr>
                <w:sz w:val="20"/>
                <w:szCs w:val="20"/>
                <w:color w:val="auto"/>
              </w:rPr>
            </w:pPr>
          </w:p>
        </w:tc>
        <w:tc>
          <w:tcPr>
            <w:tcW w:w="920" w:type="dxa"/>
            <w:vAlign w:val="bottom"/>
          </w:tcPr>
          <w:p>
            <w:pPr>
              <w:ind w:left="3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ind w:right="2499"/>
        <w:spacing w:after="0"/>
        <w:rPr>
          <w:sz w:val="20"/>
          <w:szCs w:val="20"/>
          <w:color w:val="auto"/>
        </w:rPr>
      </w:pPr>
      <w:r>
        <w:rPr>
          <w:rFonts w:ascii="Arial" w:cs="Arial" w:eastAsia="Arial" w:hAnsi="Arial"/>
          <w:sz w:val="18"/>
          <w:szCs w:val="18"/>
          <w:color w:val="auto"/>
        </w:rPr>
        <w:t>NATIONAL BANK OF ARIZONA, a national banking association</w:t>
      </w:r>
    </w:p>
    <w:p>
      <w:pPr>
        <w:spacing w:after="0" w:line="225" w:lineRule="exact"/>
        <w:rPr>
          <w:sz w:val="20"/>
          <w:szCs w:val="20"/>
          <w:color w:val="auto"/>
        </w:rPr>
      </w:pPr>
    </w:p>
    <w:tbl>
      <w:tblPr>
        <w:tblLayout w:type="fixed"/>
        <w:tblInd w:w="28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J Naquin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Gary J Naquin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0219"/>
          </w:cols>
          <w:pgMar w:left="240" w:top="274"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Schedule 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COMMITMENTS AND APPLICABLE PERCENTAGES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Revolving</w:t>
            </w: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Revolving</w:t>
            </w:r>
          </w:p>
        </w:tc>
        <w:tc>
          <w:tcPr>
            <w:tcW w:w="10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Term Loan</w:t>
            </w: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Term Loan</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color w:val="auto"/>
                <w:w w:val="91"/>
              </w:rPr>
              <w:t>Lender</w:t>
            </w:r>
          </w:p>
        </w:tc>
        <w:tc>
          <w:tcPr>
            <w:tcW w:w="3700" w:type="dxa"/>
            <w:vAlign w:val="bottom"/>
            <w:vMerge w:val="restart"/>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Commitment</w:t>
            </w:r>
          </w:p>
        </w:tc>
        <w:tc>
          <w:tcPr>
            <w:tcW w:w="160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Commitment</w:t>
            </w:r>
          </w:p>
        </w:tc>
        <w:tc>
          <w:tcPr>
            <w:tcW w:w="10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Commitment</w:t>
            </w: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Commitment</w:t>
            </w:r>
          </w:p>
        </w:tc>
        <w:tc>
          <w:tcPr>
            <w:tcW w:w="0" w:type="dxa"/>
            <w:vAlign w:val="bottom"/>
          </w:tcPr>
          <w:p>
            <w:pPr>
              <w:spacing w:after="0"/>
              <w:rPr>
                <w:sz w:val="1"/>
                <w:szCs w:val="1"/>
                <w:color w:val="auto"/>
              </w:rPr>
            </w:pPr>
          </w:p>
        </w:tc>
      </w:tr>
      <w:tr>
        <w:trPr>
          <w:trHeight w:val="174"/>
        </w:trPr>
        <w:tc>
          <w:tcPr>
            <w:tcW w:w="420" w:type="dxa"/>
            <w:vAlign w:val="bottom"/>
            <w:tcBorders>
              <w:bottom w:val="single" w:sz="8" w:color="auto"/>
            </w:tcBorders>
            <w:vMerge w:val="continue"/>
          </w:tcPr>
          <w:p>
            <w:pPr>
              <w:spacing w:after="0"/>
              <w:rPr>
                <w:sz w:val="15"/>
                <w:szCs w:val="15"/>
                <w:color w:val="auto"/>
              </w:rPr>
            </w:pPr>
          </w:p>
        </w:tc>
        <w:tc>
          <w:tcPr>
            <w:tcW w:w="370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400"/>
              <w:spacing w:after="0" w:line="154" w:lineRule="exact"/>
              <w:rPr>
                <w:sz w:val="20"/>
                <w:szCs w:val="20"/>
                <w:color w:val="auto"/>
              </w:rPr>
            </w:pPr>
            <w:r>
              <w:rPr>
                <w:rFonts w:ascii="Arial" w:cs="Arial" w:eastAsia="Arial" w:hAnsi="Arial"/>
                <w:sz w:val="14"/>
                <w:szCs w:val="14"/>
                <w:color w:val="auto"/>
                <w:w w:val="99"/>
              </w:rPr>
              <w:t>Amount</w:t>
            </w:r>
          </w:p>
        </w:tc>
        <w:tc>
          <w:tcPr>
            <w:tcW w:w="1600" w:type="dxa"/>
            <w:vAlign w:val="bottom"/>
            <w:gridSpan w:val="2"/>
          </w:tcPr>
          <w:p>
            <w:pPr>
              <w:jc w:val="center"/>
              <w:ind w:right="400"/>
              <w:spacing w:after="0" w:line="154" w:lineRule="exact"/>
              <w:rPr>
                <w:sz w:val="20"/>
                <w:szCs w:val="20"/>
                <w:color w:val="auto"/>
              </w:rPr>
            </w:pPr>
            <w:r>
              <w:rPr>
                <w:rFonts w:ascii="Arial" w:cs="Arial" w:eastAsia="Arial" w:hAnsi="Arial"/>
                <w:sz w:val="14"/>
                <w:szCs w:val="14"/>
                <w:color w:val="auto"/>
                <w:w w:val="89"/>
              </w:rPr>
              <w:t>Percentage</w:t>
            </w:r>
          </w:p>
        </w:tc>
        <w:tc>
          <w:tcPr>
            <w:tcW w:w="100" w:type="dxa"/>
            <w:vAlign w:val="bottom"/>
          </w:tcPr>
          <w:p>
            <w:pPr>
              <w:spacing w:after="0"/>
              <w:rPr>
                <w:sz w:val="15"/>
                <w:szCs w:val="15"/>
                <w:color w:val="auto"/>
              </w:rPr>
            </w:pPr>
          </w:p>
        </w:tc>
        <w:tc>
          <w:tcPr>
            <w:tcW w:w="1440" w:type="dxa"/>
            <w:vAlign w:val="bottom"/>
            <w:gridSpan w:val="2"/>
          </w:tcPr>
          <w:p>
            <w:pPr>
              <w:jc w:val="center"/>
              <w:ind w:right="400"/>
              <w:spacing w:after="0" w:line="154" w:lineRule="exact"/>
              <w:rPr>
                <w:sz w:val="20"/>
                <w:szCs w:val="20"/>
                <w:color w:val="auto"/>
              </w:rPr>
            </w:pPr>
            <w:r>
              <w:rPr>
                <w:rFonts w:ascii="Arial" w:cs="Arial" w:eastAsia="Arial" w:hAnsi="Arial"/>
                <w:sz w:val="14"/>
                <w:szCs w:val="14"/>
                <w:color w:val="auto"/>
                <w:w w:val="99"/>
              </w:rPr>
              <w:t>Amount</w:t>
            </w:r>
          </w:p>
        </w:tc>
        <w:tc>
          <w:tcPr>
            <w:tcW w:w="140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89"/>
              </w:rPr>
              <w:t>Percentage</w:t>
            </w:r>
          </w:p>
        </w:tc>
        <w:tc>
          <w:tcPr>
            <w:tcW w:w="0" w:type="dxa"/>
            <w:vAlign w:val="bottom"/>
          </w:tcPr>
          <w:p>
            <w:pPr>
              <w:spacing w:after="0"/>
              <w:rPr>
                <w:sz w:val="1"/>
                <w:szCs w:val="1"/>
                <w:color w:val="auto"/>
              </w:rPr>
            </w:pPr>
          </w:p>
        </w:tc>
      </w:tr>
      <w:tr>
        <w:trPr>
          <w:trHeight w:val="203"/>
        </w:trPr>
        <w:tc>
          <w:tcPr>
            <w:tcW w:w="4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Bank of America, N.A.</w:t>
            </w:r>
          </w:p>
        </w:tc>
        <w:tc>
          <w:tcPr>
            <w:tcW w:w="1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45,000,000.00</w:t>
            </w:r>
          </w:p>
        </w:tc>
        <w:tc>
          <w:tcPr>
            <w:tcW w:w="3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30.000000000%</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40,000,000.00</w:t>
            </w:r>
          </w:p>
        </w:tc>
        <w:tc>
          <w:tcPr>
            <w:tcW w:w="3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40.000000000%</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Wells Fargo Bank, National Association</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36,666,666.67</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24.444444447%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23,333,333.33</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23.333333333%</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BOKF, NA dba Bank of Arizona</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21,666,666.67</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14.444444447%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23,333,333.33</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23.333333333%</w:t>
            </w: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National Bank of Arizona</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46,666,666.66</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31.111111106%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13,333,333.34</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13.333333334%</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150,000,000.00</w:t>
            </w:r>
          </w:p>
        </w:tc>
        <w:tc>
          <w:tcPr>
            <w:tcW w:w="1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100.000000000%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100,000,000.00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100.000000000%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FIRST AMENDMENT TO CREDIT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CREDIT AGREEMENT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AMENDED BY THE FIRST AMENDMENT]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December 21, 2012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CANYON EDUCATION,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SUBSIDIARIES OF THE BORROWER IDENTIFIED HEREIN,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the Guarantors,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Administrative Agent, Swing Line Lender and L/C Issuer,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LENDERS PARTY 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Arranged By:</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BANK OF AMERICA MERRILL LYNCH,</w:t>
      </w:r>
    </w:p>
    <w:p>
      <w:pPr>
        <w:spacing w:after="0" w:line="2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194310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237490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7960" w:type="dxa"/>
            <w:vAlign w:val="bottom"/>
          </w:tcPr>
          <w:p>
            <w:pPr>
              <w:ind w:left="3760"/>
              <w:spacing w:after="0"/>
              <w:rPr>
                <w:sz w:val="20"/>
                <w:szCs w:val="20"/>
                <w:color w:val="auto"/>
              </w:rPr>
            </w:pPr>
            <w:r>
              <w:rPr>
                <w:rFonts w:ascii="Arial" w:cs="Arial" w:eastAsia="Arial" w:hAnsi="Arial"/>
                <w:sz w:val="18"/>
                <w:szCs w:val="18"/>
                <w:color w:val="auto"/>
              </w:rPr>
              <w:t>TABLE OF CONTENTS</w:t>
            </w:r>
          </w:p>
        </w:tc>
        <w:tc>
          <w:tcPr>
            <w:tcW w:w="2320" w:type="dxa"/>
            <w:vAlign w:val="bottom"/>
          </w:tcPr>
          <w:p>
            <w:pPr>
              <w:spacing w:after="0"/>
              <w:rPr>
                <w:sz w:val="20"/>
                <w:szCs w:val="20"/>
                <w:color w:val="auto"/>
              </w:rPr>
            </w:pPr>
          </w:p>
        </w:tc>
      </w:tr>
      <w:tr>
        <w:trPr>
          <w:trHeight w:val="445"/>
        </w:trPr>
        <w:tc>
          <w:tcPr>
            <w:tcW w:w="9000" w:type="dxa"/>
            <w:vAlign w:val="bottom"/>
            <w:gridSpan w:val="2"/>
          </w:tcPr>
          <w:p>
            <w:pPr>
              <w:spacing w:after="0"/>
              <w:rPr>
                <w:sz w:val="20"/>
                <w:szCs w:val="20"/>
                <w:color w:val="auto"/>
              </w:rPr>
            </w:pPr>
            <w:r>
              <w:rPr>
                <w:rFonts w:ascii="Arial" w:cs="Arial" w:eastAsia="Arial" w:hAnsi="Arial"/>
                <w:sz w:val="18"/>
                <w:szCs w:val="18"/>
                <w:color w:val="auto"/>
              </w:rPr>
              <w:t>ARTICLE I DEFINITIONS AND ACCOUNTING TERMS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7960" w:type="dxa"/>
            <w:vAlign w:val="bottom"/>
          </w:tcPr>
          <w:p>
            <w:pPr>
              <w:ind w:left="180"/>
              <w:spacing w:after="0"/>
              <w:rPr>
                <w:sz w:val="20"/>
                <w:szCs w:val="20"/>
                <w:color w:val="auto"/>
              </w:rPr>
            </w:pPr>
            <w:r>
              <w:rPr>
                <w:rFonts w:ascii="Arial" w:cs="Arial" w:eastAsia="Arial" w:hAnsi="Arial"/>
                <w:sz w:val="18"/>
                <w:szCs w:val="18"/>
                <w:color w:val="auto"/>
              </w:rPr>
              <w:t>Defined Terms.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7960" w:type="dxa"/>
            <w:vAlign w:val="bottom"/>
          </w:tcPr>
          <w:p>
            <w:pPr>
              <w:ind w:left="180"/>
              <w:spacing w:after="0"/>
              <w:rPr>
                <w:sz w:val="20"/>
                <w:szCs w:val="20"/>
                <w:color w:val="auto"/>
              </w:rPr>
            </w:pPr>
            <w:r>
              <w:rPr>
                <w:rFonts w:ascii="Arial" w:cs="Arial" w:eastAsia="Arial" w:hAnsi="Arial"/>
                <w:sz w:val="18"/>
                <w:szCs w:val="18"/>
                <w:color w:val="auto"/>
              </w:rPr>
              <w:t>Other Interpretive Provisions.</w:t>
            </w:r>
          </w:p>
        </w:tc>
        <w:tc>
          <w:tcPr>
            <w:tcW w:w="23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1.03</w:t>
            </w:r>
          </w:p>
        </w:tc>
        <w:tc>
          <w:tcPr>
            <w:tcW w:w="7960" w:type="dxa"/>
            <w:vAlign w:val="bottom"/>
          </w:tcPr>
          <w:p>
            <w:pPr>
              <w:ind w:left="180"/>
              <w:spacing w:after="0"/>
              <w:rPr>
                <w:sz w:val="20"/>
                <w:szCs w:val="20"/>
                <w:color w:val="auto"/>
              </w:rPr>
            </w:pPr>
            <w:r>
              <w:rPr>
                <w:rFonts w:ascii="Arial" w:cs="Arial" w:eastAsia="Arial" w:hAnsi="Arial"/>
                <w:sz w:val="18"/>
                <w:szCs w:val="18"/>
                <w:color w:val="auto"/>
              </w:rPr>
              <w:t>Accounting Terms; Calculation of Financial Covenants on a Pro Forma Basis.</w:t>
            </w:r>
          </w:p>
        </w:tc>
        <w:tc>
          <w:tcPr>
            <w:tcW w:w="23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1.04</w:t>
            </w:r>
          </w:p>
        </w:tc>
        <w:tc>
          <w:tcPr>
            <w:tcW w:w="7960" w:type="dxa"/>
            <w:vAlign w:val="bottom"/>
          </w:tcPr>
          <w:p>
            <w:pPr>
              <w:ind w:left="180"/>
              <w:spacing w:after="0"/>
              <w:rPr>
                <w:sz w:val="20"/>
                <w:szCs w:val="20"/>
                <w:color w:val="auto"/>
              </w:rPr>
            </w:pPr>
            <w:r>
              <w:rPr>
                <w:rFonts w:ascii="Arial" w:cs="Arial" w:eastAsia="Arial" w:hAnsi="Arial"/>
                <w:sz w:val="18"/>
                <w:szCs w:val="18"/>
                <w:color w:val="auto"/>
              </w:rPr>
              <w:t>Rounding.</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1.05</w:t>
            </w:r>
          </w:p>
        </w:tc>
        <w:tc>
          <w:tcPr>
            <w:tcW w:w="7960" w:type="dxa"/>
            <w:vAlign w:val="bottom"/>
          </w:tcPr>
          <w:p>
            <w:pPr>
              <w:ind w:left="180"/>
              <w:spacing w:after="0"/>
              <w:rPr>
                <w:sz w:val="20"/>
                <w:szCs w:val="20"/>
                <w:color w:val="auto"/>
              </w:rPr>
            </w:pPr>
            <w:r>
              <w:rPr>
                <w:rFonts w:ascii="Arial" w:cs="Arial" w:eastAsia="Arial" w:hAnsi="Arial"/>
                <w:sz w:val="18"/>
                <w:szCs w:val="18"/>
                <w:color w:val="auto"/>
              </w:rPr>
              <w:t>Times of Day; Rates.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7960" w:type="dxa"/>
            <w:vAlign w:val="bottom"/>
          </w:tcPr>
          <w:p>
            <w:pPr>
              <w:ind w:left="180"/>
              <w:spacing w:after="0"/>
              <w:rPr>
                <w:sz w:val="20"/>
                <w:szCs w:val="20"/>
                <w:color w:val="auto"/>
              </w:rPr>
            </w:pPr>
            <w:r>
              <w:rPr>
                <w:rFonts w:ascii="Arial" w:cs="Arial" w:eastAsia="Arial" w:hAnsi="Arial"/>
                <w:sz w:val="18"/>
                <w:szCs w:val="18"/>
                <w:color w:val="auto"/>
              </w:rPr>
              <w:t>Letter of Credit Amounts.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9000" w:type="dxa"/>
            <w:vAlign w:val="bottom"/>
            <w:gridSpan w:val="2"/>
          </w:tcPr>
          <w:p>
            <w:pPr>
              <w:spacing w:after="0"/>
              <w:rPr>
                <w:sz w:val="20"/>
                <w:szCs w:val="20"/>
                <w:color w:val="auto"/>
              </w:rPr>
            </w:pPr>
            <w:r>
              <w:rPr>
                <w:rFonts w:ascii="Arial" w:cs="Arial" w:eastAsia="Arial" w:hAnsi="Arial"/>
                <w:sz w:val="18"/>
                <w:szCs w:val="18"/>
                <w:color w:val="auto"/>
              </w:rPr>
              <w:t>ARTICLE II THE COMMITMENTS AND CREDIT EXTENSIONS</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2.01</w:t>
            </w:r>
          </w:p>
        </w:tc>
        <w:tc>
          <w:tcPr>
            <w:tcW w:w="7960" w:type="dxa"/>
            <w:vAlign w:val="bottom"/>
          </w:tcPr>
          <w:p>
            <w:pPr>
              <w:ind w:left="180"/>
              <w:spacing w:after="0"/>
              <w:rPr>
                <w:sz w:val="20"/>
                <w:szCs w:val="20"/>
                <w:color w:val="auto"/>
              </w:rPr>
            </w:pPr>
            <w:r>
              <w:rPr>
                <w:rFonts w:ascii="Arial" w:cs="Arial" w:eastAsia="Arial" w:hAnsi="Arial"/>
                <w:sz w:val="18"/>
                <w:szCs w:val="18"/>
                <w:color w:val="auto"/>
              </w:rPr>
              <w:t>Revolving Loans and Term Loan.</w:t>
            </w:r>
          </w:p>
        </w:tc>
        <w:tc>
          <w:tcPr>
            <w:tcW w:w="2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2.02</w:t>
            </w:r>
          </w:p>
        </w:tc>
        <w:tc>
          <w:tcPr>
            <w:tcW w:w="7960" w:type="dxa"/>
            <w:vAlign w:val="bottom"/>
          </w:tcPr>
          <w:p>
            <w:pPr>
              <w:ind w:left="180"/>
              <w:spacing w:after="0"/>
              <w:rPr>
                <w:sz w:val="20"/>
                <w:szCs w:val="20"/>
                <w:color w:val="auto"/>
              </w:rPr>
            </w:pPr>
            <w:r>
              <w:rPr>
                <w:rFonts w:ascii="Arial" w:cs="Arial" w:eastAsia="Arial" w:hAnsi="Arial"/>
                <w:sz w:val="18"/>
                <w:szCs w:val="18"/>
                <w:color w:val="auto"/>
              </w:rPr>
              <w:t>Borrowings, Conversions and Continuations of Loans.</w:t>
            </w:r>
          </w:p>
        </w:tc>
        <w:tc>
          <w:tcPr>
            <w:tcW w:w="2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2.03</w:t>
            </w:r>
          </w:p>
        </w:tc>
        <w:tc>
          <w:tcPr>
            <w:tcW w:w="7960" w:type="dxa"/>
            <w:vAlign w:val="bottom"/>
          </w:tcPr>
          <w:p>
            <w:pPr>
              <w:ind w:left="180"/>
              <w:spacing w:after="0"/>
              <w:rPr>
                <w:sz w:val="20"/>
                <w:szCs w:val="20"/>
                <w:color w:val="auto"/>
              </w:rPr>
            </w:pPr>
            <w:r>
              <w:rPr>
                <w:rFonts w:ascii="Arial" w:cs="Arial" w:eastAsia="Arial" w:hAnsi="Arial"/>
                <w:sz w:val="18"/>
                <w:szCs w:val="18"/>
                <w:color w:val="auto"/>
              </w:rPr>
              <w:t>Letters of Credit.</w:t>
            </w:r>
          </w:p>
        </w:tc>
        <w:tc>
          <w:tcPr>
            <w:tcW w:w="23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2.04</w:t>
            </w:r>
          </w:p>
        </w:tc>
        <w:tc>
          <w:tcPr>
            <w:tcW w:w="7960" w:type="dxa"/>
            <w:vAlign w:val="bottom"/>
          </w:tcPr>
          <w:p>
            <w:pPr>
              <w:ind w:left="180"/>
              <w:spacing w:after="0"/>
              <w:rPr>
                <w:sz w:val="20"/>
                <w:szCs w:val="20"/>
                <w:color w:val="auto"/>
              </w:rPr>
            </w:pPr>
            <w:r>
              <w:rPr>
                <w:rFonts w:ascii="Arial" w:cs="Arial" w:eastAsia="Arial" w:hAnsi="Arial"/>
                <w:sz w:val="18"/>
                <w:szCs w:val="18"/>
                <w:color w:val="auto"/>
              </w:rPr>
              <w:t>Swing Line Loans.</w:t>
            </w:r>
          </w:p>
        </w:tc>
        <w:tc>
          <w:tcPr>
            <w:tcW w:w="23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2.05</w:t>
            </w:r>
          </w:p>
        </w:tc>
        <w:tc>
          <w:tcPr>
            <w:tcW w:w="7960" w:type="dxa"/>
            <w:vAlign w:val="bottom"/>
          </w:tcPr>
          <w:p>
            <w:pPr>
              <w:ind w:left="180"/>
              <w:spacing w:after="0"/>
              <w:rPr>
                <w:sz w:val="20"/>
                <w:szCs w:val="20"/>
                <w:color w:val="auto"/>
              </w:rPr>
            </w:pPr>
            <w:r>
              <w:rPr>
                <w:rFonts w:ascii="Arial" w:cs="Arial" w:eastAsia="Arial" w:hAnsi="Arial"/>
                <w:sz w:val="18"/>
                <w:szCs w:val="18"/>
                <w:color w:val="auto"/>
              </w:rPr>
              <w:t>Prepayments.</w:t>
            </w:r>
          </w:p>
        </w:tc>
        <w:tc>
          <w:tcPr>
            <w:tcW w:w="23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2.06</w:t>
            </w:r>
          </w:p>
        </w:tc>
        <w:tc>
          <w:tcPr>
            <w:tcW w:w="7960" w:type="dxa"/>
            <w:vAlign w:val="bottom"/>
          </w:tcPr>
          <w:p>
            <w:pPr>
              <w:ind w:left="180"/>
              <w:spacing w:after="0"/>
              <w:rPr>
                <w:sz w:val="20"/>
                <w:szCs w:val="20"/>
                <w:color w:val="auto"/>
              </w:rPr>
            </w:pPr>
            <w:r>
              <w:rPr>
                <w:rFonts w:ascii="Arial" w:cs="Arial" w:eastAsia="Arial" w:hAnsi="Arial"/>
                <w:sz w:val="18"/>
                <w:szCs w:val="18"/>
                <w:color w:val="auto"/>
              </w:rPr>
              <w:t>Termination or Reduction of Aggregate Revolving Commitments.</w:t>
            </w:r>
          </w:p>
        </w:tc>
        <w:tc>
          <w:tcPr>
            <w:tcW w:w="2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7960" w:type="dxa"/>
            <w:vAlign w:val="bottom"/>
          </w:tcPr>
          <w:p>
            <w:pPr>
              <w:ind w:left="180"/>
              <w:spacing w:after="0"/>
              <w:rPr>
                <w:sz w:val="20"/>
                <w:szCs w:val="20"/>
                <w:color w:val="auto"/>
              </w:rPr>
            </w:pPr>
            <w:r>
              <w:rPr>
                <w:rFonts w:ascii="Arial" w:cs="Arial" w:eastAsia="Arial" w:hAnsi="Arial"/>
                <w:sz w:val="18"/>
                <w:szCs w:val="18"/>
                <w:color w:val="auto"/>
              </w:rPr>
              <w:t>Repayment of Loans.</w:t>
            </w:r>
          </w:p>
        </w:tc>
        <w:tc>
          <w:tcPr>
            <w:tcW w:w="2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2.08</w:t>
            </w:r>
          </w:p>
        </w:tc>
        <w:tc>
          <w:tcPr>
            <w:tcW w:w="7960" w:type="dxa"/>
            <w:vAlign w:val="bottom"/>
          </w:tcPr>
          <w:p>
            <w:pPr>
              <w:ind w:left="180"/>
              <w:spacing w:after="0"/>
              <w:rPr>
                <w:sz w:val="20"/>
                <w:szCs w:val="20"/>
                <w:color w:val="auto"/>
              </w:rPr>
            </w:pPr>
            <w:r>
              <w:rPr>
                <w:rFonts w:ascii="Arial" w:cs="Arial" w:eastAsia="Arial" w:hAnsi="Arial"/>
                <w:sz w:val="18"/>
                <w:szCs w:val="18"/>
                <w:color w:val="auto"/>
              </w:rPr>
              <w:t>Interest.</w:t>
            </w:r>
          </w:p>
        </w:tc>
        <w:tc>
          <w:tcPr>
            <w:tcW w:w="2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2.09</w:t>
            </w:r>
          </w:p>
        </w:tc>
        <w:tc>
          <w:tcPr>
            <w:tcW w:w="7960" w:type="dxa"/>
            <w:vAlign w:val="bottom"/>
          </w:tcPr>
          <w:p>
            <w:pPr>
              <w:ind w:left="180"/>
              <w:spacing w:after="0"/>
              <w:rPr>
                <w:sz w:val="20"/>
                <w:szCs w:val="20"/>
                <w:color w:val="auto"/>
              </w:rPr>
            </w:pPr>
            <w:r>
              <w:rPr>
                <w:rFonts w:ascii="Arial" w:cs="Arial" w:eastAsia="Arial" w:hAnsi="Arial"/>
                <w:sz w:val="18"/>
                <w:szCs w:val="18"/>
                <w:color w:val="auto"/>
              </w:rPr>
              <w:t>Fees.</w:t>
            </w:r>
          </w:p>
        </w:tc>
        <w:tc>
          <w:tcPr>
            <w:tcW w:w="23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2.10</w:t>
            </w:r>
          </w:p>
        </w:tc>
        <w:tc>
          <w:tcPr>
            <w:tcW w:w="7960" w:type="dxa"/>
            <w:vAlign w:val="bottom"/>
          </w:tcPr>
          <w:p>
            <w:pPr>
              <w:ind w:left="180"/>
              <w:spacing w:after="0"/>
              <w:rPr>
                <w:sz w:val="20"/>
                <w:szCs w:val="20"/>
                <w:color w:val="auto"/>
              </w:rPr>
            </w:pPr>
            <w:r>
              <w:rPr>
                <w:rFonts w:ascii="Arial" w:cs="Arial" w:eastAsia="Arial" w:hAnsi="Arial"/>
                <w:sz w:val="18"/>
                <w:szCs w:val="18"/>
                <w:color w:val="auto"/>
              </w:rPr>
              <w:t>Computation of Interest and Fees.</w:t>
            </w: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2.11</w:t>
            </w:r>
          </w:p>
        </w:tc>
        <w:tc>
          <w:tcPr>
            <w:tcW w:w="7960" w:type="dxa"/>
            <w:vAlign w:val="bottom"/>
          </w:tcPr>
          <w:p>
            <w:pPr>
              <w:ind w:left="180"/>
              <w:spacing w:after="0"/>
              <w:rPr>
                <w:sz w:val="20"/>
                <w:szCs w:val="20"/>
                <w:color w:val="auto"/>
              </w:rPr>
            </w:pPr>
            <w:r>
              <w:rPr>
                <w:rFonts w:ascii="Arial" w:cs="Arial" w:eastAsia="Arial" w:hAnsi="Arial"/>
                <w:sz w:val="18"/>
                <w:szCs w:val="18"/>
                <w:color w:val="auto"/>
              </w:rPr>
              <w:t>Evidence of Debt.</w:t>
            </w: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2.12</w:t>
            </w:r>
          </w:p>
        </w:tc>
        <w:tc>
          <w:tcPr>
            <w:tcW w:w="7960" w:type="dxa"/>
            <w:vAlign w:val="bottom"/>
          </w:tcPr>
          <w:p>
            <w:pPr>
              <w:ind w:left="180"/>
              <w:spacing w:after="0"/>
              <w:rPr>
                <w:sz w:val="20"/>
                <w:szCs w:val="20"/>
                <w:color w:val="auto"/>
              </w:rPr>
            </w:pPr>
            <w:r>
              <w:rPr>
                <w:rFonts w:ascii="Arial" w:cs="Arial" w:eastAsia="Arial" w:hAnsi="Arial"/>
                <w:sz w:val="18"/>
                <w:szCs w:val="18"/>
                <w:color w:val="auto"/>
              </w:rPr>
              <w:t>Payments Generally; Administrative Agent’s Clawback.</w:t>
            </w:r>
          </w:p>
        </w:tc>
        <w:tc>
          <w:tcPr>
            <w:tcW w:w="2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2.13</w:t>
            </w:r>
          </w:p>
        </w:tc>
        <w:tc>
          <w:tcPr>
            <w:tcW w:w="7960" w:type="dxa"/>
            <w:vAlign w:val="bottom"/>
          </w:tcPr>
          <w:p>
            <w:pPr>
              <w:ind w:left="180"/>
              <w:spacing w:after="0"/>
              <w:rPr>
                <w:sz w:val="20"/>
                <w:szCs w:val="20"/>
                <w:color w:val="auto"/>
              </w:rPr>
            </w:pPr>
            <w:r>
              <w:rPr>
                <w:rFonts w:ascii="Arial" w:cs="Arial" w:eastAsia="Arial" w:hAnsi="Arial"/>
                <w:sz w:val="18"/>
                <w:szCs w:val="18"/>
                <w:color w:val="auto"/>
              </w:rPr>
              <w:t>Sharing of Payments by Lenders.</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2.14</w:t>
            </w:r>
          </w:p>
        </w:tc>
        <w:tc>
          <w:tcPr>
            <w:tcW w:w="7960" w:type="dxa"/>
            <w:vAlign w:val="bottom"/>
          </w:tcPr>
          <w:p>
            <w:pPr>
              <w:ind w:left="180"/>
              <w:spacing w:after="0"/>
              <w:rPr>
                <w:sz w:val="20"/>
                <w:szCs w:val="20"/>
                <w:color w:val="auto"/>
              </w:rPr>
            </w:pPr>
            <w:r>
              <w:rPr>
                <w:rFonts w:ascii="Arial" w:cs="Arial" w:eastAsia="Arial" w:hAnsi="Arial"/>
                <w:sz w:val="18"/>
                <w:szCs w:val="18"/>
                <w:color w:val="auto"/>
              </w:rPr>
              <w:t>Cash Collateral.</w:t>
            </w:r>
          </w:p>
        </w:tc>
        <w:tc>
          <w:tcPr>
            <w:tcW w:w="23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2.15</w:t>
            </w:r>
          </w:p>
        </w:tc>
        <w:tc>
          <w:tcPr>
            <w:tcW w:w="7960" w:type="dxa"/>
            <w:vAlign w:val="bottom"/>
          </w:tcPr>
          <w:p>
            <w:pPr>
              <w:ind w:left="180"/>
              <w:spacing w:after="0"/>
              <w:rPr>
                <w:sz w:val="20"/>
                <w:szCs w:val="20"/>
                <w:color w:val="auto"/>
              </w:rPr>
            </w:pPr>
            <w:r>
              <w:rPr>
                <w:rFonts w:ascii="Arial" w:cs="Arial" w:eastAsia="Arial" w:hAnsi="Arial"/>
                <w:sz w:val="18"/>
                <w:szCs w:val="18"/>
                <w:color w:val="auto"/>
              </w:rPr>
              <w:t>Defaulting Lenders.</w:t>
            </w:r>
          </w:p>
        </w:tc>
        <w:tc>
          <w:tcPr>
            <w:tcW w:w="23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9000" w:type="dxa"/>
            <w:vAlign w:val="bottom"/>
            <w:gridSpan w:val="2"/>
          </w:tcPr>
          <w:p>
            <w:pPr>
              <w:spacing w:after="0"/>
              <w:rPr>
                <w:sz w:val="20"/>
                <w:szCs w:val="20"/>
                <w:color w:val="auto"/>
              </w:rPr>
            </w:pPr>
            <w:r>
              <w:rPr>
                <w:rFonts w:ascii="Arial" w:cs="Arial" w:eastAsia="Arial" w:hAnsi="Arial"/>
                <w:sz w:val="18"/>
                <w:szCs w:val="18"/>
                <w:color w:val="auto"/>
              </w:rPr>
              <w:t>ARTICLE III TAXES, YIELD PROTECTION AND ILLEGALITY</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3.01</w:t>
            </w:r>
          </w:p>
        </w:tc>
        <w:tc>
          <w:tcPr>
            <w:tcW w:w="7960" w:type="dxa"/>
            <w:vAlign w:val="bottom"/>
          </w:tcPr>
          <w:p>
            <w:pPr>
              <w:ind w:left="180"/>
              <w:spacing w:after="0"/>
              <w:rPr>
                <w:sz w:val="20"/>
                <w:szCs w:val="20"/>
                <w:color w:val="auto"/>
              </w:rPr>
            </w:pPr>
            <w:r>
              <w:rPr>
                <w:rFonts w:ascii="Arial" w:cs="Arial" w:eastAsia="Arial" w:hAnsi="Arial"/>
                <w:sz w:val="18"/>
                <w:szCs w:val="18"/>
                <w:color w:val="auto"/>
              </w:rPr>
              <w:t>Taxes.</w:t>
            </w:r>
          </w:p>
        </w:tc>
        <w:tc>
          <w:tcPr>
            <w:tcW w:w="23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3.02</w:t>
            </w:r>
          </w:p>
        </w:tc>
        <w:tc>
          <w:tcPr>
            <w:tcW w:w="7960" w:type="dxa"/>
            <w:vAlign w:val="bottom"/>
          </w:tcPr>
          <w:p>
            <w:pPr>
              <w:ind w:left="180"/>
              <w:spacing w:after="0"/>
              <w:rPr>
                <w:sz w:val="20"/>
                <w:szCs w:val="20"/>
                <w:color w:val="auto"/>
              </w:rPr>
            </w:pPr>
            <w:r>
              <w:rPr>
                <w:rFonts w:ascii="Arial" w:cs="Arial" w:eastAsia="Arial" w:hAnsi="Arial"/>
                <w:sz w:val="18"/>
                <w:szCs w:val="18"/>
                <w:color w:val="auto"/>
              </w:rPr>
              <w:t>Illegality.</w:t>
            </w:r>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3.03</w:t>
            </w:r>
          </w:p>
        </w:tc>
        <w:tc>
          <w:tcPr>
            <w:tcW w:w="7960" w:type="dxa"/>
            <w:vAlign w:val="bottom"/>
          </w:tcPr>
          <w:p>
            <w:pPr>
              <w:ind w:left="180"/>
              <w:spacing w:after="0"/>
              <w:rPr>
                <w:sz w:val="20"/>
                <w:szCs w:val="20"/>
                <w:color w:val="auto"/>
              </w:rPr>
            </w:pPr>
            <w:r>
              <w:rPr>
                <w:rFonts w:ascii="Arial" w:cs="Arial" w:eastAsia="Arial" w:hAnsi="Arial"/>
                <w:sz w:val="18"/>
                <w:szCs w:val="18"/>
                <w:color w:val="auto"/>
              </w:rPr>
              <w:t>Inability to Determine Rates.</w:t>
            </w:r>
          </w:p>
        </w:tc>
        <w:tc>
          <w:tcPr>
            <w:tcW w:w="23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3.04</w:t>
            </w:r>
          </w:p>
        </w:tc>
        <w:tc>
          <w:tcPr>
            <w:tcW w:w="7960" w:type="dxa"/>
            <w:vAlign w:val="bottom"/>
          </w:tcPr>
          <w:p>
            <w:pPr>
              <w:ind w:left="180"/>
              <w:spacing w:after="0"/>
              <w:rPr>
                <w:sz w:val="20"/>
                <w:szCs w:val="20"/>
                <w:color w:val="auto"/>
              </w:rPr>
            </w:pPr>
            <w:r>
              <w:rPr>
                <w:rFonts w:ascii="Arial" w:cs="Arial" w:eastAsia="Arial" w:hAnsi="Arial"/>
                <w:sz w:val="18"/>
                <w:szCs w:val="18"/>
                <w:color w:val="auto"/>
              </w:rPr>
              <w:t>Increased Costs; Reserves on Eurodollar Rate Loans.</w:t>
            </w:r>
          </w:p>
        </w:tc>
        <w:tc>
          <w:tcPr>
            <w:tcW w:w="2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3.05</w:t>
            </w:r>
          </w:p>
        </w:tc>
        <w:tc>
          <w:tcPr>
            <w:tcW w:w="7960" w:type="dxa"/>
            <w:vAlign w:val="bottom"/>
          </w:tcPr>
          <w:p>
            <w:pPr>
              <w:ind w:left="180"/>
              <w:spacing w:after="0"/>
              <w:rPr>
                <w:sz w:val="20"/>
                <w:szCs w:val="20"/>
                <w:color w:val="auto"/>
              </w:rPr>
            </w:pPr>
            <w:r>
              <w:rPr>
                <w:rFonts w:ascii="Arial" w:cs="Arial" w:eastAsia="Arial" w:hAnsi="Arial"/>
                <w:sz w:val="18"/>
                <w:szCs w:val="18"/>
                <w:color w:val="auto"/>
              </w:rPr>
              <w:t>Compensation for Losses.</w:t>
            </w:r>
          </w:p>
        </w:tc>
        <w:tc>
          <w:tcPr>
            <w:tcW w:w="23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3.06</w:t>
            </w:r>
          </w:p>
        </w:tc>
        <w:tc>
          <w:tcPr>
            <w:tcW w:w="7960" w:type="dxa"/>
            <w:vAlign w:val="bottom"/>
          </w:tcPr>
          <w:p>
            <w:pPr>
              <w:ind w:left="180"/>
              <w:spacing w:after="0"/>
              <w:rPr>
                <w:sz w:val="20"/>
                <w:szCs w:val="20"/>
                <w:color w:val="auto"/>
              </w:rPr>
            </w:pPr>
            <w:r>
              <w:rPr>
                <w:rFonts w:ascii="Arial" w:cs="Arial" w:eastAsia="Arial" w:hAnsi="Arial"/>
                <w:sz w:val="18"/>
                <w:szCs w:val="18"/>
                <w:color w:val="auto"/>
              </w:rPr>
              <w:t>Mitigation of Obligations; Replacement of Lenders.</w:t>
            </w:r>
          </w:p>
        </w:tc>
        <w:tc>
          <w:tcPr>
            <w:tcW w:w="23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3.07</w:t>
            </w:r>
          </w:p>
        </w:tc>
        <w:tc>
          <w:tcPr>
            <w:tcW w:w="7960" w:type="dxa"/>
            <w:vAlign w:val="bottom"/>
          </w:tcPr>
          <w:p>
            <w:pPr>
              <w:ind w:left="180"/>
              <w:spacing w:after="0"/>
              <w:rPr>
                <w:sz w:val="20"/>
                <w:szCs w:val="20"/>
                <w:color w:val="auto"/>
              </w:rPr>
            </w:pPr>
            <w:r>
              <w:rPr>
                <w:rFonts w:ascii="Arial" w:cs="Arial" w:eastAsia="Arial" w:hAnsi="Arial"/>
                <w:sz w:val="18"/>
                <w:szCs w:val="18"/>
                <w:color w:val="auto"/>
              </w:rPr>
              <w:t>Survival.</w:t>
            </w:r>
          </w:p>
        </w:tc>
        <w:tc>
          <w:tcPr>
            <w:tcW w:w="2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0"/>
        </w:trPr>
        <w:tc>
          <w:tcPr>
            <w:tcW w:w="9000" w:type="dxa"/>
            <w:vAlign w:val="bottom"/>
            <w:gridSpan w:val="2"/>
          </w:tcPr>
          <w:p>
            <w:pPr>
              <w:spacing w:after="0"/>
              <w:rPr>
                <w:sz w:val="20"/>
                <w:szCs w:val="20"/>
                <w:color w:val="auto"/>
              </w:rPr>
            </w:pPr>
            <w:r>
              <w:rPr>
                <w:rFonts w:ascii="Arial" w:cs="Arial" w:eastAsia="Arial" w:hAnsi="Arial"/>
                <w:sz w:val="18"/>
                <w:szCs w:val="18"/>
                <w:color w:val="auto"/>
              </w:rPr>
              <w:t>ARTICLE IV GUARANTY</w:t>
            </w:r>
          </w:p>
        </w:tc>
        <w:tc>
          <w:tcPr>
            <w:tcW w:w="2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4.01</w:t>
            </w:r>
          </w:p>
        </w:tc>
        <w:tc>
          <w:tcPr>
            <w:tcW w:w="7960" w:type="dxa"/>
            <w:vAlign w:val="bottom"/>
          </w:tcPr>
          <w:p>
            <w:pPr>
              <w:ind w:left="180"/>
              <w:spacing w:after="0"/>
              <w:rPr>
                <w:sz w:val="20"/>
                <w:szCs w:val="20"/>
                <w:color w:val="auto"/>
              </w:rPr>
            </w:pPr>
            <w:r>
              <w:rPr>
                <w:rFonts w:ascii="Arial" w:cs="Arial" w:eastAsia="Arial" w:hAnsi="Arial"/>
                <w:sz w:val="18"/>
                <w:szCs w:val="18"/>
                <w:color w:val="auto"/>
              </w:rPr>
              <w:t>The Guaranty.</w:t>
            </w:r>
          </w:p>
        </w:tc>
        <w:tc>
          <w:tcPr>
            <w:tcW w:w="2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4.02</w:t>
            </w:r>
          </w:p>
        </w:tc>
        <w:tc>
          <w:tcPr>
            <w:tcW w:w="7960" w:type="dxa"/>
            <w:vAlign w:val="bottom"/>
          </w:tcPr>
          <w:p>
            <w:pPr>
              <w:ind w:left="180"/>
              <w:spacing w:after="0"/>
              <w:rPr>
                <w:sz w:val="20"/>
                <w:szCs w:val="20"/>
                <w:color w:val="auto"/>
              </w:rPr>
            </w:pPr>
            <w:r>
              <w:rPr>
                <w:rFonts w:ascii="Arial" w:cs="Arial" w:eastAsia="Arial" w:hAnsi="Arial"/>
                <w:sz w:val="18"/>
                <w:szCs w:val="18"/>
                <w:color w:val="auto"/>
              </w:rPr>
              <w:t>Obligations Unconditional.</w:t>
            </w:r>
          </w:p>
        </w:tc>
        <w:tc>
          <w:tcPr>
            <w:tcW w:w="2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4.03</w:t>
            </w:r>
          </w:p>
        </w:tc>
        <w:tc>
          <w:tcPr>
            <w:tcW w:w="7960" w:type="dxa"/>
            <w:vAlign w:val="bottom"/>
          </w:tcPr>
          <w:p>
            <w:pPr>
              <w:ind w:left="180"/>
              <w:spacing w:after="0"/>
              <w:rPr>
                <w:sz w:val="20"/>
                <w:szCs w:val="20"/>
                <w:color w:val="auto"/>
              </w:rPr>
            </w:pPr>
            <w:r>
              <w:rPr>
                <w:rFonts w:ascii="Arial" w:cs="Arial" w:eastAsia="Arial" w:hAnsi="Arial"/>
                <w:sz w:val="18"/>
                <w:szCs w:val="18"/>
                <w:color w:val="auto"/>
              </w:rPr>
              <w:t>Reinstatement.</w:t>
            </w:r>
          </w:p>
        </w:tc>
        <w:tc>
          <w:tcPr>
            <w:tcW w:w="2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4.04</w:t>
            </w:r>
          </w:p>
        </w:tc>
        <w:tc>
          <w:tcPr>
            <w:tcW w:w="7960" w:type="dxa"/>
            <w:vAlign w:val="bottom"/>
          </w:tcPr>
          <w:p>
            <w:pPr>
              <w:ind w:left="180"/>
              <w:spacing w:after="0"/>
              <w:rPr>
                <w:sz w:val="20"/>
                <w:szCs w:val="20"/>
                <w:color w:val="auto"/>
              </w:rPr>
            </w:pPr>
            <w:r>
              <w:rPr>
                <w:rFonts w:ascii="Arial" w:cs="Arial" w:eastAsia="Arial" w:hAnsi="Arial"/>
                <w:sz w:val="18"/>
                <w:szCs w:val="18"/>
                <w:color w:val="auto"/>
              </w:rPr>
              <w:t>Certain Additional Waivers.</w:t>
            </w:r>
          </w:p>
        </w:tc>
        <w:tc>
          <w:tcPr>
            <w:tcW w:w="2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4.05</w:t>
            </w:r>
          </w:p>
        </w:tc>
        <w:tc>
          <w:tcPr>
            <w:tcW w:w="7960" w:type="dxa"/>
            <w:vAlign w:val="bottom"/>
          </w:tcPr>
          <w:p>
            <w:pPr>
              <w:ind w:left="180"/>
              <w:spacing w:after="0"/>
              <w:rPr>
                <w:sz w:val="20"/>
                <w:szCs w:val="20"/>
                <w:color w:val="auto"/>
              </w:rPr>
            </w:pPr>
            <w:r>
              <w:rPr>
                <w:rFonts w:ascii="Arial" w:cs="Arial" w:eastAsia="Arial" w:hAnsi="Arial"/>
                <w:sz w:val="18"/>
                <w:szCs w:val="18"/>
                <w:color w:val="auto"/>
              </w:rPr>
              <w:t>Remedies.</w:t>
            </w:r>
          </w:p>
        </w:tc>
        <w:tc>
          <w:tcPr>
            <w:tcW w:w="23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4.06</w:t>
            </w:r>
          </w:p>
        </w:tc>
        <w:tc>
          <w:tcPr>
            <w:tcW w:w="7960" w:type="dxa"/>
            <w:vAlign w:val="bottom"/>
          </w:tcPr>
          <w:p>
            <w:pPr>
              <w:ind w:left="180"/>
              <w:spacing w:after="0"/>
              <w:rPr>
                <w:sz w:val="20"/>
                <w:szCs w:val="20"/>
                <w:color w:val="auto"/>
              </w:rPr>
            </w:pPr>
            <w:r>
              <w:rPr>
                <w:rFonts w:ascii="Arial" w:cs="Arial" w:eastAsia="Arial" w:hAnsi="Arial"/>
                <w:sz w:val="18"/>
                <w:szCs w:val="18"/>
                <w:color w:val="auto"/>
              </w:rPr>
              <w:t>Rights of Contribution.</w:t>
            </w:r>
          </w:p>
        </w:tc>
        <w:tc>
          <w:tcPr>
            <w:tcW w:w="2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4.07</w:t>
            </w:r>
          </w:p>
        </w:tc>
        <w:tc>
          <w:tcPr>
            <w:tcW w:w="7960" w:type="dxa"/>
            <w:vAlign w:val="bottom"/>
          </w:tcPr>
          <w:p>
            <w:pPr>
              <w:ind w:left="180"/>
              <w:spacing w:after="0"/>
              <w:rPr>
                <w:sz w:val="20"/>
                <w:szCs w:val="20"/>
                <w:color w:val="auto"/>
              </w:rPr>
            </w:pPr>
            <w:r>
              <w:rPr>
                <w:rFonts w:ascii="Arial" w:cs="Arial" w:eastAsia="Arial" w:hAnsi="Arial"/>
                <w:sz w:val="18"/>
                <w:szCs w:val="18"/>
                <w:color w:val="auto"/>
              </w:rPr>
              <w:t>Guarantee of Payment; Continuing Guarantee.</w:t>
            </w:r>
          </w:p>
        </w:tc>
        <w:tc>
          <w:tcPr>
            <w:tcW w:w="2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4.08</w:t>
            </w:r>
          </w:p>
        </w:tc>
        <w:tc>
          <w:tcPr>
            <w:tcW w:w="7960" w:type="dxa"/>
            <w:vAlign w:val="bottom"/>
          </w:tcPr>
          <w:p>
            <w:pPr>
              <w:ind w:left="180"/>
              <w:spacing w:after="0"/>
              <w:rPr>
                <w:sz w:val="20"/>
                <w:szCs w:val="20"/>
                <w:color w:val="auto"/>
              </w:rPr>
            </w:pPr>
            <w:r>
              <w:rPr>
                <w:rFonts w:ascii="Arial" w:cs="Arial" w:eastAsia="Arial" w:hAnsi="Arial"/>
                <w:sz w:val="18"/>
                <w:szCs w:val="18"/>
                <w:color w:val="auto"/>
              </w:rPr>
              <w:t>Keepwell.</w:t>
            </w:r>
          </w:p>
        </w:tc>
        <w:tc>
          <w:tcPr>
            <w:tcW w:w="2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310"/>
        </w:trPr>
        <w:tc>
          <w:tcPr>
            <w:tcW w:w="9000" w:type="dxa"/>
            <w:vAlign w:val="bottom"/>
            <w:gridSpan w:val="2"/>
          </w:tcPr>
          <w:p>
            <w:pPr>
              <w:spacing w:after="0"/>
              <w:rPr>
                <w:sz w:val="20"/>
                <w:szCs w:val="20"/>
                <w:color w:val="auto"/>
              </w:rPr>
            </w:pPr>
            <w:r>
              <w:rPr>
                <w:rFonts w:ascii="Arial" w:cs="Arial" w:eastAsia="Arial" w:hAnsi="Arial"/>
                <w:sz w:val="18"/>
                <w:szCs w:val="18"/>
                <w:color w:val="auto"/>
              </w:rPr>
              <w:t>ARTICLE V CONDITIONS PRECEDENT TO CREDIT EXTENSIONS</w:t>
            </w:r>
          </w:p>
        </w:tc>
        <w:tc>
          <w:tcPr>
            <w:tcW w:w="2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5.01</w:t>
            </w:r>
          </w:p>
        </w:tc>
        <w:tc>
          <w:tcPr>
            <w:tcW w:w="7960" w:type="dxa"/>
            <w:vAlign w:val="bottom"/>
          </w:tcPr>
          <w:p>
            <w:pPr>
              <w:ind w:left="180"/>
              <w:spacing w:after="0"/>
              <w:rPr>
                <w:sz w:val="20"/>
                <w:szCs w:val="20"/>
                <w:color w:val="auto"/>
              </w:rPr>
            </w:pPr>
            <w:r>
              <w:rPr>
                <w:rFonts w:ascii="Arial" w:cs="Arial" w:eastAsia="Arial" w:hAnsi="Arial"/>
                <w:sz w:val="18"/>
                <w:szCs w:val="18"/>
                <w:color w:val="auto"/>
              </w:rPr>
              <w:t>Conditions of Effectiveness.</w:t>
            </w:r>
          </w:p>
        </w:tc>
        <w:tc>
          <w:tcPr>
            <w:tcW w:w="23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5.02</w:t>
            </w:r>
          </w:p>
        </w:tc>
        <w:tc>
          <w:tcPr>
            <w:tcW w:w="7960" w:type="dxa"/>
            <w:vAlign w:val="bottom"/>
          </w:tcPr>
          <w:p>
            <w:pPr>
              <w:ind w:left="180"/>
              <w:spacing w:after="0"/>
              <w:rPr>
                <w:sz w:val="20"/>
                <w:szCs w:val="20"/>
                <w:color w:val="auto"/>
              </w:rPr>
            </w:pPr>
            <w:r>
              <w:rPr>
                <w:rFonts w:ascii="Arial" w:cs="Arial" w:eastAsia="Arial" w:hAnsi="Arial"/>
                <w:sz w:val="18"/>
                <w:szCs w:val="18"/>
                <w:color w:val="auto"/>
              </w:rPr>
              <w:t>Conditions to all Credit Extensions.</w:t>
            </w:r>
          </w:p>
        </w:tc>
        <w:tc>
          <w:tcPr>
            <w:tcW w:w="2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10"/>
        </w:trPr>
        <w:tc>
          <w:tcPr>
            <w:tcW w:w="9000" w:type="dxa"/>
            <w:vAlign w:val="bottom"/>
            <w:gridSpan w:val="2"/>
          </w:tcPr>
          <w:p>
            <w:pPr>
              <w:spacing w:after="0"/>
              <w:rPr>
                <w:sz w:val="20"/>
                <w:szCs w:val="20"/>
                <w:color w:val="auto"/>
              </w:rPr>
            </w:pPr>
            <w:r>
              <w:rPr>
                <w:rFonts w:ascii="Arial" w:cs="Arial" w:eastAsia="Arial" w:hAnsi="Arial"/>
                <w:sz w:val="18"/>
                <w:szCs w:val="18"/>
                <w:color w:val="auto"/>
              </w:rPr>
              <w:t>ARTICLE VI REPRESENTATIONS AND WARRANTIES</w:t>
            </w:r>
          </w:p>
        </w:tc>
        <w:tc>
          <w:tcPr>
            <w:tcW w:w="2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6.01</w:t>
            </w:r>
          </w:p>
        </w:tc>
        <w:tc>
          <w:tcPr>
            <w:tcW w:w="7960" w:type="dxa"/>
            <w:vAlign w:val="bottom"/>
          </w:tcPr>
          <w:p>
            <w:pPr>
              <w:ind w:left="180"/>
              <w:spacing w:after="0"/>
              <w:rPr>
                <w:sz w:val="20"/>
                <w:szCs w:val="20"/>
                <w:color w:val="auto"/>
              </w:rPr>
            </w:pPr>
            <w:r>
              <w:rPr>
                <w:rFonts w:ascii="Arial" w:cs="Arial" w:eastAsia="Arial" w:hAnsi="Arial"/>
                <w:sz w:val="18"/>
                <w:szCs w:val="18"/>
                <w:color w:val="auto"/>
              </w:rPr>
              <w:t>Existence, Qualification and Power.</w:t>
            </w:r>
          </w:p>
        </w:tc>
        <w:tc>
          <w:tcPr>
            <w:tcW w:w="232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6.02</w:t>
            </w:r>
          </w:p>
        </w:tc>
        <w:tc>
          <w:tcPr>
            <w:tcW w:w="7960" w:type="dxa"/>
            <w:vAlign w:val="bottom"/>
          </w:tcPr>
          <w:p>
            <w:pPr>
              <w:ind w:left="180"/>
              <w:spacing w:after="0"/>
              <w:rPr>
                <w:sz w:val="20"/>
                <w:szCs w:val="20"/>
                <w:color w:val="auto"/>
              </w:rPr>
            </w:pPr>
            <w:r>
              <w:rPr>
                <w:rFonts w:ascii="Arial" w:cs="Arial" w:eastAsia="Arial" w:hAnsi="Arial"/>
                <w:sz w:val="18"/>
                <w:szCs w:val="18"/>
                <w:color w:val="auto"/>
              </w:rPr>
              <w:t>Authorization; No Contravention.</w:t>
            </w:r>
          </w:p>
        </w:tc>
        <w:tc>
          <w:tcPr>
            <w:tcW w:w="2320" w:type="dxa"/>
            <w:vAlign w:val="bottom"/>
          </w:tcPr>
          <w:p>
            <w:pPr>
              <w:jc w:val="right"/>
              <w:spacing w:after="0"/>
              <w:rPr>
                <w:sz w:val="20"/>
                <w:szCs w:val="20"/>
                <w:color w:val="auto"/>
              </w:rPr>
            </w:pPr>
            <w:r>
              <w:rPr>
                <w:rFonts w:ascii="Arial" w:cs="Arial" w:eastAsia="Arial" w:hAnsi="Arial"/>
                <w:sz w:val="18"/>
                <w:szCs w:val="18"/>
                <w:color w:val="auto"/>
              </w:rPr>
              <w:t>68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4"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6.03</w:t>
            </w:r>
          </w:p>
        </w:tc>
        <w:tc>
          <w:tcPr>
            <w:tcW w:w="7060" w:type="dxa"/>
            <w:vAlign w:val="bottom"/>
          </w:tcPr>
          <w:p>
            <w:pPr>
              <w:ind w:left="180"/>
              <w:spacing w:after="0"/>
              <w:rPr>
                <w:sz w:val="20"/>
                <w:szCs w:val="20"/>
                <w:color w:val="auto"/>
              </w:rPr>
            </w:pPr>
            <w:r>
              <w:rPr>
                <w:rFonts w:ascii="Arial" w:cs="Arial" w:eastAsia="Arial" w:hAnsi="Arial"/>
                <w:sz w:val="18"/>
                <w:szCs w:val="18"/>
                <w:color w:val="auto"/>
              </w:rPr>
              <w:t>Governmental Authorization; Other Consents.</w:t>
            </w:r>
          </w:p>
        </w:tc>
        <w:tc>
          <w:tcPr>
            <w:tcW w:w="3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6.04</w:t>
            </w:r>
          </w:p>
        </w:tc>
        <w:tc>
          <w:tcPr>
            <w:tcW w:w="7060" w:type="dxa"/>
            <w:vAlign w:val="bottom"/>
          </w:tcPr>
          <w:p>
            <w:pPr>
              <w:ind w:left="180"/>
              <w:spacing w:after="0"/>
              <w:rPr>
                <w:sz w:val="20"/>
                <w:szCs w:val="20"/>
                <w:color w:val="auto"/>
              </w:rPr>
            </w:pPr>
            <w:r>
              <w:rPr>
                <w:rFonts w:ascii="Arial" w:cs="Arial" w:eastAsia="Arial" w:hAnsi="Arial"/>
                <w:sz w:val="18"/>
                <w:szCs w:val="18"/>
                <w:color w:val="auto"/>
              </w:rPr>
              <w:t>Binding Effect.</w:t>
            </w:r>
          </w:p>
        </w:tc>
        <w:tc>
          <w:tcPr>
            <w:tcW w:w="3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6.05</w:t>
            </w:r>
          </w:p>
        </w:tc>
        <w:tc>
          <w:tcPr>
            <w:tcW w:w="7060" w:type="dxa"/>
            <w:vAlign w:val="bottom"/>
          </w:tcPr>
          <w:p>
            <w:pPr>
              <w:ind w:left="180"/>
              <w:spacing w:after="0"/>
              <w:rPr>
                <w:sz w:val="20"/>
                <w:szCs w:val="20"/>
                <w:color w:val="auto"/>
              </w:rPr>
            </w:pPr>
            <w:r>
              <w:rPr>
                <w:rFonts w:ascii="Arial" w:cs="Arial" w:eastAsia="Arial" w:hAnsi="Arial"/>
                <w:sz w:val="18"/>
                <w:szCs w:val="18"/>
                <w:color w:val="auto"/>
              </w:rPr>
              <w:t>Financial Statements; No Material Adverse Effect.</w:t>
            </w:r>
          </w:p>
        </w:tc>
        <w:tc>
          <w:tcPr>
            <w:tcW w:w="32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6.06</w:t>
            </w:r>
          </w:p>
        </w:tc>
        <w:tc>
          <w:tcPr>
            <w:tcW w:w="7060" w:type="dxa"/>
            <w:vAlign w:val="bottom"/>
          </w:tcPr>
          <w:p>
            <w:pPr>
              <w:ind w:left="180"/>
              <w:spacing w:after="0"/>
              <w:rPr>
                <w:sz w:val="20"/>
                <w:szCs w:val="20"/>
                <w:color w:val="auto"/>
              </w:rPr>
            </w:pPr>
            <w:r>
              <w:rPr>
                <w:rFonts w:ascii="Arial" w:cs="Arial" w:eastAsia="Arial" w:hAnsi="Arial"/>
                <w:sz w:val="18"/>
                <w:szCs w:val="18"/>
                <w:color w:val="auto"/>
              </w:rPr>
              <w:t>Litigation.</w:t>
            </w:r>
          </w:p>
        </w:tc>
        <w:tc>
          <w:tcPr>
            <w:tcW w:w="3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6.07</w:t>
            </w:r>
          </w:p>
        </w:tc>
        <w:tc>
          <w:tcPr>
            <w:tcW w:w="7060" w:type="dxa"/>
            <w:vAlign w:val="bottom"/>
          </w:tcPr>
          <w:p>
            <w:pPr>
              <w:ind w:left="180"/>
              <w:spacing w:after="0"/>
              <w:rPr>
                <w:sz w:val="20"/>
                <w:szCs w:val="20"/>
                <w:color w:val="auto"/>
              </w:rPr>
            </w:pPr>
            <w:r>
              <w:rPr>
                <w:rFonts w:ascii="Arial" w:cs="Arial" w:eastAsia="Arial" w:hAnsi="Arial"/>
                <w:sz w:val="18"/>
                <w:szCs w:val="18"/>
                <w:color w:val="auto"/>
              </w:rPr>
              <w:t>No Default.</w:t>
            </w:r>
          </w:p>
        </w:tc>
        <w:tc>
          <w:tcPr>
            <w:tcW w:w="3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6.08</w:t>
            </w:r>
          </w:p>
        </w:tc>
        <w:tc>
          <w:tcPr>
            <w:tcW w:w="7060" w:type="dxa"/>
            <w:vAlign w:val="bottom"/>
          </w:tcPr>
          <w:p>
            <w:pPr>
              <w:ind w:left="180"/>
              <w:spacing w:after="0"/>
              <w:rPr>
                <w:sz w:val="20"/>
                <w:szCs w:val="20"/>
                <w:color w:val="auto"/>
              </w:rPr>
            </w:pPr>
            <w:r>
              <w:rPr>
                <w:rFonts w:ascii="Arial" w:cs="Arial" w:eastAsia="Arial" w:hAnsi="Arial"/>
                <w:sz w:val="18"/>
                <w:szCs w:val="18"/>
                <w:color w:val="auto"/>
              </w:rPr>
              <w:t>Ownership of Property; Liens.</w:t>
            </w:r>
          </w:p>
        </w:tc>
        <w:tc>
          <w:tcPr>
            <w:tcW w:w="3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6.09</w:t>
            </w:r>
          </w:p>
        </w:tc>
        <w:tc>
          <w:tcPr>
            <w:tcW w:w="7060" w:type="dxa"/>
            <w:vAlign w:val="bottom"/>
          </w:tcPr>
          <w:p>
            <w:pPr>
              <w:ind w:left="180"/>
              <w:spacing w:after="0"/>
              <w:rPr>
                <w:sz w:val="20"/>
                <w:szCs w:val="20"/>
                <w:color w:val="auto"/>
              </w:rPr>
            </w:pPr>
            <w:r>
              <w:rPr>
                <w:rFonts w:ascii="Arial" w:cs="Arial" w:eastAsia="Arial" w:hAnsi="Arial"/>
                <w:sz w:val="18"/>
                <w:szCs w:val="18"/>
                <w:color w:val="auto"/>
              </w:rPr>
              <w:t>Environmental Compliance.</w:t>
            </w:r>
          </w:p>
        </w:tc>
        <w:tc>
          <w:tcPr>
            <w:tcW w:w="32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6.10</w:t>
            </w:r>
          </w:p>
        </w:tc>
        <w:tc>
          <w:tcPr>
            <w:tcW w:w="7060" w:type="dxa"/>
            <w:vAlign w:val="bottom"/>
          </w:tcPr>
          <w:p>
            <w:pPr>
              <w:ind w:left="180"/>
              <w:spacing w:after="0"/>
              <w:rPr>
                <w:sz w:val="20"/>
                <w:szCs w:val="20"/>
                <w:color w:val="auto"/>
              </w:rPr>
            </w:pPr>
            <w:r>
              <w:rPr>
                <w:rFonts w:ascii="Arial" w:cs="Arial" w:eastAsia="Arial" w:hAnsi="Arial"/>
                <w:sz w:val="18"/>
                <w:szCs w:val="18"/>
                <w:color w:val="auto"/>
              </w:rPr>
              <w:t>Insurance.</w:t>
            </w:r>
          </w:p>
        </w:tc>
        <w:tc>
          <w:tcPr>
            <w:tcW w:w="3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6.11</w:t>
            </w:r>
          </w:p>
        </w:tc>
        <w:tc>
          <w:tcPr>
            <w:tcW w:w="7060" w:type="dxa"/>
            <w:vAlign w:val="bottom"/>
          </w:tcPr>
          <w:p>
            <w:pPr>
              <w:ind w:left="180"/>
              <w:spacing w:after="0"/>
              <w:rPr>
                <w:sz w:val="20"/>
                <w:szCs w:val="20"/>
                <w:color w:val="auto"/>
              </w:rPr>
            </w:pPr>
            <w:r>
              <w:rPr>
                <w:rFonts w:ascii="Arial" w:cs="Arial" w:eastAsia="Arial" w:hAnsi="Arial"/>
                <w:sz w:val="18"/>
                <w:szCs w:val="18"/>
                <w:color w:val="auto"/>
              </w:rPr>
              <w:t>Taxes.</w:t>
            </w:r>
          </w:p>
        </w:tc>
        <w:tc>
          <w:tcPr>
            <w:tcW w:w="3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6.12</w:t>
            </w:r>
          </w:p>
        </w:tc>
        <w:tc>
          <w:tcPr>
            <w:tcW w:w="7060" w:type="dxa"/>
            <w:vAlign w:val="bottom"/>
          </w:tcPr>
          <w:p>
            <w:pPr>
              <w:ind w:left="180"/>
              <w:spacing w:after="0"/>
              <w:rPr>
                <w:sz w:val="20"/>
                <w:szCs w:val="20"/>
                <w:color w:val="auto"/>
              </w:rPr>
            </w:pPr>
            <w:r>
              <w:rPr>
                <w:rFonts w:ascii="Arial" w:cs="Arial" w:eastAsia="Arial" w:hAnsi="Arial"/>
                <w:sz w:val="18"/>
                <w:szCs w:val="18"/>
                <w:color w:val="auto"/>
              </w:rPr>
              <w:t>ERISA Compliance.</w:t>
            </w:r>
          </w:p>
        </w:tc>
        <w:tc>
          <w:tcPr>
            <w:tcW w:w="32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6.13</w:t>
            </w:r>
          </w:p>
        </w:tc>
        <w:tc>
          <w:tcPr>
            <w:tcW w:w="7060" w:type="dxa"/>
            <w:vAlign w:val="bottom"/>
          </w:tcPr>
          <w:p>
            <w:pPr>
              <w:ind w:left="180"/>
              <w:spacing w:after="0"/>
              <w:rPr>
                <w:sz w:val="20"/>
                <w:szCs w:val="20"/>
                <w:color w:val="auto"/>
              </w:rPr>
            </w:pPr>
            <w:r>
              <w:rPr>
                <w:rFonts w:ascii="Arial" w:cs="Arial" w:eastAsia="Arial" w:hAnsi="Arial"/>
                <w:sz w:val="18"/>
                <w:szCs w:val="18"/>
                <w:color w:val="auto"/>
              </w:rPr>
              <w:t>Subsidiaries.</w:t>
            </w:r>
          </w:p>
        </w:tc>
        <w:tc>
          <w:tcPr>
            <w:tcW w:w="3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6.14</w:t>
            </w:r>
          </w:p>
        </w:tc>
        <w:tc>
          <w:tcPr>
            <w:tcW w:w="7060" w:type="dxa"/>
            <w:vAlign w:val="bottom"/>
          </w:tcPr>
          <w:p>
            <w:pPr>
              <w:ind w:left="180"/>
              <w:spacing w:after="0"/>
              <w:rPr>
                <w:sz w:val="20"/>
                <w:szCs w:val="20"/>
                <w:color w:val="auto"/>
              </w:rPr>
            </w:pPr>
            <w:r>
              <w:rPr>
                <w:rFonts w:ascii="Arial" w:cs="Arial" w:eastAsia="Arial" w:hAnsi="Arial"/>
                <w:sz w:val="18"/>
                <w:szCs w:val="18"/>
                <w:color w:val="auto"/>
              </w:rPr>
              <w:t>Margin Regulations; Investment Company Act.</w:t>
            </w:r>
          </w:p>
        </w:tc>
        <w:tc>
          <w:tcPr>
            <w:tcW w:w="32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6.15</w:t>
            </w:r>
          </w:p>
        </w:tc>
        <w:tc>
          <w:tcPr>
            <w:tcW w:w="7060" w:type="dxa"/>
            <w:vAlign w:val="bottom"/>
          </w:tcPr>
          <w:p>
            <w:pPr>
              <w:ind w:left="180"/>
              <w:spacing w:after="0"/>
              <w:rPr>
                <w:sz w:val="20"/>
                <w:szCs w:val="20"/>
                <w:color w:val="auto"/>
              </w:rPr>
            </w:pPr>
            <w:r>
              <w:rPr>
                <w:rFonts w:ascii="Arial" w:cs="Arial" w:eastAsia="Arial" w:hAnsi="Arial"/>
                <w:sz w:val="18"/>
                <w:szCs w:val="18"/>
                <w:color w:val="auto"/>
              </w:rPr>
              <w:t>Disclosure.</w:t>
            </w:r>
          </w:p>
        </w:tc>
        <w:tc>
          <w:tcPr>
            <w:tcW w:w="3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6.16</w:t>
            </w:r>
          </w:p>
        </w:tc>
        <w:tc>
          <w:tcPr>
            <w:tcW w:w="7060" w:type="dxa"/>
            <w:vAlign w:val="bottom"/>
          </w:tcPr>
          <w:p>
            <w:pPr>
              <w:ind w:left="180"/>
              <w:spacing w:after="0"/>
              <w:rPr>
                <w:sz w:val="20"/>
                <w:szCs w:val="20"/>
                <w:color w:val="auto"/>
              </w:rPr>
            </w:pPr>
            <w:r>
              <w:rPr>
                <w:rFonts w:ascii="Arial" w:cs="Arial" w:eastAsia="Arial" w:hAnsi="Arial"/>
                <w:sz w:val="18"/>
                <w:szCs w:val="18"/>
                <w:color w:val="auto"/>
              </w:rPr>
              <w:t>Compliance with Laws.</w:t>
            </w:r>
          </w:p>
        </w:tc>
        <w:tc>
          <w:tcPr>
            <w:tcW w:w="3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6.17</w:t>
            </w:r>
          </w:p>
        </w:tc>
        <w:tc>
          <w:tcPr>
            <w:tcW w:w="7060" w:type="dxa"/>
            <w:vAlign w:val="bottom"/>
          </w:tcPr>
          <w:p>
            <w:pPr>
              <w:ind w:left="180"/>
              <w:spacing w:after="0"/>
              <w:rPr>
                <w:sz w:val="20"/>
                <w:szCs w:val="20"/>
                <w:color w:val="auto"/>
              </w:rPr>
            </w:pPr>
            <w:r>
              <w:rPr>
                <w:rFonts w:ascii="Arial" w:cs="Arial" w:eastAsia="Arial" w:hAnsi="Arial"/>
                <w:sz w:val="18"/>
                <w:szCs w:val="18"/>
                <w:color w:val="auto"/>
              </w:rPr>
              <w:t>Intellectual Property; Licenses, Etc.</w:t>
            </w:r>
          </w:p>
        </w:tc>
        <w:tc>
          <w:tcPr>
            <w:tcW w:w="3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6.18</w:t>
            </w:r>
          </w:p>
        </w:tc>
        <w:tc>
          <w:tcPr>
            <w:tcW w:w="7060" w:type="dxa"/>
            <w:vAlign w:val="bottom"/>
          </w:tcPr>
          <w:p>
            <w:pPr>
              <w:ind w:left="180"/>
              <w:spacing w:after="0"/>
              <w:rPr>
                <w:sz w:val="20"/>
                <w:szCs w:val="20"/>
                <w:color w:val="auto"/>
              </w:rPr>
            </w:pPr>
            <w:r>
              <w:rPr>
                <w:rFonts w:ascii="Arial" w:cs="Arial" w:eastAsia="Arial" w:hAnsi="Arial"/>
                <w:sz w:val="18"/>
                <w:szCs w:val="18"/>
                <w:color w:val="auto"/>
              </w:rPr>
              <w:t>Solvency.</w:t>
            </w:r>
          </w:p>
        </w:tc>
        <w:tc>
          <w:tcPr>
            <w:tcW w:w="3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6.19</w:t>
            </w:r>
          </w:p>
        </w:tc>
        <w:tc>
          <w:tcPr>
            <w:tcW w:w="7060" w:type="dxa"/>
            <w:vAlign w:val="bottom"/>
          </w:tcPr>
          <w:p>
            <w:pPr>
              <w:ind w:left="180"/>
              <w:spacing w:after="0"/>
              <w:rPr>
                <w:sz w:val="20"/>
                <w:szCs w:val="20"/>
                <w:color w:val="auto"/>
              </w:rPr>
            </w:pPr>
            <w:r>
              <w:rPr>
                <w:rFonts w:ascii="Arial" w:cs="Arial" w:eastAsia="Arial" w:hAnsi="Arial"/>
                <w:sz w:val="18"/>
                <w:szCs w:val="18"/>
                <w:color w:val="auto"/>
              </w:rPr>
              <w:t>[Reserved].</w:t>
            </w:r>
          </w:p>
        </w:tc>
        <w:tc>
          <w:tcPr>
            <w:tcW w:w="3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6.20</w:t>
            </w:r>
          </w:p>
        </w:tc>
        <w:tc>
          <w:tcPr>
            <w:tcW w:w="7060" w:type="dxa"/>
            <w:vAlign w:val="bottom"/>
          </w:tcPr>
          <w:p>
            <w:pPr>
              <w:ind w:left="180"/>
              <w:spacing w:after="0"/>
              <w:rPr>
                <w:sz w:val="20"/>
                <w:szCs w:val="20"/>
                <w:color w:val="auto"/>
              </w:rPr>
            </w:pPr>
            <w:r>
              <w:rPr>
                <w:rFonts w:ascii="Arial" w:cs="Arial" w:eastAsia="Arial" w:hAnsi="Arial"/>
                <w:sz w:val="18"/>
                <w:szCs w:val="18"/>
                <w:color w:val="auto"/>
              </w:rPr>
              <w:t>Business Locations; Taxpayer Identification Number.</w:t>
            </w:r>
          </w:p>
        </w:tc>
        <w:tc>
          <w:tcPr>
            <w:tcW w:w="3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6.21</w:t>
            </w:r>
          </w:p>
        </w:tc>
        <w:tc>
          <w:tcPr>
            <w:tcW w:w="7060" w:type="dxa"/>
            <w:vAlign w:val="bottom"/>
          </w:tcPr>
          <w:p>
            <w:pPr>
              <w:ind w:left="180"/>
              <w:spacing w:after="0"/>
              <w:rPr>
                <w:sz w:val="20"/>
                <w:szCs w:val="20"/>
                <w:color w:val="auto"/>
              </w:rPr>
            </w:pPr>
            <w:r>
              <w:rPr>
                <w:rFonts w:ascii="Arial" w:cs="Arial" w:eastAsia="Arial" w:hAnsi="Arial"/>
                <w:sz w:val="18"/>
                <w:szCs w:val="18"/>
                <w:color w:val="auto"/>
              </w:rPr>
              <w:t>OFAC.</w:t>
            </w:r>
          </w:p>
        </w:tc>
        <w:tc>
          <w:tcPr>
            <w:tcW w:w="3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6.22</w:t>
            </w:r>
          </w:p>
        </w:tc>
        <w:tc>
          <w:tcPr>
            <w:tcW w:w="7060" w:type="dxa"/>
            <w:vAlign w:val="bottom"/>
          </w:tcPr>
          <w:p>
            <w:pPr>
              <w:ind w:left="180"/>
              <w:spacing w:after="0"/>
              <w:rPr>
                <w:sz w:val="20"/>
                <w:szCs w:val="20"/>
                <w:color w:val="auto"/>
              </w:rPr>
            </w:pPr>
            <w:r>
              <w:rPr>
                <w:rFonts w:ascii="Arial" w:cs="Arial" w:eastAsia="Arial" w:hAnsi="Arial"/>
                <w:sz w:val="18"/>
                <w:szCs w:val="18"/>
                <w:color w:val="auto"/>
              </w:rPr>
              <w:t>Anti-Corruption Laws.</w:t>
            </w:r>
          </w:p>
        </w:tc>
        <w:tc>
          <w:tcPr>
            <w:tcW w:w="3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8100" w:type="dxa"/>
            <w:vAlign w:val="bottom"/>
            <w:gridSpan w:val="2"/>
          </w:tcPr>
          <w:p>
            <w:pPr>
              <w:spacing w:after="0"/>
              <w:rPr>
                <w:sz w:val="20"/>
                <w:szCs w:val="20"/>
                <w:color w:val="auto"/>
              </w:rPr>
            </w:pPr>
            <w:r>
              <w:rPr>
                <w:rFonts w:ascii="Arial" w:cs="Arial" w:eastAsia="Arial" w:hAnsi="Arial"/>
                <w:sz w:val="18"/>
                <w:szCs w:val="18"/>
                <w:color w:val="auto"/>
              </w:rPr>
              <w:t>ARTICLE VII AFFIRMATIVE COVENANTS</w:t>
            </w:r>
          </w:p>
        </w:tc>
        <w:tc>
          <w:tcPr>
            <w:tcW w:w="3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7.01</w:t>
            </w:r>
          </w:p>
        </w:tc>
        <w:tc>
          <w:tcPr>
            <w:tcW w:w="706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3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7.02</w:t>
            </w:r>
          </w:p>
        </w:tc>
        <w:tc>
          <w:tcPr>
            <w:tcW w:w="7060" w:type="dxa"/>
            <w:vAlign w:val="bottom"/>
          </w:tcPr>
          <w:p>
            <w:pPr>
              <w:ind w:left="180"/>
              <w:spacing w:after="0"/>
              <w:rPr>
                <w:sz w:val="20"/>
                <w:szCs w:val="20"/>
                <w:color w:val="auto"/>
              </w:rPr>
            </w:pPr>
            <w:r>
              <w:rPr>
                <w:rFonts w:ascii="Arial" w:cs="Arial" w:eastAsia="Arial" w:hAnsi="Arial"/>
                <w:sz w:val="18"/>
                <w:szCs w:val="18"/>
                <w:color w:val="auto"/>
              </w:rPr>
              <w:t>Certificates; Other Information.</w:t>
            </w:r>
          </w:p>
        </w:tc>
        <w:tc>
          <w:tcPr>
            <w:tcW w:w="32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7.03</w:t>
            </w:r>
          </w:p>
        </w:tc>
        <w:tc>
          <w:tcPr>
            <w:tcW w:w="7060" w:type="dxa"/>
            <w:vAlign w:val="bottom"/>
          </w:tcPr>
          <w:p>
            <w:pPr>
              <w:ind w:left="180"/>
              <w:spacing w:after="0"/>
              <w:rPr>
                <w:sz w:val="20"/>
                <w:szCs w:val="20"/>
                <w:color w:val="auto"/>
              </w:rPr>
            </w:pPr>
            <w:r>
              <w:rPr>
                <w:rFonts w:ascii="Arial" w:cs="Arial" w:eastAsia="Arial" w:hAnsi="Arial"/>
                <w:sz w:val="18"/>
                <w:szCs w:val="18"/>
                <w:color w:val="auto"/>
              </w:rPr>
              <w:t>Notices.</w:t>
            </w:r>
          </w:p>
        </w:tc>
        <w:tc>
          <w:tcPr>
            <w:tcW w:w="32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7.04</w:t>
            </w:r>
          </w:p>
        </w:tc>
        <w:tc>
          <w:tcPr>
            <w:tcW w:w="7060" w:type="dxa"/>
            <w:vAlign w:val="bottom"/>
          </w:tcPr>
          <w:p>
            <w:pPr>
              <w:ind w:left="180"/>
              <w:spacing w:after="0"/>
              <w:rPr>
                <w:sz w:val="20"/>
                <w:szCs w:val="20"/>
                <w:color w:val="auto"/>
              </w:rPr>
            </w:pPr>
            <w:r>
              <w:rPr>
                <w:rFonts w:ascii="Arial" w:cs="Arial" w:eastAsia="Arial" w:hAnsi="Arial"/>
                <w:sz w:val="18"/>
                <w:szCs w:val="18"/>
                <w:color w:val="auto"/>
              </w:rPr>
              <w:t>Payment of Taxes.</w:t>
            </w:r>
          </w:p>
        </w:tc>
        <w:tc>
          <w:tcPr>
            <w:tcW w:w="3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7.05</w:t>
            </w:r>
          </w:p>
        </w:tc>
        <w:tc>
          <w:tcPr>
            <w:tcW w:w="7060" w:type="dxa"/>
            <w:vAlign w:val="bottom"/>
          </w:tcPr>
          <w:p>
            <w:pPr>
              <w:ind w:left="180"/>
              <w:spacing w:after="0"/>
              <w:rPr>
                <w:sz w:val="20"/>
                <w:szCs w:val="20"/>
                <w:color w:val="auto"/>
              </w:rPr>
            </w:pPr>
            <w:r>
              <w:rPr>
                <w:rFonts w:ascii="Arial" w:cs="Arial" w:eastAsia="Arial" w:hAnsi="Arial"/>
                <w:sz w:val="18"/>
                <w:szCs w:val="18"/>
                <w:color w:val="auto"/>
              </w:rPr>
              <w:t>Preservation of Existence, Etc.</w:t>
            </w:r>
          </w:p>
        </w:tc>
        <w:tc>
          <w:tcPr>
            <w:tcW w:w="3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7.06</w:t>
            </w:r>
          </w:p>
        </w:tc>
        <w:tc>
          <w:tcPr>
            <w:tcW w:w="7060" w:type="dxa"/>
            <w:vAlign w:val="bottom"/>
          </w:tcPr>
          <w:p>
            <w:pPr>
              <w:ind w:left="180"/>
              <w:spacing w:after="0"/>
              <w:rPr>
                <w:sz w:val="20"/>
                <w:szCs w:val="20"/>
                <w:color w:val="auto"/>
              </w:rPr>
            </w:pPr>
            <w:r>
              <w:rPr>
                <w:rFonts w:ascii="Arial" w:cs="Arial" w:eastAsia="Arial" w:hAnsi="Arial"/>
                <w:sz w:val="18"/>
                <w:szCs w:val="18"/>
                <w:color w:val="auto"/>
              </w:rPr>
              <w:t>Maintenance of Properties.</w:t>
            </w:r>
          </w:p>
        </w:tc>
        <w:tc>
          <w:tcPr>
            <w:tcW w:w="32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7.07</w:t>
            </w:r>
          </w:p>
        </w:tc>
        <w:tc>
          <w:tcPr>
            <w:tcW w:w="7060" w:type="dxa"/>
            <w:vAlign w:val="bottom"/>
          </w:tcPr>
          <w:p>
            <w:pPr>
              <w:ind w:left="180"/>
              <w:spacing w:after="0"/>
              <w:rPr>
                <w:sz w:val="20"/>
                <w:szCs w:val="20"/>
                <w:color w:val="auto"/>
              </w:rPr>
            </w:pPr>
            <w:r>
              <w:rPr>
                <w:rFonts w:ascii="Arial" w:cs="Arial" w:eastAsia="Arial" w:hAnsi="Arial"/>
                <w:sz w:val="18"/>
                <w:szCs w:val="18"/>
                <w:color w:val="auto"/>
              </w:rPr>
              <w:t>Maintenance of Insurance.</w:t>
            </w:r>
          </w:p>
        </w:tc>
        <w:tc>
          <w:tcPr>
            <w:tcW w:w="32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7.08</w:t>
            </w:r>
          </w:p>
        </w:tc>
        <w:tc>
          <w:tcPr>
            <w:tcW w:w="7060" w:type="dxa"/>
            <w:vAlign w:val="bottom"/>
          </w:tcPr>
          <w:p>
            <w:pPr>
              <w:ind w:left="180"/>
              <w:spacing w:after="0"/>
              <w:rPr>
                <w:sz w:val="20"/>
                <w:szCs w:val="20"/>
                <w:color w:val="auto"/>
              </w:rPr>
            </w:pPr>
            <w:r>
              <w:rPr>
                <w:rFonts w:ascii="Arial" w:cs="Arial" w:eastAsia="Arial" w:hAnsi="Arial"/>
                <w:sz w:val="18"/>
                <w:szCs w:val="18"/>
                <w:color w:val="auto"/>
              </w:rPr>
              <w:t>Compliance with Laws.</w:t>
            </w:r>
          </w:p>
        </w:tc>
        <w:tc>
          <w:tcPr>
            <w:tcW w:w="32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7.09</w:t>
            </w:r>
          </w:p>
        </w:tc>
        <w:tc>
          <w:tcPr>
            <w:tcW w:w="7060" w:type="dxa"/>
            <w:vAlign w:val="bottom"/>
          </w:tcPr>
          <w:p>
            <w:pPr>
              <w:ind w:left="180"/>
              <w:spacing w:after="0"/>
              <w:rPr>
                <w:sz w:val="20"/>
                <w:szCs w:val="20"/>
                <w:color w:val="auto"/>
              </w:rPr>
            </w:pPr>
            <w:r>
              <w:rPr>
                <w:rFonts w:ascii="Arial" w:cs="Arial" w:eastAsia="Arial" w:hAnsi="Arial"/>
                <w:sz w:val="18"/>
                <w:szCs w:val="18"/>
                <w:color w:val="auto"/>
              </w:rPr>
              <w:t>Books and Records.</w:t>
            </w:r>
          </w:p>
        </w:tc>
        <w:tc>
          <w:tcPr>
            <w:tcW w:w="32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7.10</w:t>
            </w:r>
          </w:p>
        </w:tc>
        <w:tc>
          <w:tcPr>
            <w:tcW w:w="7060" w:type="dxa"/>
            <w:vAlign w:val="bottom"/>
          </w:tcPr>
          <w:p>
            <w:pPr>
              <w:ind w:left="180"/>
              <w:spacing w:after="0"/>
              <w:rPr>
                <w:sz w:val="20"/>
                <w:szCs w:val="20"/>
                <w:color w:val="auto"/>
              </w:rPr>
            </w:pPr>
            <w:r>
              <w:rPr>
                <w:rFonts w:ascii="Arial" w:cs="Arial" w:eastAsia="Arial" w:hAnsi="Arial"/>
                <w:sz w:val="18"/>
                <w:szCs w:val="18"/>
                <w:color w:val="auto"/>
              </w:rPr>
              <w:t>Inspection Rights.</w:t>
            </w:r>
          </w:p>
        </w:tc>
        <w:tc>
          <w:tcPr>
            <w:tcW w:w="32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7.11</w:t>
            </w:r>
          </w:p>
        </w:tc>
        <w:tc>
          <w:tcPr>
            <w:tcW w:w="706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32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7.12</w:t>
            </w:r>
          </w:p>
        </w:tc>
        <w:tc>
          <w:tcPr>
            <w:tcW w:w="7060" w:type="dxa"/>
            <w:vAlign w:val="bottom"/>
          </w:tcPr>
          <w:p>
            <w:pPr>
              <w:ind w:left="180"/>
              <w:spacing w:after="0"/>
              <w:rPr>
                <w:sz w:val="20"/>
                <w:szCs w:val="20"/>
                <w:color w:val="auto"/>
              </w:rPr>
            </w:pPr>
            <w:r>
              <w:rPr>
                <w:rFonts w:ascii="Arial" w:cs="Arial" w:eastAsia="Arial" w:hAnsi="Arial"/>
                <w:sz w:val="18"/>
                <w:szCs w:val="18"/>
                <w:color w:val="auto"/>
              </w:rPr>
              <w:t>Additional Guarantors.</w:t>
            </w:r>
          </w:p>
        </w:tc>
        <w:tc>
          <w:tcPr>
            <w:tcW w:w="322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7.13</w:t>
            </w:r>
          </w:p>
        </w:tc>
        <w:tc>
          <w:tcPr>
            <w:tcW w:w="7060" w:type="dxa"/>
            <w:vAlign w:val="bottom"/>
          </w:tcPr>
          <w:p>
            <w:pPr>
              <w:ind w:left="180"/>
              <w:spacing w:after="0"/>
              <w:rPr>
                <w:sz w:val="20"/>
                <w:szCs w:val="20"/>
                <w:color w:val="auto"/>
              </w:rPr>
            </w:pPr>
            <w:r>
              <w:rPr>
                <w:rFonts w:ascii="Arial" w:cs="Arial" w:eastAsia="Arial" w:hAnsi="Arial"/>
                <w:sz w:val="18"/>
                <w:szCs w:val="18"/>
                <w:color w:val="auto"/>
              </w:rPr>
              <w:t>Pledged Assets.</w:t>
            </w:r>
          </w:p>
        </w:tc>
        <w:tc>
          <w:tcPr>
            <w:tcW w:w="3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7.14</w:t>
            </w:r>
          </w:p>
        </w:tc>
        <w:tc>
          <w:tcPr>
            <w:tcW w:w="7060" w:type="dxa"/>
            <w:vAlign w:val="bottom"/>
          </w:tcPr>
          <w:p>
            <w:pPr>
              <w:ind w:left="180"/>
              <w:spacing w:after="0"/>
              <w:rPr>
                <w:sz w:val="20"/>
                <w:szCs w:val="20"/>
                <w:color w:val="auto"/>
              </w:rPr>
            </w:pPr>
            <w:r>
              <w:rPr>
                <w:rFonts w:ascii="Arial" w:cs="Arial" w:eastAsia="Arial" w:hAnsi="Arial"/>
                <w:sz w:val="18"/>
                <w:szCs w:val="18"/>
                <w:color w:val="auto"/>
              </w:rPr>
              <w:t>Compliance with Contractual Obligations.</w:t>
            </w:r>
          </w:p>
        </w:tc>
        <w:tc>
          <w:tcPr>
            <w:tcW w:w="32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7.15</w:t>
            </w:r>
          </w:p>
        </w:tc>
        <w:tc>
          <w:tcPr>
            <w:tcW w:w="7060" w:type="dxa"/>
            <w:vAlign w:val="bottom"/>
          </w:tcPr>
          <w:p>
            <w:pPr>
              <w:ind w:left="180"/>
              <w:spacing w:after="0"/>
              <w:rPr>
                <w:sz w:val="20"/>
                <w:szCs w:val="20"/>
                <w:color w:val="auto"/>
              </w:rPr>
            </w:pPr>
            <w:r>
              <w:rPr>
                <w:rFonts w:ascii="Arial" w:cs="Arial" w:eastAsia="Arial" w:hAnsi="Arial"/>
                <w:sz w:val="18"/>
                <w:szCs w:val="18"/>
                <w:color w:val="auto"/>
              </w:rPr>
              <w:t>Maintenance of Primary Depository Relationship.</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7.16</w:t>
            </w:r>
          </w:p>
        </w:tc>
        <w:tc>
          <w:tcPr>
            <w:tcW w:w="7060" w:type="dxa"/>
            <w:vAlign w:val="bottom"/>
          </w:tcPr>
          <w:p>
            <w:pPr>
              <w:ind w:left="180"/>
              <w:spacing w:after="0"/>
              <w:rPr>
                <w:sz w:val="20"/>
                <w:szCs w:val="20"/>
                <w:color w:val="auto"/>
              </w:rPr>
            </w:pPr>
            <w:r>
              <w:rPr>
                <w:rFonts w:ascii="Arial" w:cs="Arial" w:eastAsia="Arial" w:hAnsi="Arial"/>
                <w:sz w:val="18"/>
                <w:szCs w:val="18"/>
                <w:color w:val="auto"/>
              </w:rPr>
              <w:t>Regulatory Letter of Credit.</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7.17</w:t>
            </w:r>
          </w:p>
        </w:tc>
        <w:tc>
          <w:tcPr>
            <w:tcW w:w="7060" w:type="dxa"/>
            <w:vAlign w:val="bottom"/>
          </w:tcPr>
          <w:p>
            <w:pPr>
              <w:ind w:left="180"/>
              <w:spacing w:after="0"/>
              <w:rPr>
                <w:sz w:val="20"/>
                <w:szCs w:val="20"/>
                <w:color w:val="auto"/>
              </w:rPr>
            </w:pPr>
            <w:r>
              <w:rPr>
                <w:rFonts w:ascii="Arial" w:cs="Arial" w:eastAsia="Arial" w:hAnsi="Arial"/>
                <w:sz w:val="18"/>
                <w:szCs w:val="18"/>
                <w:color w:val="auto"/>
              </w:rPr>
              <w:t>Encroachments.</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7.18</w:t>
            </w:r>
          </w:p>
        </w:tc>
        <w:tc>
          <w:tcPr>
            <w:tcW w:w="7060" w:type="dxa"/>
            <w:vAlign w:val="bottom"/>
          </w:tcPr>
          <w:p>
            <w:pPr>
              <w:ind w:left="180"/>
              <w:spacing w:after="0"/>
              <w:rPr>
                <w:sz w:val="20"/>
                <w:szCs w:val="20"/>
                <w:color w:val="auto"/>
              </w:rPr>
            </w:pPr>
            <w:r>
              <w:rPr>
                <w:rFonts w:ascii="Arial" w:cs="Arial" w:eastAsia="Arial" w:hAnsi="Arial"/>
                <w:sz w:val="18"/>
                <w:szCs w:val="18"/>
                <w:color w:val="auto"/>
              </w:rPr>
              <w:t>Anti-Corruption Laws.</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10"/>
        </w:trPr>
        <w:tc>
          <w:tcPr>
            <w:tcW w:w="8100" w:type="dxa"/>
            <w:vAlign w:val="bottom"/>
            <w:gridSpan w:val="2"/>
          </w:tcPr>
          <w:p>
            <w:pPr>
              <w:spacing w:after="0"/>
              <w:rPr>
                <w:sz w:val="20"/>
                <w:szCs w:val="20"/>
                <w:color w:val="auto"/>
              </w:rPr>
            </w:pPr>
            <w:r>
              <w:rPr>
                <w:rFonts w:ascii="Arial" w:cs="Arial" w:eastAsia="Arial" w:hAnsi="Arial"/>
                <w:sz w:val="18"/>
                <w:szCs w:val="18"/>
                <w:color w:val="auto"/>
              </w:rPr>
              <w:t>ARTICLE VIII NEGATIVE COVENANTS</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8.01</w:t>
            </w:r>
          </w:p>
        </w:tc>
        <w:tc>
          <w:tcPr>
            <w:tcW w:w="7060" w:type="dxa"/>
            <w:vAlign w:val="bottom"/>
          </w:tcPr>
          <w:p>
            <w:pPr>
              <w:ind w:left="180"/>
              <w:spacing w:after="0"/>
              <w:rPr>
                <w:sz w:val="20"/>
                <w:szCs w:val="20"/>
                <w:color w:val="auto"/>
              </w:rPr>
            </w:pPr>
            <w:r>
              <w:rPr>
                <w:rFonts w:ascii="Arial" w:cs="Arial" w:eastAsia="Arial" w:hAnsi="Arial"/>
                <w:sz w:val="18"/>
                <w:szCs w:val="18"/>
                <w:color w:val="auto"/>
              </w:rPr>
              <w:t>Liens.</w:t>
            </w:r>
          </w:p>
        </w:tc>
        <w:tc>
          <w:tcPr>
            <w:tcW w:w="32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8.02</w:t>
            </w:r>
          </w:p>
        </w:tc>
        <w:tc>
          <w:tcPr>
            <w:tcW w:w="70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32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8.03</w:t>
            </w:r>
          </w:p>
        </w:tc>
        <w:tc>
          <w:tcPr>
            <w:tcW w:w="7060" w:type="dxa"/>
            <w:vAlign w:val="bottom"/>
          </w:tcPr>
          <w:p>
            <w:pPr>
              <w:ind w:left="180"/>
              <w:spacing w:after="0"/>
              <w:rPr>
                <w:sz w:val="20"/>
                <w:szCs w:val="20"/>
                <w:color w:val="auto"/>
              </w:rPr>
            </w:pPr>
            <w:r>
              <w:rPr>
                <w:rFonts w:ascii="Arial" w:cs="Arial" w:eastAsia="Arial" w:hAnsi="Arial"/>
                <w:sz w:val="18"/>
                <w:szCs w:val="18"/>
                <w:color w:val="auto"/>
              </w:rPr>
              <w:t>Indebtedness.</w:t>
            </w:r>
          </w:p>
        </w:tc>
        <w:tc>
          <w:tcPr>
            <w:tcW w:w="32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8.04</w:t>
            </w:r>
          </w:p>
        </w:tc>
        <w:tc>
          <w:tcPr>
            <w:tcW w:w="7060" w:type="dxa"/>
            <w:vAlign w:val="bottom"/>
          </w:tcPr>
          <w:p>
            <w:pPr>
              <w:ind w:left="180"/>
              <w:spacing w:after="0"/>
              <w:rPr>
                <w:sz w:val="20"/>
                <w:szCs w:val="20"/>
                <w:color w:val="auto"/>
              </w:rPr>
            </w:pPr>
            <w:r>
              <w:rPr>
                <w:rFonts w:ascii="Arial" w:cs="Arial" w:eastAsia="Arial" w:hAnsi="Arial"/>
                <w:sz w:val="18"/>
                <w:szCs w:val="18"/>
                <w:color w:val="auto"/>
              </w:rPr>
              <w:t>Fundamental Changes.</w:t>
            </w:r>
          </w:p>
        </w:tc>
        <w:tc>
          <w:tcPr>
            <w:tcW w:w="32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8.05</w:t>
            </w:r>
          </w:p>
        </w:tc>
        <w:tc>
          <w:tcPr>
            <w:tcW w:w="7060" w:type="dxa"/>
            <w:vAlign w:val="bottom"/>
          </w:tcPr>
          <w:p>
            <w:pPr>
              <w:ind w:left="180"/>
              <w:spacing w:after="0"/>
              <w:rPr>
                <w:sz w:val="20"/>
                <w:szCs w:val="20"/>
                <w:color w:val="auto"/>
              </w:rPr>
            </w:pPr>
            <w:r>
              <w:rPr>
                <w:rFonts w:ascii="Arial" w:cs="Arial" w:eastAsia="Arial" w:hAnsi="Arial"/>
                <w:sz w:val="18"/>
                <w:szCs w:val="18"/>
                <w:color w:val="auto"/>
              </w:rPr>
              <w:t>Dispositions.</w:t>
            </w:r>
          </w:p>
        </w:tc>
        <w:tc>
          <w:tcPr>
            <w:tcW w:w="32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8.06</w:t>
            </w:r>
          </w:p>
        </w:tc>
        <w:tc>
          <w:tcPr>
            <w:tcW w:w="7060" w:type="dxa"/>
            <w:vAlign w:val="bottom"/>
          </w:tcPr>
          <w:p>
            <w:pPr>
              <w:ind w:left="180"/>
              <w:spacing w:after="0"/>
              <w:rPr>
                <w:sz w:val="20"/>
                <w:szCs w:val="20"/>
                <w:color w:val="auto"/>
              </w:rPr>
            </w:pPr>
            <w:r>
              <w:rPr>
                <w:rFonts w:ascii="Arial" w:cs="Arial" w:eastAsia="Arial" w:hAnsi="Arial"/>
                <w:sz w:val="18"/>
                <w:szCs w:val="18"/>
                <w:color w:val="auto"/>
              </w:rPr>
              <w:t>Restricted Payments.</w:t>
            </w:r>
          </w:p>
        </w:tc>
        <w:tc>
          <w:tcPr>
            <w:tcW w:w="32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8.07</w:t>
            </w:r>
          </w:p>
        </w:tc>
        <w:tc>
          <w:tcPr>
            <w:tcW w:w="7060" w:type="dxa"/>
            <w:vAlign w:val="bottom"/>
          </w:tcPr>
          <w:p>
            <w:pPr>
              <w:ind w:left="180"/>
              <w:spacing w:after="0"/>
              <w:rPr>
                <w:sz w:val="20"/>
                <w:szCs w:val="20"/>
                <w:color w:val="auto"/>
              </w:rPr>
            </w:pPr>
            <w:r>
              <w:rPr>
                <w:rFonts w:ascii="Arial" w:cs="Arial" w:eastAsia="Arial" w:hAnsi="Arial"/>
                <w:sz w:val="18"/>
                <w:szCs w:val="18"/>
                <w:color w:val="auto"/>
              </w:rPr>
              <w:t>Change in Nature of Business.</w:t>
            </w:r>
          </w:p>
        </w:tc>
        <w:tc>
          <w:tcPr>
            <w:tcW w:w="32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8.08</w:t>
            </w:r>
          </w:p>
        </w:tc>
        <w:tc>
          <w:tcPr>
            <w:tcW w:w="7060" w:type="dxa"/>
            <w:vAlign w:val="bottom"/>
          </w:tcPr>
          <w:p>
            <w:pPr>
              <w:ind w:left="180"/>
              <w:spacing w:after="0"/>
              <w:rPr>
                <w:sz w:val="20"/>
                <w:szCs w:val="20"/>
                <w:color w:val="auto"/>
              </w:rPr>
            </w:pPr>
            <w:r>
              <w:rPr>
                <w:rFonts w:ascii="Arial" w:cs="Arial" w:eastAsia="Arial" w:hAnsi="Arial"/>
                <w:sz w:val="18"/>
                <w:szCs w:val="18"/>
                <w:color w:val="auto"/>
              </w:rPr>
              <w:t>Transactions with Affiliates.</w:t>
            </w:r>
          </w:p>
        </w:tc>
        <w:tc>
          <w:tcPr>
            <w:tcW w:w="32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8.09</w:t>
            </w:r>
          </w:p>
        </w:tc>
        <w:tc>
          <w:tcPr>
            <w:tcW w:w="7060" w:type="dxa"/>
            <w:vAlign w:val="bottom"/>
          </w:tcPr>
          <w:p>
            <w:pPr>
              <w:ind w:left="180"/>
              <w:spacing w:after="0"/>
              <w:rPr>
                <w:sz w:val="20"/>
                <w:szCs w:val="20"/>
                <w:color w:val="auto"/>
              </w:rPr>
            </w:pPr>
            <w:r>
              <w:rPr>
                <w:rFonts w:ascii="Arial" w:cs="Arial" w:eastAsia="Arial" w:hAnsi="Arial"/>
                <w:sz w:val="18"/>
                <w:szCs w:val="18"/>
                <w:color w:val="auto"/>
              </w:rPr>
              <w:t>Burdensome Agreements.</w:t>
            </w:r>
          </w:p>
        </w:tc>
        <w:tc>
          <w:tcPr>
            <w:tcW w:w="32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1040" w:type="dxa"/>
            <w:vAlign w:val="bottom"/>
          </w:tcPr>
          <w:p>
            <w:pPr>
              <w:jc w:val="right"/>
              <w:ind w:right="90"/>
              <w:spacing w:after="0"/>
              <w:rPr>
                <w:sz w:val="20"/>
                <w:szCs w:val="20"/>
                <w:color w:val="auto"/>
              </w:rPr>
            </w:pPr>
            <w:r>
              <w:rPr>
                <w:rFonts w:ascii="Arial" w:cs="Arial" w:eastAsia="Arial" w:hAnsi="Arial"/>
                <w:sz w:val="18"/>
                <w:szCs w:val="18"/>
                <w:color w:val="auto"/>
              </w:rPr>
              <w:t>8.10</w:t>
            </w:r>
          </w:p>
        </w:tc>
        <w:tc>
          <w:tcPr>
            <w:tcW w:w="706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322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8.11</w:t>
            </w:r>
          </w:p>
        </w:tc>
        <w:tc>
          <w:tcPr>
            <w:tcW w:w="8340" w:type="dxa"/>
            <w:vAlign w:val="bottom"/>
          </w:tcPr>
          <w:p>
            <w:pPr>
              <w:ind w:left="140"/>
              <w:spacing w:after="0"/>
              <w:rPr>
                <w:sz w:val="20"/>
                <w:szCs w:val="20"/>
                <w:color w:val="auto"/>
              </w:rPr>
            </w:pPr>
            <w:r>
              <w:rPr>
                <w:rFonts w:ascii="Arial" w:cs="Arial" w:eastAsia="Arial" w:hAnsi="Arial"/>
                <w:sz w:val="18"/>
                <w:szCs w:val="18"/>
                <w:color w:val="auto"/>
              </w:rPr>
              <w:t>Financial Covenants.</w:t>
            </w:r>
          </w:p>
        </w:tc>
        <w:tc>
          <w:tcPr>
            <w:tcW w:w="19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8.12</w:t>
            </w:r>
          </w:p>
        </w:tc>
        <w:tc>
          <w:tcPr>
            <w:tcW w:w="8340" w:type="dxa"/>
            <w:vAlign w:val="bottom"/>
          </w:tcPr>
          <w:p>
            <w:pPr>
              <w:ind w:left="140"/>
              <w:spacing w:after="0"/>
              <w:rPr>
                <w:sz w:val="20"/>
                <w:szCs w:val="20"/>
                <w:color w:val="auto"/>
              </w:rPr>
            </w:pPr>
            <w:r>
              <w:rPr>
                <w:rFonts w:ascii="Arial" w:cs="Arial" w:eastAsia="Arial" w:hAnsi="Arial"/>
                <w:sz w:val="18"/>
                <w:szCs w:val="18"/>
                <w:color w:val="auto"/>
              </w:rPr>
              <w:t>Organization Documents; Fiscal Year; Legal Name, State of Formation and Form of Entity.</w:t>
            </w:r>
          </w:p>
        </w:tc>
        <w:tc>
          <w:tcPr>
            <w:tcW w:w="1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8.13</w:t>
            </w:r>
          </w:p>
        </w:tc>
        <w:tc>
          <w:tcPr>
            <w:tcW w:w="8340" w:type="dxa"/>
            <w:vAlign w:val="bottom"/>
          </w:tcPr>
          <w:p>
            <w:pPr>
              <w:ind w:left="140"/>
              <w:spacing w:after="0"/>
              <w:rPr>
                <w:sz w:val="20"/>
                <w:szCs w:val="20"/>
                <w:color w:val="auto"/>
              </w:rPr>
            </w:pPr>
            <w:r>
              <w:rPr>
                <w:rFonts w:ascii="Arial" w:cs="Arial" w:eastAsia="Arial" w:hAnsi="Arial"/>
                <w:sz w:val="18"/>
                <w:szCs w:val="18"/>
                <w:color w:val="auto"/>
              </w:rPr>
              <w:t>Ownership of Subsidiaries.</w:t>
            </w:r>
          </w:p>
        </w:tc>
        <w:tc>
          <w:tcPr>
            <w:tcW w:w="1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8.14</w:t>
            </w:r>
          </w:p>
        </w:tc>
        <w:tc>
          <w:tcPr>
            <w:tcW w:w="8340" w:type="dxa"/>
            <w:vAlign w:val="bottom"/>
          </w:tcPr>
          <w:p>
            <w:pPr>
              <w:ind w:left="140"/>
              <w:spacing w:after="0"/>
              <w:rPr>
                <w:sz w:val="20"/>
                <w:szCs w:val="20"/>
                <w:color w:val="auto"/>
              </w:rPr>
            </w:pPr>
            <w:r>
              <w:rPr>
                <w:rFonts w:ascii="Arial" w:cs="Arial" w:eastAsia="Arial" w:hAnsi="Arial"/>
                <w:sz w:val="18"/>
                <w:szCs w:val="18"/>
                <w:color w:val="auto"/>
              </w:rPr>
              <w:t>Sale Leasebacks.</w:t>
            </w:r>
          </w:p>
        </w:tc>
        <w:tc>
          <w:tcPr>
            <w:tcW w:w="1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8.15</w:t>
            </w:r>
          </w:p>
        </w:tc>
        <w:tc>
          <w:tcPr>
            <w:tcW w:w="8340" w:type="dxa"/>
            <w:vAlign w:val="bottom"/>
          </w:tcPr>
          <w:p>
            <w:pPr>
              <w:ind w:left="140"/>
              <w:spacing w:after="0"/>
              <w:rPr>
                <w:sz w:val="20"/>
                <w:szCs w:val="20"/>
                <w:color w:val="auto"/>
              </w:rPr>
            </w:pPr>
            <w:r>
              <w:rPr>
                <w:rFonts w:ascii="Arial" w:cs="Arial" w:eastAsia="Arial" w:hAnsi="Arial"/>
                <w:sz w:val="18"/>
                <w:szCs w:val="18"/>
                <w:color w:val="auto"/>
              </w:rPr>
              <w:t>Sanctions.</w:t>
            </w:r>
          </w:p>
        </w:tc>
        <w:tc>
          <w:tcPr>
            <w:tcW w:w="1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8.16</w:t>
            </w:r>
          </w:p>
        </w:tc>
        <w:tc>
          <w:tcPr>
            <w:tcW w:w="8340" w:type="dxa"/>
            <w:vAlign w:val="bottom"/>
          </w:tcPr>
          <w:p>
            <w:pPr>
              <w:ind w:left="140"/>
              <w:spacing w:after="0"/>
              <w:rPr>
                <w:sz w:val="20"/>
                <w:szCs w:val="20"/>
                <w:color w:val="auto"/>
              </w:rPr>
            </w:pPr>
            <w:r>
              <w:rPr>
                <w:rFonts w:ascii="Arial" w:cs="Arial" w:eastAsia="Arial" w:hAnsi="Arial"/>
                <w:sz w:val="18"/>
                <w:szCs w:val="18"/>
                <w:color w:val="auto"/>
              </w:rPr>
              <w:t>Educational Covenants.</w:t>
            </w:r>
          </w:p>
        </w:tc>
        <w:tc>
          <w:tcPr>
            <w:tcW w:w="19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8.17</w:t>
            </w:r>
          </w:p>
        </w:tc>
        <w:tc>
          <w:tcPr>
            <w:tcW w:w="8340" w:type="dxa"/>
            <w:vAlign w:val="bottom"/>
          </w:tcPr>
          <w:p>
            <w:pPr>
              <w:ind w:left="140"/>
              <w:spacing w:after="0"/>
              <w:rPr>
                <w:sz w:val="20"/>
                <w:szCs w:val="20"/>
                <w:color w:val="auto"/>
              </w:rPr>
            </w:pPr>
            <w:r>
              <w:rPr>
                <w:rFonts w:ascii="Arial" w:cs="Arial" w:eastAsia="Arial" w:hAnsi="Arial"/>
                <w:sz w:val="18"/>
                <w:szCs w:val="18"/>
                <w:color w:val="auto"/>
              </w:rPr>
              <w:t>NMTC Subsidiaries; NMTC Indebtedness.</w:t>
            </w:r>
          </w:p>
        </w:tc>
        <w:tc>
          <w:tcPr>
            <w:tcW w:w="19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10"/>
        </w:trPr>
        <w:tc>
          <w:tcPr>
            <w:tcW w:w="9420" w:type="dxa"/>
            <w:vAlign w:val="bottom"/>
            <w:gridSpan w:val="2"/>
          </w:tcPr>
          <w:p>
            <w:pPr>
              <w:spacing w:after="0"/>
              <w:rPr>
                <w:sz w:val="20"/>
                <w:szCs w:val="20"/>
                <w:color w:val="auto"/>
              </w:rPr>
            </w:pPr>
            <w:r>
              <w:rPr>
                <w:rFonts w:ascii="Arial" w:cs="Arial" w:eastAsia="Arial" w:hAnsi="Arial"/>
                <w:sz w:val="18"/>
                <w:szCs w:val="18"/>
                <w:color w:val="auto"/>
              </w:rPr>
              <w:t>ARTICLE IX EVENTS OF DEFAULT AND REMEDIES</w:t>
            </w:r>
          </w:p>
        </w:tc>
        <w:tc>
          <w:tcPr>
            <w:tcW w:w="19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9.01</w:t>
            </w:r>
          </w:p>
        </w:tc>
        <w:tc>
          <w:tcPr>
            <w:tcW w:w="834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19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9.02</w:t>
            </w:r>
          </w:p>
        </w:tc>
        <w:tc>
          <w:tcPr>
            <w:tcW w:w="8340" w:type="dxa"/>
            <w:vAlign w:val="bottom"/>
          </w:tcPr>
          <w:p>
            <w:pPr>
              <w:ind w:left="140"/>
              <w:spacing w:after="0"/>
              <w:rPr>
                <w:sz w:val="20"/>
                <w:szCs w:val="20"/>
                <w:color w:val="auto"/>
              </w:rPr>
            </w:pPr>
            <w:r>
              <w:rPr>
                <w:rFonts w:ascii="Arial" w:cs="Arial" w:eastAsia="Arial" w:hAnsi="Arial"/>
                <w:sz w:val="18"/>
                <w:szCs w:val="18"/>
                <w:color w:val="auto"/>
              </w:rPr>
              <w:t>Remedies Upon Event of Default.</w:t>
            </w:r>
          </w:p>
        </w:tc>
        <w:tc>
          <w:tcPr>
            <w:tcW w:w="19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9.03</w:t>
            </w:r>
          </w:p>
        </w:tc>
        <w:tc>
          <w:tcPr>
            <w:tcW w:w="8340" w:type="dxa"/>
            <w:vAlign w:val="bottom"/>
          </w:tcPr>
          <w:p>
            <w:pPr>
              <w:ind w:left="140"/>
              <w:spacing w:after="0"/>
              <w:rPr>
                <w:sz w:val="20"/>
                <w:szCs w:val="20"/>
                <w:color w:val="auto"/>
              </w:rPr>
            </w:pPr>
            <w:r>
              <w:rPr>
                <w:rFonts w:ascii="Arial" w:cs="Arial" w:eastAsia="Arial" w:hAnsi="Arial"/>
                <w:sz w:val="18"/>
                <w:szCs w:val="18"/>
                <w:color w:val="auto"/>
              </w:rPr>
              <w:t>Application of Funds.</w:t>
            </w:r>
          </w:p>
        </w:tc>
        <w:tc>
          <w:tcPr>
            <w:tcW w:w="19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10"/>
        </w:trPr>
        <w:tc>
          <w:tcPr>
            <w:tcW w:w="9420" w:type="dxa"/>
            <w:vAlign w:val="bottom"/>
            <w:gridSpan w:val="2"/>
          </w:tcPr>
          <w:p>
            <w:pPr>
              <w:spacing w:after="0"/>
              <w:rPr>
                <w:sz w:val="20"/>
                <w:szCs w:val="20"/>
                <w:color w:val="auto"/>
              </w:rPr>
            </w:pPr>
            <w:r>
              <w:rPr>
                <w:rFonts w:ascii="Arial" w:cs="Arial" w:eastAsia="Arial" w:hAnsi="Arial"/>
                <w:sz w:val="18"/>
                <w:szCs w:val="18"/>
                <w:color w:val="auto"/>
              </w:rPr>
              <w:t>ARTICLE X ADMINISTRATIVE AGENT</w:t>
            </w:r>
          </w:p>
        </w:tc>
        <w:tc>
          <w:tcPr>
            <w:tcW w:w="1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10.01</w:t>
            </w:r>
          </w:p>
        </w:tc>
        <w:tc>
          <w:tcPr>
            <w:tcW w:w="8340" w:type="dxa"/>
            <w:vAlign w:val="bottom"/>
          </w:tcPr>
          <w:p>
            <w:pPr>
              <w:ind w:left="140"/>
              <w:spacing w:after="0"/>
              <w:rPr>
                <w:sz w:val="20"/>
                <w:szCs w:val="20"/>
                <w:color w:val="auto"/>
              </w:rPr>
            </w:pPr>
            <w:r>
              <w:rPr>
                <w:rFonts w:ascii="Arial" w:cs="Arial" w:eastAsia="Arial" w:hAnsi="Arial"/>
                <w:sz w:val="18"/>
                <w:szCs w:val="18"/>
                <w:color w:val="auto"/>
              </w:rPr>
              <w:t>Appointment and Authority.</w:t>
            </w:r>
          </w:p>
        </w:tc>
        <w:tc>
          <w:tcPr>
            <w:tcW w:w="19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10.02</w:t>
            </w:r>
          </w:p>
        </w:tc>
        <w:tc>
          <w:tcPr>
            <w:tcW w:w="8340" w:type="dxa"/>
            <w:vAlign w:val="bottom"/>
          </w:tcPr>
          <w:p>
            <w:pPr>
              <w:ind w:left="140"/>
              <w:spacing w:after="0"/>
              <w:rPr>
                <w:sz w:val="20"/>
                <w:szCs w:val="20"/>
                <w:color w:val="auto"/>
              </w:rPr>
            </w:pPr>
            <w:r>
              <w:rPr>
                <w:rFonts w:ascii="Arial" w:cs="Arial" w:eastAsia="Arial" w:hAnsi="Arial"/>
                <w:sz w:val="18"/>
                <w:szCs w:val="18"/>
                <w:color w:val="auto"/>
              </w:rPr>
              <w:t>Rights as a Lender.</w:t>
            </w:r>
          </w:p>
        </w:tc>
        <w:tc>
          <w:tcPr>
            <w:tcW w:w="19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10.03</w:t>
            </w:r>
          </w:p>
        </w:tc>
        <w:tc>
          <w:tcPr>
            <w:tcW w:w="8340" w:type="dxa"/>
            <w:vAlign w:val="bottom"/>
          </w:tcPr>
          <w:p>
            <w:pPr>
              <w:ind w:left="140"/>
              <w:spacing w:after="0"/>
              <w:rPr>
                <w:sz w:val="20"/>
                <w:szCs w:val="20"/>
                <w:color w:val="auto"/>
              </w:rPr>
            </w:pPr>
            <w:r>
              <w:rPr>
                <w:rFonts w:ascii="Arial" w:cs="Arial" w:eastAsia="Arial" w:hAnsi="Arial"/>
                <w:sz w:val="18"/>
                <w:szCs w:val="18"/>
                <w:color w:val="auto"/>
              </w:rPr>
              <w:t>Exculpatory Provisions.</w:t>
            </w:r>
          </w:p>
        </w:tc>
        <w:tc>
          <w:tcPr>
            <w:tcW w:w="19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10.04</w:t>
            </w:r>
          </w:p>
        </w:tc>
        <w:tc>
          <w:tcPr>
            <w:tcW w:w="8340" w:type="dxa"/>
            <w:vAlign w:val="bottom"/>
          </w:tcPr>
          <w:p>
            <w:pPr>
              <w:ind w:left="140"/>
              <w:spacing w:after="0"/>
              <w:rPr>
                <w:sz w:val="20"/>
                <w:szCs w:val="20"/>
                <w:color w:val="auto"/>
              </w:rPr>
            </w:pPr>
            <w:r>
              <w:rPr>
                <w:rFonts w:ascii="Arial" w:cs="Arial" w:eastAsia="Arial" w:hAnsi="Arial"/>
                <w:sz w:val="18"/>
                <w:szCs w:val="18"/>
                <w:color w:val="auto"/>
              </w:rPr>
              <w:t>Reliance by Administrative Agent.</w:t>
            </w:r>
          </w:p>
        </w:tc>
        <w:tc>
          <w:tcPr>
            <w:tcW w:w="19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10.05</w:t>
            </w:r>
          </w:p>
        </w:tc>
        <w:tc>
          <w:tcPr>
            <w:tcW w:w="8340" w:type="dxa"/>
            <w:vAlign w:val="bottom"/>
          </w:tcPr>
          <w:p>
            <w:pPr>
              <w:ind w:left="140"/>
              <w:spacing w:after="0"/>
              <w:rPr>
                <w:sz w:val="20"/>
                <w:szCs w:val="20"/>
                <w:color w:val="auto"/>
              </w:rPr>
            </w:pPr>
            <w:r>
              <w:rPr>
                <w:rFonts w:ascii="Arial" w:cs="Arial" w:eastAsia="Arial" w:hAnsi="Arial"/>
                <w:sz w:val="18"/>
                <w:szCs w:val="18"/>
                <w:color w:val="auto"/>
              </w:rPr>
              <w:t>Delegation of Duties.</w:t>
            </w:r>
          </w:p>
        </w:tc>
        <w:tc>
          <w:tcPr>
            <w:tcW w:w="19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10.06</w:t>
            </w:r>
          </w:p>
        </w:tc>
        <w:tc>
          <w:tcPr>
            <w:tcW w:w="8340" w:type="dxa"/>
            <w:vAlign w:val="bottom"/>
          </w:tcPr>
          <w:p>
            <w:pPr>
              <w:ind w:left="140"/>
              <w:spacing w:after="0"/>
              <w:rPr>
                <w:sz w:val="20"/>
                <w:szCs w:val="20"/>
                <w:color w:val="auto"/>
              </w:rPr>
            </w:pPr>
            <w:r>
              <w:rPr>
                <w:rFonts w:ascii="Arial" w:cs="Arial" w:eastAsia="Arial" w:hAnsi="Arial"/>
                <w:sz w:val="18"/>
                <w:szCs w:val="18"/>
                <w:color w:val="auto"/>
              </w:rPr>
              <w:t>Resignation of Administrative Agent.</w:t>
            </w:r>
          </w:p>
        </w:tc>
        <w:tc>
          <w:tcPr>
            <w:tcW w:w="19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10.07</w:t>
            </w:r>
          </w:p>
        </w:tc>
        <w:tc>
          <w:tcPr>
            <w:tcW w:w="8340" w:type="dxa"/>
            <w:vAlign w:val="bottom"/>
          </w:tcPr>
          <w:p>
            <w:pPr>
              <w:ind w:left="140"/>
              <w:spacing w:after="0"/>
              <w:rPr>
                <w:sz w:val="20"/>
                <w:szCs w:val="20"/>
                <w:color w:val="auto"/>
              </w:rPr>
            </w:pPr>
            <w:r>
              <w:rPr>
                <w:rFonts w:ascii="Arial" w:cs="Arial" w:eastAsia="Arial" w:hAnsi="Arial"/>
                <w:sz w:val="18"/>
                <w:szCs w:val="18"/>
                <w:color w:val="auto"/>
              </w:rPr>
              <w:t>Non-Reliance on Administrative Agent and Other Lenders.</w:t>
            </w:r>
          </w:p>
        </w:tc>
        <w:tc>
          <w:tcPr>
            <w:tcW w:w="1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10.08</w:t>
            </w:r>
          </w:p>
        </w:tc>
        <w:tc>
          <w:tcPr>
            <w:tcW w:w="8340" w:type="dxa"/>
            <w:vAlign w:val="bottom"/>
          </w:tcPr>
          <w:p>
            <w:pPr>
              <w:ind w:left="140"/>
              <w:spacing w:after="0"/>
              <w:rPr>
                <w:sz w:val="20"/>
                <w:szCs w:val="20"/>
                <w:color w:val="auto"/>
              </w:rPr>
            </w:pPr>
            <w:r>
              <w:rPr>
                <w:rFonts w:ascii="Arial" w:cs="Arial" w:eastAsia="Arial" w:hAnsi="Arial"/>
                <w:sz w:val="18"/>
                <w:szCs w:val="18"/>
                <w:color w:val="auto"/>
              </w:rPr>
              <w:t>No Other Duties; Etc.</w:t>
            </w:r>
          </w:p>
        </w:tc>
        <w:tc>
          <w:tcPr>
            <w:tcW w:w="1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10.09</w:t>
            </w:r>
          </w:p>
        </w:tc>
        <w:tc>
          <w:tcPr>
            <w:tcW w:w="8340" w:type="dxa"/>
            <w:vAlign w:val="bottom"/>
          </w:tcPr>
          <w:p>
            <w:pPr>
              <w:ind w:left="140"/>
              <w:spacing w:after="0"/>
              <w:rPr>
                <w:sz w:val="20"/>
                <w:szCs w:val="20"/>
                <w:color w:val="auto"/>
              </w:rPr>
            </w:pPr>
            <w:r>
              <w:rPr>
                <w:rFonts w:ascii="Arial" w:cs="Arial" w:eastAsia="Arial" w:hAnsi="Arial"/>
                <w:sz w:val="18"/>
                <w:szCs w:val="18"/>
                <w:color w:val="auto"/>
              </w:rPr>
              <w:t>Administrative Agent May File Proofs of Claim.</w:t>
            </w:r>
          </w:p>
        </w:tc>
        <w:tc>
          <w:tcPr>
            <w:tcW w:w="19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10.10</w:t>
            </w:r>
          </w:p>
        </w:tc>
        <w:tc>
          <w:tcPr>
            <w:tcW w:w="8340" w:type="dxa"/>
            <w:vAlign w:val="bottom"/>
          </w:tcPr>
          <w:p>
            <w:pPr>
              <w:ind w:left="140"/>
              <w:spacing w:after="0"/>
              <w:rPr>
                <w:sz w:val="20"/>
                <w:szCs w:val="20"/>
                <w:color w:val="auto"/>
              </w:rPr>
            </w:pPr>
            <w:r>
              <w:rPr>
                <w:rFonts w:ascii="Arial" w:cs="Arial" w:eastAsia="Arial" w:hAnsi="Arial"/>
                <w:sz w:val="18"/>
                <w:szCs w:val="18"/>
                <w:color w:val="auto"/>
              </w:rPr>
              <w:t>Collateral and Guaranty Matters.</w:t>
            </w:r>
          </w:p>
        </w:tc>
        <w:tc>
          <w:tcPr>
            <w:tcW w:w="1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10.11</w:t>
            </w:r>
          </w:p>
        </w:tc>
        <w:tc>
          <w:tcPr>
            <w:tcW w:w="8340" w:type="dxa"/>
            <w:vAlign w:val="bottom"/>
          </w:tcPr>
          <w:p>
            <w:pPr>
              <w:ind w:left="140"/>
              <w:spacing w:after="0"/>
              <w:rPr>
                <w:sz w:val="20"/>
                <w:szCs w:val="20"/>
                <w:color w:val="auto"/>
              </w:rPr>
            </w:pPr>
            <w:r>
              <w:rPr>
                <w:rFonts w:ascii="Arial" w:cs="Arial" w:eastAsia="Arial" w:hAnsi="Arial"/>
                <w:sz w:val="18"/>
                <w:szCs w:val="18"/>
                <w:color w:val="auto"/>
              </w:rPr>
              <w:t>Secured Cash Management Agreements and Secured Hedge Agreements.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10"/>
        </w:trPr>
        <w:tc>
          <w:tcPr>
            <w:tcW w:w="9420" w:type="dxa"/>
            <w:vAlign w:val="bottom"/>
            <w:gridSpan w:val="2"/>
          </w:tcPr>
          <w:p>
            <w:pPr>
              <w:spacing w:after="0"/>
              <w:rPr>
                <w:sz w:val="20"/>
                <w:szCs w:val="20"/>
                <w:color w:val="auto"/>
              </w:rPr>
            </w:pPr>
            <w:r>
              <w:rPr>
                <w:rFonts w:ascii="Arial" w:cs="Arial" w:eastAsia="Arial" w:hAnsi="Arial"/>
                <w:sz w:val="18"/>
                <w:szCs w:val="18"/>
                <w:color w:val="auto"/>
              </w:rPr>
              <w:t>ARTICLE XI MISCELLANEOUS</w:t>
            </w:r>
          </w:p>
        </w:tc>
        <w:tc>
          <w:tcPr>
            <w:tcW w:w="19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11.01</w:t>
            </w:r>
          </w:p>
        </w:tc>
        <w:tc>
          <w:tcPr>
            <w:tcW w:w="8340" w:type="dxa"/>
            <w:vAlign w:val="bottom"/>
          </w:tcPr>
          <w:p>
            <w:pPr>
              <w:ind w:left="140"/>
              <w:spacing w:after="0"/>
              <w:rPr>
                <w:sz w:val="20"/>
                <w:szCs w:val="20"/>
                <w:color w:val="auto"/>
              </w:rPr>
            </w:pPr>
            <w:r>
              <w:rPr>
                <w:rFonts w:ascii="Arial" w:cs="Arial" w:eastAsia="Arial" w:hAnsi="Arial"/>
                <w:sz w:val="18"/>
                <w:szCs w:val="18"/>
                <w:color w:val="auto"/>
              </w:rPr>
              <w:t>Amendments, Etc.</w:t>
            </w:r>
          </w:p>
        </w:tc>
        <w:tc>
          <w:tcPr>
            <w:tcW w:w="190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11.02</w:t>
            </w:r>
          </w:p>
        </w:tc>
        <w:tc>
          <w:tcPr>
            <w:tcW w:w="8340" w:type="dxa"/>
            <w:vAlign w:val="bottom"/>
          </w:tcPr>
          <w:p>
            <w:pPr>
              <w:ind w:left="140"/>
              <w:spacing w:after="0"/>
              <w:rPr>
                <w:sz w:val="20"/>
                <w:szCs w:val="20"/>
                <w:color w:val="auto"/>
              </w:rPr>
            </w:pPr>
            <w:r>
              <w:rPr>
                <w:rFonts w:ascii="Arial" w:cs="Arial" w:eastAsia="Arial" w:hAnsi="Arial"/>
                <w:sz w:val="18"/>
                <w:szCs w:val="18"/>
                <w:color w:val="auto"/>
              </w:rPr>
              <w:t>Notices; Effectiveness; Electronic Communications.</w:t>
            </w:r>
          </w:p>
        </w:tc>
        <w:tc>
          <w:tcPr>
            <w:tcW w:w="19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11.03</w:t>
            </w:r>
          </w:p>
        </w:tc>
        <w:tc>
          <w:tcPr>
            <w:tcW w:w="8340" w:type="dxa"/>
            <w:vAlign w:val="bottom"/>
          </w:tcPr>
          <w:p>
            <w:pPr>
              <w:ind w:left="140"/>
              <w:spacing w:after="0"/>
              <w:rPr>
                <w:sz w:val="20"/>
                <w:szCs w:val="20"/>
                <w:color w:val="auto"/>
              </w:rPr>
            </w:pPr>
            <w:r>
              <w:rPr>
                <w:rFonts w:ascii="Arial" w:cs="Arial" w:eastAsia="Arial" w:hAnsi="Arial"/>
                <w:sz w:val="18"/>
                <w:szCs w:val="18"/>
                <w:color w:val="auto"/>
              </w:rPr>
              <w:t>No Waiver; Cumulative Remedies; Enforcement.</w:t>
            </w:r>
          </w:p>
        </w:tc>
        <w:tc>
          <w:tcPr>
            <w:tcW w:w="19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11.04</w:t>
            </w:r>
          </w:p>
        </w:tc>
        <w:tc>
          <w:tcPr>
            <w:tcW w:w="8340" w:type="dxa"/>
            <w:vAlign w:val="bottom"/>
          </w:tcPr>
          <w:p>
            <w:pPr>
              <w:ind w:left="140"/>
              <w:spacing w:after="0"/>
              <w:rPr>
                <w:sz w:val="20"/>
                <w:szCs w:val="20"/>
                <w:color w:val="auto"/>
              </w:rPr>
            </w:pPr>
            <w:r>
              <w:rPr>
                <w:rFonts w:ascii="Arial" w:cs="Arial" w:eastAsia="Arial" w:hAnsi="Arial"/>
                <w:sz w:val="18"/>
                <w:szCs w:val="18"/>
                <w:color w:val="auto"/>
              </w:rPr>
              <w:t>Expenses; Indemnity; Damage Waiver.</w:t>
            </w:r>
          </w:p>
        </w:tc>
        <w:tc>
          <w:tcPr>
            <w:tcW w:w="19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11.05</w:t>
            </w:r>
          </w:p>
        </w:tc>
        <w:tc>
          <w:tcPr>
            <w:tcW w:w="8340" w:type="dxa"/>
            <w:vAlign w:val="bottom"/>
          </w:tcPr>
          <w:p>
            <w:pPr>
              <w:ind w:left="140"/>
              <w:spacing w:after="0"/>
              <w:rPr>
                <w:sz w:val="20"/>
                <w:szCs w:val="20"/>
                <w:color w:val="auto"/>
              </w:rPr>
            </w:pPr>
            <w:r>
              <w:rPr>
                <w:rFonts w:ascii="Arial" w:cs="Arial" w:eastAsia="Arial" w:hAnsi="Arial"/>
                <w:sz w:val="18"/>
                <w:szCs w:val="18"/>
                <w:color w:val="auto"/>
              </w:rPr>
              <w:t>Payments Set Aside.</w:t>
            </w:r>
          </w:p>
        </w:tc>
        <w:tc>
          <w:tcPr>
            <w:tcW w:w="1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11.06</w:t>
            </w:r>
          </w:p>
        </w:tc>
        <w:tc>
          <w:tcPr>
            <w:tcW w:w="8340" w:type="dxa"/>
            <w:vAlign w:val="bottom"/>
          </w:tcPr>
          <w:p>
            <w:pPr>
              <w:ind w:left="140"/>
              <w:spacing w:after="0"/>
              <w:rPr>
                <w:sz w:val="20"/>
                <w:szCs w:val="20"/>
                <w:color w:val="auto"/>
              </w:rPr>
            </w:pPr>
            <w:r>
              <w:rPr>
                <w:rFonts w:ascii="Arial" w:cs="Arial" w:eastAsia="Arial" w:hAnsi="Arial"/>
                <w:sz w:val="18"/>
                <w:szCs w:val="18"/>
                <w:color w:val="auto"/>
              </w:rPr>
              <w:t>Successors and Assigns.</w:t>
            </w:r>
          </w:p>
        </w:tc>
        <w:tc>
          <w:tcPr>
            <w:tcW w:w="19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11.07</w:t>
            </w:r>
          </w:p>
        </w:tc>
        <w:tc>
          <w:tcPr>
            <w:tcW w:w="8340" w:type="dxa"/>
            <w:vAlign w:val="bottom"/>
          </w:tcPr>
          <w:p>
            <w:pPr>
              <w:ind w:left="140"/>
              <w:spacing w:after="0"/>
              <w:rPr>
                <w:sz w:val="20"/>
                <w:szCs w:val="20"/>
                <w:color w:val="auto"/>
              </w:rPr>
            </w:pPr>
            <w:r>
              <w:rPr>
                <w:rFonts w:ascii="Arial" w:cs="Arial" w:eastAsia="Arial" w:hAnsi="Arial"/>
                <w:sz w:val="18"/>
                <w:szCs w:val="18"/>
                <w:color w:val="auto"/>
              </w:rPr>
              <w:t>Treatment of Certain Information; Confidentiality.</w:t>
            </w:r>
          </w:p>
        </w:tc>
        <w:tc>
          <w:tcPr>
            <w:tcW w:w="19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11.08</w:t>
            </w:r>
          </w:p>
        </w:tc>
        <w:tc>
          <w:tcPr>
            <w:tcW w:w="8340" w:type="dxa"/>
            <w:vAlign w:val="bottom"/>
          </w:tcPr>
          <w:p>
            <w:pPr>
              <w:ind w:left="140"/>
              <w:spacing w:after="0"/>
              <w:rPr>
                <w:sz w:val="20"/>
                <w:szCs w:val="20"/>
                <w:color w:val="auto"/>
              </w:rPr>
            </w:pPr>
            <w:r>
              <w:rPr>
                <w:rFonts w:ascii="Arial" w:cs="Arial" w:eastAsia="Arial" w:hAnsi="Arial"/>
                <w:sz w:val="18"/>
                <w:szCs w:val="18"/>
                <w:color w:val="auto"/>
              </w:rPr>
              <w:t>Right of Setoff.</w:t>
            </w:r>
          </w:p>
        </w:tc>
        <w:tc>
          <w:tcPr>
            <w:tcW w:w="19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11.09</w:t>
            </w:r>
          </w:p>
        </w:tc>
        <w:tc>
          <w:tcPr>
            <w:tcW w:w="8340" w:type="dxa"/>
            <w:vAlign w:val="bottom"/>
          </w:tcPr>
          <w:p>
            <w:pPr>
              <w:ind w:left="140"/>
              <w:spacing w:after="0"/>
              <w:rPr>
                <w:sz w:val="20"/>
                <w:szCs w:val="20"/>
                <w:color w:val="auto"/>
              </w:rPr>
            </w:pPr>
            <w:r>
              <w:rPr>
                <w:rFonts w:ascii="Arial" w:cs="Arial" w:eastAsia="Arial" w:hAnsi="Arial"/>
                <w:sz w:val="18"/>
                <w:szCs w:val="18"/>
                <w:color w:val="auto"/>
              </w:rPr>
              <w:t>Interest Rate Limitation.</w:t>
            </w:r>
          </w:p>
        </w:tc>
        <w:tc>
          <w:tcPr>
            <w:tcW w:w="19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11.10</w:t>
            </w:r>
          </w:p>
        </w:tc>
        <w:tc>
          <w:tcPr>
            <w:tcW w:w="8340" w:type="dxa"/>
            <w:vAlign w:val="bottom"/>
          </w:tcPr>
          <w:p>
            <w:pPr>
              <w:ind w:left="140"/>
              <w:spacing w:after="0"/>
              <w:rPr>
                <w:sz w:val="20"/>
                <w:szCs w:val="20"/>
                <w:color w:val="auto"/>
              </w:rPr>
            </w:pPr>
            <w:r>
              <w:rPr>
                <w:rFonts w:ascii="Arial" w:cs="Arial" w:eastAsia="Arial" w:hAnsi="Arial"/>
                <w:sz w:val="18"/>
                <w:szCs w:val="18"/>
                <w:color w:val="auto"/>
              </w:rPr>
              <w:t>Counterparts; Integration; Effectiveness.</w:t>
            </w:r>
          </w:p>
        </w:tc>
        <w:tc>
          <w:tcPr>
            <w:tcW w:w="19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11.11</w:t>
            </w:r>
          </w:p>
        </w:tc>
        <w:tc>
          <w:tcPr>
            <w:tcW w:w="8340" w:type="dxa"/>
            <w:vAlign w:val="bottom"/>
          </w:tcPr>
          <w:p>
            <w:pPr>
              <w:ind w:left="140"/>
              <w:spacing w:after="0"/>
              <w:rPr>
                <w:sz w:val="20"/>
                <w:szCs w:val="20"/>
                <w:color w:val="auto"/>
              </w:rPr>
            </w:pPr>
            <w:r>
              <w:rPr>
                <w:rFonts w:ascii="Arial" w:cs="Arial" w:eastAsia="Arial" w:hAnsi="Arial"/>
                <w:sz w:val="18"/>
                <w:szCs w:val="18"/>
                <w:color w:val="auto"/>
              </w:rPr>
              <w:t>Survival of Representations and Warranties.</w:t>
            </w:r>
          </w:p>
        </w:tc>
        <w:tc>
          <w:tcPr>
            <w:tcW w:w="19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11.12</w:t>
            </w:r>
          </w:p>
        </w:tc>
        <w:tc>
          <w:tcPr>
            <w:tcW w:w="834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19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11.13</w:t>
            </w:r>
          </w:p>
        </w:tc>
        <w:tc>
          <w:tcPr>
            <w:tcW w:w="8340" w:type="dxa"/>
            <w:vAlign w:val="bottom"/>
          </w:tcPr>
          <w:p>
            <w:pPr>
              <w:ind w:left="140"/>
              <w:spacing w:after="0"/>
              <w:rPr>
                <w:sz w:val="20"/>
                <w:szCs w:val="20"/>
                <w:color w:val="auto"/>
              </w:rPr>
            </w:pPr>
            <w:r>
              <w:rPr>
                <w:rFonts w:ascii="Arial" w:cs="Arial" w:eastAsia="Arial" w:hAnsi="Arial"/>
                <w:sz w:val="18"/>
                <w:szCs w:val="18"/>
                <w:color w:val="auto"/>
              </w:rPr>
              <w:t>Replacement of Lenders.</w:t>
            </w:r>
          </w:p>
        </w:tc>
        <w:tc>
          <w:tcPr>
            <w:tcW w:w="19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11.14</w:t>
            </w:r>
          </w:p>
        </w:tc>
        <w:tc>
          <w:tcPr>
            <w:tcW w:w="8340" w:type="dxa"/>
            <w:vAlign w:val="bottom"/>
          </w:tcPr>
          <w:p>
            <w:pPr>
              <w:ind w:left="140"/>
              <w:spacing w:after="0"/>
              <w:rPr>
                <w:sz w:val="20"/>
                <w:szCs w:val="20"/>
                <w:color w:val="auto"/>
              </w:rPr>
            </w:pPr>
            <w:r>
              <w:rPr>
                <w:rFonts w:ascii="Arial" w:cs="Arial" w:eastAsia="Arial" w:hAnsi="Arial"/>
                <w:sz w:val="18"/>
                <w:szCs w:val="18"/>
                <w:color w:val="auto"/>
              </w:rPr>
              <w:t>Governing Law; Jurisdiction; Etc.</w:t>
            </w:r>
          </w:p>
        </w:tc>
        <w:tc>
          <w:tcPr>
            <w:tcW w:w="190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11.15</w:t>
            </w:r>
          </w:p>
        </w:tc>
        <w:tc>
          <w:tcPr>
            <w:tcW w:w="8340" w:type="dxa"/>
            <w:vAlign w:val="bottom"/>
          </w:tcPr>
          <w:p>
            <w:pPr>
              <w:ind w:left="140"/>
              <w:spacing w:after="0"/>
              <w:rPr>
                <w:sz w:val="20"/>
                <w:szCs w:val="20"/>
                <w:color w:val="auto"/>
              </w:rPr>
            </w:pPr>
            <w:r>
              <w:rPr>
                <w:rFonts w:ascii="Arial" w:cs="Arial" w:eastAsia="Arial" w:hAnsi="Arial"/>
                <w:sz w:val="18"/>
                <w:szCs w:val="18"/>
                <w:color w:val="auto"/>
              </w:rPr>
              <w:t>Waiver of Jury Trial.</w:t>
            </w:r>
          </w:p>
        </w:tc>
        <w:tc>
          <w:tcPr>
            <w:tcW w:w="19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11.16</w:t>
            </w:r>
          </w:p>
        </w:tc>
        <w:tc>
          <w:tcPr>
            <w:tcW w:w="8340" w:type="dxa"/>
            <w:vAlign w:val="bottom"/>
          </w:tcPr>
          <w:p>
            <w:pPr>
              <w:ind w:left="140"/>
              <w:spacing w:after="0"/>
              <w:rPr>
                <w:sz w:val="20"/>
                <w:szCs w:val="20"/>
                <w:color w:val="auto"/>
              </w:rPr>
            </w:pPr>
            <w:r>
              <w:rPr>
                <w:rFonts w:ascii="Arial" w:cs="Arial" w:eastAsia="Arial" w:hAnsi="Arial"/>
                <w:sz w:val="18"/>
                <w:szCs w:val="18"/>
                <w:color w:val="auto"/>
              </w:rPr>
              <w:t>No Advisory or Fiduciary Responsibility.</w:t>
            </w:r>
          </w:p>
        </w:tc>
        <w:tc>
          <w:tcPr>
            <w:tcW w:w="19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11.17</w:t>
            </w:r>
          </w:p>
        </w:tc>
        <w:tc>
          <w:tcPr>
            <w:tcW w:w="8340" w:type="dxa"/>
            <w:vAlign w:val="bottom"/>
          </w:tcPr>
          <w:p>
            <w:pPr>
              <w:ind w:left="140"/>
              <w:spacing w:after="0"/>
              <w:rPr>
                <w:sz w:val="20"/>
                <w:szCs w:val="20"/>
                <w:color w:val="auto"/>
              </w:rPr>
            </w:pPr>
            <w:r>
              <w:rPr>
                <w:rFonts w:ascii="Arial" w:cs="Arial" w:eastAsia="Arial" w:hAnsi="Arial"/>
                <w:sz w:val="18"/>
                <w:szCs w:val="18"/>
                <w:color w:val="auto"/>
              </w:rPr>
              <w:t>Electronic Execution of Assignments and Certain Other Documents.</w:t>
            </w:r>
          </w:p>
        </w:tc>
        <w:tc>
          <w:tcPr>
            <w:tcW w:w="19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1080" w:type="dxa"/>
            <w:vAlign w:val="bottom"/>
          </w:tcPr>
          <w:p>
            <w:pPr>
              <w:ind w:left="540"/>
              <w:spacing w:after="0"/>
              <w:rPr>
                <w:sz w:val="20"/>
                <w:szCs w:val="20"/>
                <w:color w:val="auto"/>
              </w:rPr>
            </w:pPr>
            <w:r>
              <w:rPr>
                <w:rFonts w:ascii="Arial" w:cs="Arial" w:eastAsia="Arial" w:hAnsi="Arial"/>
                <w:sz w:val="18"/>
                <w:szCs w:val="18"/>
                <w:color w:val="auto"/>
              </w:rPr>
              <w:t>11.18</w:t>
            </w:r>
          </w:p>
        </w:tc>
        <w:tc>
          <w:tcPr>
            <w:tcW w:w="8340" w:type="dxa"/>
            <w:vAlign w:val="bottom"/>
          </w:tcPr>
          <w:p>
            <w:pPr>
              <w:ind w:left="140"/>
              <w:spacing w:after="0"/>
              <w:rPr>
                <w:sz w:val="20"/>
                <w:szCs w:val="20"/>
                <w:color w:val="auto"/>
              </w:rPr>
            </w:pPr>
            <w:r>
              <w:rPr>
                <w:rFonts w:ascii="Arial" w:cs="Arial" w:eastAsia="Arial" w:hAnsi="Arial"/>
                <w:sz w:val="18"/>
                <w:szCs w:val="18"/>
                <w:color w:val="auto"/>
              </w:rPr>
              <w:t>Subordination of Intercompany Indebtedness.</w:t>
            </w:r>
          </w:p>
        </w:tc>
        <w:tc>
          <w:tcPr>
            <w:tcW w:w="190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1080" w:type="dxa"/>
            <w:vAlign w:val="bottom"/>
          </w:tcPr>
          <w:p>
            <w:pPr>
              <w:ind w:left="540"/>
              <w:spacing w:after="0"/>
              <w:rPr>
                <w:sz w:val="20"/>
                <w:szCs w:val="20"/>
                <w:color w:val="auto"/>
              </w:rPr>
            </w:pPr>
            <w:r>
              <w:rPr>
                <w:rFonts w:ascii="Arial" w:cs="Arial" w:eastAsia="Arial" w:hAnsi="Arial"/>
                <w:sz w:val="18"/>
                <w:szCs w:val="18"/>
                <w:color w:val="auto"/>
              </w:rPr>
              <w:t>11.19</w:t>
            </w:r>
          </w:p>
        </w:tc>
        <w:tc>
          <w:tcPr>
            <w:tcW w:w="8340" w:type="dxa"/>
            <w:vAlign w:val="bottom"/>
          </w:tcPr>
          <w:p>
            <w:pPr>
              <w:ind w:left="140"/>
              <w:spacing w:after="0"/>
              <w:rPr>
                <w:sz w:val="20"/>
                <w:szCs w:val="20"/>
                <w:color w:val="auto"/>
              </w:rPr>
            </w:pPr>
            <w:r>
              <w:rPr>
                <w:rFonts w:ascii="Arial" w:cs="Arial" w:eastAsia="Arial" w:hAnsi="Arial"/>
                <w:sz w:val="18"/>
                <w:szCs w:val="18"/>
                <w:color w:val="auto"/>
              </w:rPr>
              <w:t>USA PATRIOT Act.</w:t>
            </w:r>
          </w:p>
        </w:tc>
        <w:tc>
          <w:tcPr>
            <w:tcW w:w="1900" w:type="dxa"/>
            <w:vAlign w:val="bottom"/>
          </w:tcPr>
          <w:p>
            <w:pPr>
              <w:jc w:val="right"/>
              <w:spacing w:after="0"/>
              <w:rPr>
                <w:sz w:val="20"/>
                <w:szCs w:val="20"/>
                <w:color w:val="auto"/>
              </w:rPr>
            </w:pPr>
            <w:r>
              <w:rPr>
                <w:rFonts w:ascii="Arial" w:cs="Arial" w:eastAsia="Arial" w:hAnsi="Arial"/>
                <w:sz w:val="18"/>
                <w:szCs w:val="18"/>
                <w:color w:val="auto"/>
              </w:rPr>
              <w:t>118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SCHEDULES</w:t>
      </w:r>
    </w:p>
    <w:p>
      <w:pPr>
        <w:spacing w:after="0" w:line="13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Borrower’s Investment Policy</w:t>
      </w:r>
    </w:p>
    <w:p>
      <w:pPr>
        <w:spacing w:after="0" w:line="2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Commitments and Applicable Percentages</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6"/>
          <w:szCs w:val="16"/>
          <w:color w:val="auto"/>
        </w:rPr>
        <w:t>Subsidiaries</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color w:val="auto"/>
        </w:rPr>
        <w:t>IP Rights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6.20-1  Locations of Real Property</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6.20-2  Location of Chief Executive Office, Taxpayer Identification Number, Etc.</w:t>
      </w:r>
    </w:p>
    <w:p>
      <w:pPr>
        <w:spacing w:after="0" w:line="3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6.20-3  Changes in Legal Name, State of Formation and Structure</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5"/>
          <w:szCs w:val="15"/>
          <w:color w:val="auto"/>
        </w:rPr>
        <w:t>Encroachments</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8.01</w:t>
      </w:r>
      <w:r>
        <w:rPr>
          <w:sz w:val="20"/>
          <w:szCs w:val="20"/>
          <w:color w:val="auto"/>
        </w:rPr>
        <w:tab/>
      </w:r>
      <w:r>
        <w:rPr>
          <w:rFonts w:ascii="Arial" w:cs="Arial" w:eastAsia="Arial" w:hAnsi="Arial"/>
          <w:sz w:val="16"/>
          <w:szCs w:val="16"/>
          <w:color w:val="auto"/>
        </w:rPr>
        <w:t>Liens Existing on the Closing Date</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8.02</w:t>
      </w:r>
      <w:r>
        <w:rPr>
          <w:sz w:val="20"/>
          <w:szCs w:val="20"/>
          <w:color w:val="auto"/>
        </w:rPr>
        <w:tab/>
      </w:r>
      <w:r>
        <w:rPr>
          <w:rFonts w:ascii="Arial" w:cs="Arial" w:eastAsia="Arial" w:hAnsi="Arial"/>
          <w:sz w:val="16"/>
          <w:szCs w:val="16"/>
          <w:color w:val="auto"/>
        </w:rPr>
        <w:t>Investments Existing on the Closing Date</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8.03</w:t>
      </w:r>
      <w:r>
        <w:rPr>
          <w:sz w:val="20"/>
          <w:szCs w:val="20"/>
          <w:color w:val="auto"/>
        </w:rPr>
        <w:tab/>
      </w:r>
      <w:r>
        <w:rPr>
          <w:rFonts w:ascii="Arial" w:cs="Arial" w:eastAsia="Arial" w:hAnsi="Arial"/>
          <w:sz w:val="16"/>
          <w:szCs w:val="16"/>
          <w:color w:val="auto"/>
        </w:rPr>
        <w:t>Indebtedness Existing on the Closing Date</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8.08</w:t>
      </w:r>
      <w:r>
        <w:rPr>
          <w:sz w:val="20"/>
          <w:szCs w:val="20"/>
          <w:color w:val="auto"/>
        </w:rPr>
        <w:tab/>
      </w:r>
      <w:r>
        <w:rPr>
          <w:rFonts w:ascii="Arial" w:cs="Arial" w:eastAsia="Arial" w:hAnsi="Arial"/>
          <w:sz w:val="16"/>
          <w:szCs w:val="16"/>
          <w:color w:val="auto"/>
        </w:rPr>
        <w:t>Borrower’s Related Party Transaction Policy</w:t>
      </w:r>
    </w:p>
    <w:p>
      <w:pPr>
        <w:spacing w:after="0" w:line="9"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color w:val="auto"/>
        </w:rPr>
        <w:t>Administrative Agent’s Office; Certain Addresses for Notices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1160" w:hanging="585"/>
        <w:spacing w:after="0"/>
        <w:tabs>
          <w:tab w:leader="none" w:pos="11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Form of Loan Notice</w:t>
      </w:r>
    </w:p>
    <w:p>
      <w:pPr>
        <w:spacing w:after="0" w:line="23" w:lineRule="exact"/>
        <w:rPr>
          <w:sz w:val="20"/>
          <w:szCs w:val="20"/>
          <w:color w:val="auto"/>
        </w:rPr>
      </w:pPr>
    </w:p>
    <w:p>
      <w:pPr>
        <w:ind w:left="1160" w:hanging="585"/>
        <w:spacing w:after="0"/>
        <w:tabs>
          <w:tab w:leader="none" w:pos="11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Form of Swing Line Loan Notice</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Form of Note</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Form of Compliance Certificate</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Form of Joinder Agreement</w:t>
      </w:r>
    </w:p>
    <w:p>
      <w:pPr>
        <w:spacing w:after="0" w:line="9" w:lineRule="exact"/>
        <w:rPr>
          <w:rFonts w:ascii="Arial" w:cs="Arial" w:eastAsia="Arial" w:hAnsi="Arial"/>
          <w:sz w:val="18"/>
          <w:szCs w:val="18"/>
          <w:color w:val="auto"/>
        </w:rPr>
      </w:pPr>
    </w:p>
    <w:p>
      <w:pPr>
        <w:jc w:val="both"/>
        <w:ind w:left="580" w:right="6299"/>
        <w:spacing w:after="0" w:line="250" w:lineRule="auto"/>
        <w:rPr>
          <w:rFonts w:ascii="Arial" w:cs="Arial" w:eastAsia="Arial" w:hAnsi="Arial"/>
          <w:sz w:val="18"/>
          <w:szCs w:val="18"/>
          <w:color w:val="auto"/>
        </w:rPr>
      </w:pPr>
      <w:r>
        <w:rPr>
          <w:rFonts w:ascii="Arial" w:cs="Arial" w:eastAsia="Arial" w:hAnsi="Arial"/>
          <w:sz w:val="18"/>
          <w:szCs w:val="18"/>
          <w:color w:val="auto"/>
        </w:rPr>
        <w:t>F-1 Form of Assignment and Assumption F-2 Form of Administrative Questionnaire</w:t>
      </w:r>
    </w:p>
    <w:p>
      <w:pPr>
        <w:ind w:left="580"/>
        <w:spacing w:after="0"/>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6"/>
          <w:szCs w:val="16"/>
          <w:color w:val="auto"/>
        </w:rPr>
        <w:t>Forms of U.S. Tax Compliance Certificates</w:t>
      </w:r>
    </w:p>
    <w:p>
      <w:pPr>
        <w:spacing w:after="0" w:line="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H</w:t>
      </w:r>
      <w:r>
        <w:rPr>
          <w:rFonts w:ascii="Arial" w:cs="Arial" w:eastAsia="Arial" w:hAnsi="Arial"/>
          <w:sz w:val="16"/>
          <w:szCs w:val="16"/>
          <w:color w:val="auto"/>
        </w:rPr>
        <w:t>Form of Notice of Loan Prepayment</w:t>
      </w:r>
    </w:p>
    <w:p>
      <w:pPr>
        <w:spacing w:after="0" w:line="1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219"/>
          </w:cols>
          <w:pgMar w:left="240" w:top="274" w:right="1440"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 AGREEMENT</w:t>
      </w:r>
    </w:p>
    <w:p>
      <w:pPr>
        <w:spacing w:after="0" w:line="22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This CREDIT AGREEMENT is entered into as of December 21, 2012 among GRAND CANYON EDUCATION,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(defined herein), the Lenders (defined herein) and BANK OF AMERICA, N.A., as Administrative Agent, Swing Line Lender and L/C Issuer.</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Borrower has requested that the Lenders provide $150 million in credit facilities for the purposes set forth herein, and the Lenders are willing to do so on the terms and conditions set forth 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 AND ACCOUNTING TERMS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Defined Terms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 the following terms shall have the meanings set forth below: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90/10 Rule</w:t>
      </w:r>
      <w:r>
        <w:rPr>
          <w:rFonts w:ascii="Arial" w:cs="Arial" w:eastAsia="Arial" w:hAnsi="Arial"/>
          <w:sz w:val="18"/>
          <w:szCs w:val="18"/>
          <w:color w:val="auto"/>
        </w:rPr>
        <w:t>” means the 90/10 Rule codified at 34 C.F.R. Section 668.28.</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Accreditation</w:t>
      </w:r>
      <w:r>
        <w:rPr>
          <w:rFonts w:ascii="Arial" w:cs="Arial" w:eastAsia="Arial" w:hAnsi="Arial"/>
          <w:sz w:val="18"/>
          <w:szCs w:val="18"/>
          <w:color w:val="auto"/>
        </w:rPr>
        <w:t>” means the status of public recognition granted by any Accrediting Body to an educational institution that meets the Accrediting Body’s standards and requirements, which approval is required for the educational institution to participate in the Title IV Programs.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Accrediting Body</w:t>
      </w:r>
      <w:r>
        <w:rPr>
          <w:rFonts w:ascii="Arial" w:cs="Arial" w:eastAsia="Arial" w:hAnsi="Arial"/>
          <w:sz w:val="18"/>
          <w:szCs w:val="18"/>
          <w:color w:val="auto"/>
        </w:rPr>
        <w:t>” means any entity or organization recognized by the DOE pursuant to 34 C.F.R. 602 et seq.</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with respect to any Person, the acquisition by such Person, in a single transaction or in a series of related transactions, of either</w:t>
      </w:r>
    </w:p>
    <w:p>
      <w:pPr>
        <w:spacing w:after="0" w:line="46" w:lineRule="exact"/>
        <w:rPr>
          <w:sz w:val="20"/>
          <w:szCs w:val="20"/>
          <w:color w:val="auto"/>
        </w:rPr>
      </w:pPr>
    </w:p>
    <w:p>
      <w:pPr>
        <w:ind w:right="40" w:firstLine="8"/>
        <w:spacing w:after="0" w:line="255" w:lineRule="auto"/>
        <w:tabs>
          <w:tab w:leader="none" w:pos="2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or any substantial portion of the property of, or a line of business, division or operating group of, another Person or (b) at least a majority of the Equity Interests of another Person entitled to vote for members of the board of directors or equivalent governing body of such Person, in each case whether or not involving a merger or consolidation with such other Person.</w:t>
      </w:r>
    </w:p>
    <w:p>
      <w:pPr>
        <w:spacing w:after="0" w:line="190" w:lineRule="exact"/>
        <w:rPr>
          <w:sz w:val="20"/>
          <w:szCs w:val="20"/>
          <w:color w:val="auto"/>
        </w:rPr>
      </w:pPr>
    </w:p>
    <w:p>
      <w:pPr>
        <w:ind w:right="8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under any of the Loan Documents, or any successor administrative agent.</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11.02</w:t>
      </w:r>
      <w:r>
        <w:rPr>
          <w:rFonts w:ascii="Arial" w:cs="Arial" w:eastAsia="Arial" w:hAnsi="Arial"/>
          <w:sz w:val="18"/>
          <w:szCs w:val="18"/>
          <w:color w:val="auto"/>
        </w:rPr>
        <w:t xml:space="preserve"> or such other address or account as the Administrative Agent may from time to time notify to the Borrower and the Lenders.</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means an Administrative Questionnaire in substantially the form of </w:t>
      </w:r>
      <w:r>
        <w:rPr>
          <w:rFonts w:ascii="Arial" w:cs="Arial" w:eastAsia="Arial" w:hAnsi="Arial"/>
          <w:sz w:val="18"/>
          <w:szCs w:val="18"/>
          <w:u w:val="single" w:color="auto"/>
          <w:color w:val="auto"/>
        </w:rPr>
        <w:t>Exhibit F-2</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274" w:right="279" w:bottom="1440" w:gutter="0" w:footer="0" w:header="0"/>
        </w:sectPr>
      </w:pPr>
    </w:p>
    <w:bookmarkStart w:id="111" w:name="page112"/>
    <w:bookmarkEnd w:id="111"/>
    <w:p>
      <w:pPr>
        <w:ind w:right="1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Aggregate Revolving Commitments</w:t>
      </w:r>
      <w:r>
        <w:rPr>
          <w:rFonts w:ascii="Arial" w:cs="Arial" w:eastAsia="Arial" w:hAnsi="Arial"/>
          <w:sz w:val="18"/>
          <w:szCs w:val="18"/>
          <w:color w:val="auto"/>
        </w:rPr>
        <w:t>” means the Revolving Commitments of all the Lenders. The amount of the Aggregate Revolving Commitments in effect on the Closing Date is ONE HUNDRED FIFTY MILLION DOLLARS ($150,000,000).</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Percentage</w:t>
      </w:r>
      <w:r>
        <w:rPr>
          <w:rFonts w:ascii="Arial" w:cs="Arial" w:eastAsia="Arial" w:hAnsi="Arial"/>
          <w:sz w:val="17"/>
          <w:szCs w:val="17"/>
          <w:color w:val="auto"/>
        </w:rPr>
        <w:t xml:space="preserve">” means with respect to any Lender at any time, (a) with respect to such Lender’s Revolving Commitment at any time, the percentage (carried out to the ninth decimal place) of the Aggregate Revolving Commitments represented by such Lender’s Revolving Commitment at such time,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provided that if the commitment of each Lender to make Revolving Loans and the obligation of the L/C Issuer to make L/C Credit Extensions have been terminated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or if the Aggregate Revolving Commitments have expired, then the Applicable Percentage of each Lender shall be determined based on the Applicable Percentage of such Lender most recently in effect, giving effect to any subsequent assignments and (b) with respect to such Lender’s portion of the outstanding Term Loan at any time, the percentage (carried out to the ninth decimal place) of the outstanding principal amount of the Term Loan held by such Lender at such time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The initial Applicable Percentage of each Lender is set forth opposite the name of such Lender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(a) with respect to Eurodollar Rate Loans, 1.75% per annum, and (b) with respect to Base Rate Loans, 0.75% per annum.</w:t>
      </w:r>
    </w:p>
    <w:p>
      <w:pPr>
        <w:spacing w:after="0" w:line="248"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Appraisal</w:t>
      </w:r>
      <w:r>
        <w:rPr>
          <w:rFonts w:ascii="Arial" w:cs="Arial" w:eastAsia="Arial" w:hAnsi="Arial"/>
          <w:sz w:val="18"/>
          <w:szCs w:val="18"/>
          <w:color w:val="auto"/>
        </w:rPr>
        <w:t>” means an “as-is” appraisal that (a) satisfies the requirements of Title XI of FIRREA and all other applicable legal requirements, all as in effect on the date of such appraisal, (b) is prepared by an appraiser that is engaged by the Administrative Agent or is otherwise approved by the Administrative Agent and (c) is otherwise acceptable to the Administrative Agent.</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Appraised Value</w:t>
      </w:r>
      <w:r>
        <w:rPr>
          <w:rFonts w:ascii="Arial" w:cs="Arial" w:eastAsia="Arial" w:hAnsi="Arial"/>
          <w:sz w:val="18"/>
          <w:szCs w:val="18"/>
          <w:color w:val="auto"/>
        </w:rPr>
        <w:t>” means, with respect to any real property, the “as is” market value of such real property as set forth in the Appraisal for such real property delivered to the Administrative Agent on or prior to the Closing Date.</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Merrill Lynch, Pierce, Fenner &amp; Smith Incorporated, in its capacity as sole lead arranger and sole bookrunner.</w:t>
      </w:r>
    </w:p>
    <w:p>
      <w:pPr>
        <w:spacing w:after="0" w:line="225"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means an assignment and assumption entered into by a Lender and an Eligible Assignee (with the consent of any party whose consent is required by </w:t>
      </w:r>
      <w:r>
        <w:rPr>
          <w:rFonts w:ascii="Arial" w:cs="Arial" w:eastAsia="Arial" w:hAnsi="Arial"/>
          <w:sz w:val="16"/>
          <w:szCs w:val="16"/>
          <w:u w:val="single" w:color="auto"/>
          <w:color w:val="auto"/>
        </w:rPr>
        <w:t>Section 11.06(b)</w:t>
      </w:r>
      <w:r>
        <w:rPr>
          <w:rFonts w:ascii="Arial" w:cs="Arial" w:eastAsia="Arial" w:hAnsi="Arial"/>
          <w:sz w:val="16"/>
          <w:szCs w:val="16"/>
          <w:color w:val="auto"/>
        </w:rPr>
        <w:t xml:space="preserve">), and accepted by the Administrative Agent, in substantially the form of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or any other form (including electronic documentation generated by MarkitClear or other electronic platform) approved by the Administrative Agent and the Borrower.</w:t>
      </w:r>
    </w:p>
    <w:p>
      <w:pPr>
        <w:spacing w:after="0" w:line="14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Attributable Indebtedness</w:t>
      </w:r>
      <w:r>
        <w:rPr>
          <w:rFonts w:ascii="Arial" w:cs="Arial" w:eastAsia="Arial" w:hAnsi="Arial"/>
          <w:sz w:val="16"/>
          <w:szCs w:val="16"/>
          <w:color w:val="auto"/>
        </w:rPr>
        <w:t>” means, with respect to any Person on any date, (a) in respect of any capital lease, the capitalized amount thereof that would appear on a balance sheet of such Person prepared as of such date in accordance with GAAP,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(c) in respect of any Securitization Transaction, the outstanding principal</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12" w:name="page113"/>
    <w:bookmarkEnd w:id="112"/>
    <w:p>
      <w:pPr>
        <w:jc w:val="both"/>
        <w:ind w:right="4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of such financing, after taking into account reserve accounts and making appropriate adjustments, determined by the Administrative Agent in its reasonable judgment and (d) in respect of any Sale and Leaseback Transaction, the present value (discounted in accordance with GAAP at the debt rate implied in the applicable lease) of the obligations of the lessee for rental payments during the term of such lease).</w:t>
      </w:r>
    </w:p>
    <w:p>
      <w:pPr>
        <w:spacing w:after="0" w:line="166"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as of December 31, 2011 and the related consolidated statements of income or operations, stockholders’ equity and cash flows of the Borrower and its Subsidiaries for such fiscal year, including the notes thereto.</w:t>
      </w:r>
    </w:p>
    <w:p>
      <w:pPr>
        <w:spacing w:after="0" w:line="181"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Availability Period</w:t>
      </w:r>
      <w:r>
        <w:rPr>
          <w:rFonts w:ascii="Arial" w:cs="Arial" w:eastAsia="Arial" w:hAnsi="Arial"/>
          <w:sz w:val="17"/>
          <w:szCs w:val="17"/>
          <w:color w:val="auto"/>
        </w:rPr>
        <w:t xml:space="preserve">” means, with respect to the Revolving Commitments, the period from and including the Closing Date to the earliest of (a) the Maturity Date, (b) the date of termination of the Aggregate Revolving Commitments pursuant to </w:t>
      </w:r>
      <w:r>
        <w:rPr>
          <w:rFonts w:ascii="Arial" w:cs="Arial" w:eastAsia="Arial" w:hAnsi="Arial"/>
          <w:sz w:val="17"/>
          <w:szCs w:val="17"/>
          <w:u w:val="single" w:color="auto"/>
          <w:color w:val="auto"/>
        </w:rPr>
        <w:t>Section 2.06</w:t>
      </w:r>
      <w:r>
        <w:rPr>
          <w:rFonts w:ascii="Arial" w:cs="Arial" w:eastAsia="Arial" w:hAnsi="Arial"/>
          <w:sz w:val="17"/>
          <w:szCs w:val="17"/>
          <w:color w:val="auto"/>
        </w:rPr>
        <w:t xml:space="preserve">, and (c) the date of termination of the commitment of each Lender to make Loans and of the obligation of the L/C Issuer to make L/C Credit Extensions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for any day a fluctuating rate per annum equal to the highest of (a) the Federal Funds Rate plus 1/2 of 1.0%, (b) the rate of interest in effect for such day as publicly announced from time to time by Bank of America as its “prime rate” and (c) the Eurodollar Rate plus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 a Term Loan, or a Swing Line Loan, as the context may require.</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6.09(a)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Campus</w:t>
      </w:r>
      <w:r>
        <w:rPr>
          <w:rFonts w:ascii="Arial" w:cs="Arial" w:eastAsia="Arial" w:hAnsi="Arial"/>
          <w:sz w:val="18"/>
          <w:szCs w:val="18"/>
          <w:color w:val="auto"/>
        </w:rPr>
        <w:t>” means the campus of Grand Canyon University located in Phoenix, Arizona.</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Campus Property</w:t>
      </w:r>
      <w:r>
        <w:rPr>
          <w:rFonts w:ascii="Arial" w:cs="Arial" w:eastAsia="Arial" w:hAnsi="Arial"/>
          <w:sz w:val="18"/>
          <w:szCs w:val="18"/>
          <w:color w:val="auto"/>
        </w:rPr>
        <w:t>” means real property that is contiguous with the Campus and that contains a building or parking structure that is used in connection with the Campus.</w:t>
      </w:r>
    </w:p>
    <w:p>
      <w:pPr>
        <w:spacing w:after="0" w:line="170"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the Administrative Agent, for the benefit of one or more of the L/C Issuer or the Lenders, as collateral for L/C Obligations or obligations of the Lenders to fund participations in respect of L/C Obligations, cash or deposit account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13" w:name="page114"/>
    <w:bookmarkEnd w:id="113"/>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balances or, if the Administrative Agent and the L/C Issuer shall agree in their sole discretion, other credit support, in each 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181" w:lineRule="exact"/>
        <w:rPr>
          <w:sz w:val="20"/>
          <w:szCs w:val="20"/>
          <w:color w:val="auto"/>
        </w:rPr>
      </w:pPr>
    </w:p>
    <w:p>
      <w:pPr>
        <w:jc w:val="both"/>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xml:space="preserve">” means Investments permitted under the Borrower’s Investment Policy as in effect on the Closing Date, a copy of which is attached hereto as </w:t>
      </w:r>
      <w:r>
        <w:rPr>
          <w:rFonts w:ascii="Arial" w:cs="Arial" w:eastAsia="Arial" w:hAnsi="Arial"/>
          <w:sz w:val="18"/>
          <w:szCs w:val="18"/>
          <w:u w:val="single" w:color="auto"/>
          <w:color w:val="auto"/>
        </w:rPr>
        <w:t>Schedule 1.01</w:t>
      </w:r>
      <w:r>
        <w:rPr>
          <w:rFonts w:ascii="Arial" w:cs="Arial" w:eastAsia="Arial" w:hAnsi="Arial"/>
          <w:sz w:val="18"/>
          <w:szCs w:val="18"/>
          <w:color w:val="auto"/>
        </w:rPr>
        <w:t>, and any changes thereto that are approved by the Administrative Agent.</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that is not prohibited by the terms hereof to provide treasury or cash management services, including deposit accounts, overnight draft, credit cards, debit cards, p cards (including, purchasing cards and commercial cards), e-payables, funds transfer, automated clearinghouse, zero balance accounts, returned check concentration, controlled disbursement, lockbox, account reconciliation and reporting and trade finance services and other cash management services.</w:t>
      </w:r>
    </w:p>
    <w:p>
      <w:pPr>
        <w:spacing w:after="0" w:line="18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Bank</w:t>
      </w:r>
      <w:r>
        <w:rPr>
          <w:rFonts w:ascii="Arial" w:cs="Arial" w:eastAsia="Arial" w:hAnsi="Arial"/>
          <w:sz w:val="17"/>
          <w:szCs w:val="17"/>
          <w:color w:val="auto"/>
        </w:rPr>
        <w:t>” means any Person in its capacity as a party to a Cash Management Agreement with the Borrower or any Subsidiary provided that (a) at the time such Person enters into such Cash Management Agreement, such Person is a Lender or an Affiliate of a Lender, or (b) such Cash Management Agreement exists on the Closing Date and such Person is a Lender or an Affiliate of a Lender on the Closing Date.</w:t>
      </w:r>
    </w:p>
    <w:p>
      <w:pPr>
        <w:spacing w:after="0" w:line="16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the occurrence, after the date of this Agreement,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(i) the Dodd 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117" w:lineRule="exact"/>
        <w:rPr>
          <w:sz w:val="20"/>
          <w:szCs w:val="20"/>
          <w:color w:val="auto"/>
        </w:rPr>
      </w:pPr>
    </w:p>
    <w:p>
      <w:pPr>
        <w:ind w:left="460" w:right="80" w:firstLine="443"/>
        <w:spacing w:after="0" w:line="254" w:lineRule="auto"/>
        <w:tabs>
          <w:tab w:leader="none" w:pos="11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thirty-five percent (35%) or more of the Equity Interests of the Borrower entitled to vote for members of the board of directors or equivalent governing body of the Borrower on a fully diluted basis (and taking into account all such securities that such person or group has the right to acquire pursuant to any option right); or</w:t>
      </w:r>
    </w:p>
    <w:p>
      <w:pPr>
        <w:spacing w:after="0" w:line="84" w:lineRule="exact"/>
        <w:rPr>
          <w:rFonts w:ascii="Arial" w:cs="Arial" w:eastAsia="Arial" w:hAnsi="Arial"/>
          <w:sz w:val="18"/>
          <w:szCs w:val="18"/>
          <w:color w:val="auto"/>
        </w:rPr>
      </w:pPr>
    </w:p>
    <w:p>
      <w:pPr>
        <w:ind w:left="460" w:right="240" w:firstLine="443"/>
        <w:spacing w:after="0" w:line="342" w:lineRule="auto"/>
        <w:tabs>
          <w:tab w:leader="none" w:pos="1153" w:val="left"/>
        </w:tabs>
        <w:numPr>
          <w:ilvl w:val="0"/>
          <w:numId w:val="48"/>
        </w:numPr>
        <w:rPr>
          <w:rFonts w:ascii="Arial" w:cs="Arial" w:eastAsia="Arial" w:hAnsi="Arial"/>
          <w:sz w:val="16"/>
          <w:szCs w:val="16"/>
          <w:color w:val="auto"/>
        </w:rPr>
      </w:pPr>
      <w:r>
        <w:rPr>
          <w:rFonts w:ascii="Arial" w:cs="Arial" w:eastAsia="Arial" w:hAnsi="Arial"/>
          <w:sz w:val="16"/>
          <w:szCs w:val="16"/>
          <w:color w:val="auto"/>
        </w:rPr>
        <w:t>during any period of 24 consecutive months, a majority of the members of the board of directors of the Borrower cease to be composed of individuals (i) who were members of the board of directors on the first day of such period, (ii) whose election or nomination to the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4" w:right="319" w:bottom="1440" w:gutter="0" w:footer="0" w:header="0"/>
        </w:sectPr>
      </w:pPr>
    </w:p>
    <w:bookmarkStart w:id="114" w:name="page115"/>
    <w:bookmarkEnd w:id="114"/>
    <w:p>
      <w:pPr>
        <w:ind w:left="460"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board of directors was approved by individuals referred to in clause (i) above constituting at the time of such election or nomination at least a majority of the board of directors or (iii) whose election or nomination to the board of directors was approved by individuals referred to in clauses (i) and</w:t>
      </w:r>
    </w:p>
    <w:p>
      <w:pPr>
        <w:ind w:left="460" w:right="3160" w:firstLine="4"/>
        <w:spacing w:after="0" w:line="492" w:lineRule="auto"/>
        <w:tabs>
          <w:tab w:leader="none" w:pos="72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above constituting at the time of such election or nomination at least a majority of the board of directors. “</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hereof.</w:t>
      </w:r>
    </w:p>
    <w:p>
      <w:pPr>
        <w:spacing w:after="0" w:line="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Cohort Default Rate</w:t>
      </w:r>
      <w:r>
        <w:rPr>
          <w:rFonts w:ascii="Arial" w:cs="Arial" w:eastAsia="Arial" w:hAnsi="Arial"/>
          <w:sz w:val="17"/>
          <w:szCs w:val="17"/>
          <w:color w:val="auto"/>
        </w:rPr>
        <w:t>” has the meaning of an Official Cohort Default Rate provided in 34 C.F.R. Sections 668.182 and 668.201, as applicable.</w:t>
      </w:r>
    </w:p>
    <w:p>
      <w:pPr>
        <w:spacing w:after="0" w:line="237"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a collective reference to all property with respect to which Liens in favor of the Administrative Agent, for the benefit of itself and the other holders of the Obligations, are purported to be granted pursuant to and in accordance with the terms of the Collateral Documents.</w:t>
      </w:r>
    </w:p>
    <w:p>
      <w:pPr>
        <w:spacing w:after="0" w:line="14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means a collective reference to the Security Agreement, the Mortgage and the other security documents as may be executed and delivered by any Loan Party pursuant to the terms of </w:t>
      </w:r>
      <w:r>
        <w:rPr>
          <w:rFonts w:ascii="Arial" w:cs="Arial" w:eastAsia="Arial" w:hAnsi="Arial"/>
          <w:sz w:val="18"/>
          <w:szCs w:val="18"/>
          <w:u w:val="single" w:color="auto"/>
          <w:color w:val="auto"/>
        </w:rPr>
        <w:t>Section 7.13</w:t>
      </w:r>
      <w:r>
        <w:rPr>
          <w:rFonts w:ascii="Arial" w:cs="Arial" w:eastAsia="Arial" w:hAnsi="Arial"/>
          <w:sz w:val="18"/>
          <w:szCs w:val="18"/>
          <w:color w:val="auto"/>
        </w:rPr>
        <w: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as to each Lender, the Revolving Commitment of such Lender and/or the Term Loan Commitment of such Lender.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2.09(a)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xml:space="preserve">” means the Commodity Exchange Act (7 U.S.C. § 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Cash Flow</w:t>
      </w:r>
      <w:r>
        <w:rPr>
          <w:rFonts w:ascii="Arial" w:cs="Arial" w:eastAsia="Arial" w:hAnsi="Arial"/>
          <w:sz w:val="17"/>
          <w:szCs w:val="17"/>
          <w:color w:val="auto"/>
        </w:rPr>
        <w:t>” means, for any period, for the Borrower and its Subsidiaries on a consolidated basis, an amount equal to the sum of</w:t>
      </w:r>
    </w:p>
    <w:p>
      <w:pPr>
        <w:spacing w:after="0" w:line="35" w:lineRule="exact"/>
        <w:rPr>
          <w:sz w:val="20"/>
          <w:szCs w:val="20"/>
          <w:color w:val="auto"/>
        </w:rPr>
      </w:pPr>
    </w:p>
    <w:p>
      <w:pPr>
        <w:ind w:right="580" w:firstLine="8"/>
        <w:spacing w:after="0" w:line="290" w:lineRule="auto"/>
        <w:tabs>
          <w:tab w:leader="none" w:pos="245"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Consolidated EBITDA for such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depreciation and amortization expense for such period (other than such expenses in respect of the Prepaid Royalties)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(c) income taxes paid in cash during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rent and lease expense for such period.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means, for any period, for the Borrower and its Subsidiaries on a consolidated basis, an amount equal to the sum of</w:t>
      </w:r>
    </w:p>
    <w:p>
      <w:pPr>
        <w:spacing w:after="0" w:line="35" w:lineRule="exact"/>
        <w:rPr>
          <w:sz w:val="20"/>
          <w:szCs w:val="20"/>
          <w:color w:val="auto"/>
        </w:rPr>
      </w:pPr>
    </w:p>
    <w:p>
      <w:pPr>
        <w:ind w:right="340" w:firstLine="8"/>
        <w:spacing w:after="0" w:line="281" w:lineRule="auto"/>
        <w:tabs>
          <w:tab w:leader="none" w:pos="245"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Consolidated Net Income for such period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following to the extent deducted in calculating such Consolidated Net Income: (i) Consolidated Interest Charges for such period, (ii) the provision for federal, state, local and foreign income taxes payable for such period, (iii) depreciation and amortization expense for such period (including in respect of amortization of the Prepaid Royalties), (iv) non-cash stock based compensation expense and</w:t>
      </w:r>
    </w:p>
    <w:p>
      <w:pPr>
        <w:spacing w:after="0" w:line="2" w:lineRule="exact"/>
        <w:rPr>
          <w:rFonts w:ascii="Arial" w:cs="Arial" w:eastAsia="Arial" w:hAnsi="Arial"/>
          <w:sz w:val="16"/>
          <w:szCs w:val="16"/>
          <w:color w:val="auto"/>
        </w:rPr>
      </w:pPr>
    </w:p>
    <w:p>
      <w:pPr>
        <w:ind w:right="160" w:firstLine="8"/>
        <w:spacing w:after="0" w:line="261"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paid or otherwise expended in connection with the resolution or settlement of the Program Review in an aggregate amount for all periods not to exceed $10 million.</w:t>
      </w:r>
    </w:p>
    <w:p>
      <w:pPr>
        <w:spacing w:after="0" w:line="18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xml:space="preserve">” means, as of any date of determination, the ratio of (a) Consolidated Cash Flow for the period of the four fiscal quarters most recently ended to (b) Consolidated Fixed Charges for the period of the four fiscal quarters most recently 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Consolidated Fixed Charges: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15" w:name="page116"/>
    <w:bookmarkEnd w:id="115"/>
    <w:p>
      <w:pPr>
        <w:ind w:left="1120" w:hanging="217"/>
        <w:spacing w:after="0"/>
        <w:tabs>
          <w:tab w:leader="none" w:pos="1120" w:val="left"/>
        </w:tabs>
        <w:numPr>
          <w:ilvl w:val="0"/>
          <w:numId w:val="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end of the fiscal quarter ended December 31, 2012, Consolidated Interest Charges and Consolidated Scheduled Funded Debt</w:t>
      </w:r>
    </w:p>
    <w:p>
      <w:pPr>
        <w:spacing w:after="0" w:line="34" w:lineRule="exact"/>
        <w:rPr>
          <w:rFonts w:ascii="Arial" w:cs="Arial" w:eastAsia="Arial" w:hAnsi="Arial"/>
          <w:sz w:val="17"/>
          <w:szCs w:val="17"/>
          <w:color w:val="auto"/>
        </w:rPr>
      </w:pPr>
    </w:p>
    <w:p>
      <w:pPr>
        <w:ind w:left="460" w:right="20"/>
        <w:spacing w:after="0" w:line="261" w:lineRule="auto"/>
        <w:rPr>
          <w:rFonts w:ascii="Arial" w:cs="Arial" w:eastAsia="Arial" w:hAnsi="Arial"/>
          <w:sz w:val="17"/>
          <w:szCs w:val="17"/>
          <w:color w:val="auto"/>
        </w:rPr>
      </w:pPr>
      <w:r>
        <w:rPr>
          <w:rFonts w:ascii="Arial" w:cs="Arial" w:eastAsia="Arial" w:hAnsi="Arial"/>
          <w:sz w:val="18"/>
          <w:szCs w:val="18"/>
          <w:color w:val="auto"/>
        </w:rPr>
        <w:t xml:space="preserve">Payments shall be deemed to be the amount of Consolidated Interest Charges and Consolidated Scheduled Funded Debt Payments for the period of one fiscal quarter then ended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four (4);</w:t>
      </w:r>
    </w:p>
    <w:p>
      <w:pPr>
        <w:spacing w:after="0" w:line="75" w:lineRule="exact"/>
        <w:rPr>
          <w:rFonts w:ascii="Arial" w:cs="Arial" w:eastAsia="Arial" w:hAnsi="Arial"/>
          <w:sz w:val="17"/>
          <w:szCs w:val="17"/>
          <w:color w:val="auto"/>
        </w:rPr>
      </w:pPr>
    </w:p>
    <w:p>
      <w:pPr>
        <w:ind w:left="460" w:right="40" w:firstLine="443"/>
        <w:spacing w:after="0" w:line="264" w:lineRule="auto"/>
        <w:tabs>
          <w:tab w:leader="none" w:pos="1163"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as of the end of the fiscal quarter ending March 31, 2013, Consolidated Interest Charges and Consolidated Scheduled Funded Debt Payments shall be the amount of Consolidated Interest Charges and Consolidated Scheduled Funded Debt Payments for the period of two fiscal quarters then ended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two (2); and</w:t>
      </w:r>
    </w:p>
    <w:p>
      <w:pPr>
        <w:spacing w:after="0" w:line="73" w:lineRule="exact"/>
        <w:rPr>
          <w:rFonts w:ascii="Arial" w:cs="Arial" w:eastAsia="Arial" w:hAnsi="Arial"/>
          <w:sz w:val="18"/>
          <w:szCs w:val="18"/>
          <w:color w:val="auto"/>
        </w:rPr>
      </w:pPr>
    </w:p>
    <w:p>
      <w:pPr>
        <w:ind w:left="460" w:right="140" w:firstLine="443"/>
        <w:spacing w:after="0" w:line="264" w:lineRule="auto"/>
        <w:tabs>
          <w:tab w:leader="none" w:pos="12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as of the end of the fiscal quarter ending June 30, 2013, Consolidated Interest Charges and Consolidated Scheduled Funded Debt Payments shall be the amount of Consolidated Interest Charges and Consolidated Scheduled Funded Debt Payments for the period of three fiscal quarters then ended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one and one-third (1 1/3).</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Fixed Charges</w:t>
      </w:r>
      <w:r>
        <w:rPr>
          <w:rFonts w:ascii="Arial" w:cs="Arial" w:eastAsia="Arial" w:hAnsi="Arial"/>
          <w:sz w:val="16"/>
          <w:szCs w:val="16"/>
          <w:color w:val="auto"/>
        </w:rPr>
        <w:t>” means, for any period, for the Borrower and its Subsidiaries on a consolidated basis, an amount equal to the sum of</w:t>
      </w:r>
    </w:p>
    <w:p>
      <w:pPr>
        <w:spacing w:after="0" w:line="46" w:lineRule="exact"/>
        <w:rPr>
          <w:sz w:val="20"/>
          <w:szCs w:val="20"/>
          <w:color w:val="auto"/>
        </w:rPr>
      </w:pPr>
    </w:p>
    <w:p>
      <w:pPr>
        <w:ind w:right="80" w:firstLine="8"/>
        <w:spacing w:after="0" w:line="255" w:lineRule="auto"/>
        <w:tabs>
          <w:tab w:leader="none" w:pos="2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Consolidated Interest Charges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rent and lease expense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Consolidated Scheduled Funded Debt Payments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dividends and other distributions (whether in cash, securities or other property) paid by the Borrower on its Equity Interests for such period (and not including repurchases of Equity Interests as permitted under </w:t>
      </w:r>
      <w:r>
        <w:rPr>
          <w:rFonts w:ascii="Arial" w:cs="Arial" w:eastAsia="Arial" w:hAnsi="Arial"/>
          <w:sz w:val="18"/>
          <w:szCs w:val="18"/>
          <w:u w:val="single" w:color="auto"/>
          <w:color w:val="auto"/>
        </w:rPr>
        <w:t>Section 8.06</w:t>
      </w:r>
      <w:r>
        <w:rPr>
          <w:rFonts w:ascii="Arial" w:cs="Arial" w:eastAsia="Arial" w:hAnsi="Arial"/>
          <w:sz w:val="18"/>
          <w:szCs w:val="18"/>
          <w:color w:val="auto"/>
        </w:rPr>
        <w:t>).</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Funded Indebtedness</w:t>
      </w:r>
      <w:r>
        <w:rPr>
          <w:rFonts w:ascii="Arial" w:cs="Arial" w:eastAsia="Arial" w:hAnsi="Arial"/>
          <w:sz w:val="18"/>
          <w:szCs w:val="18"/>
          <w:color w:val="auto"/>
        </w:rPr>
        <w:t>” means Funded Indebtedness of the Borrower and its Subsidiaries on a consolidated basis.</w:t>
      </w:r>
    </w:p>
    <w:p>
      <w:pPr>
        <w:spacing w:after="0" w:line="225" w:lineRule="exact"/>
        <w:rPr>
          <w:sz w:val="20"/>
          <w:szCs w:val="20"/>
          <w:color w:val="auto"/>
        </w:rPr>
      </w:pPr>
    </w:p>
    <w:p>
      <w:pPr>
        <w:ind w:right="26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Charges</w:t>
      </w:r>
      <w:r>
        <w:rPr>
          <w:rFonts w:ascii="Arial" w:cs="Arial" w:eastAsia="Arial" w:hAnsi="Arial"/>
          <w:sz w:val="17"/>
          <w:szCs w:val="17"/>
          <w:color w:val="auto"/>
        </w:rPr>
        <w:t xml:space="preserve">” means, for any period, for the Borrower and its Subsidiaries on a consolidated basis,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portion of rent expense with respect to such period under capital leases that is treated as interest in accordance with GAAP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the implied interest component of Synthetic Lease Obligations with respect to such period. For purposes of calculating Consolidated Fixed Charges only, Consolidated Interest Charges for the period of one fiscal quarter ended December 31, 2012 shall be deemed to be $500,000.</w:t>
      </w:r>
    </w:p>
    <w:p>
      <w:pPr>
        <w:spacing w:after="0" w:line="178"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means, as of any date of determination, the ratio of (a) Consolidated Funded Indebtedness as of such date to (b) Consolidated EBITDA for the period of the four fiscal quarters most recently ended.</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for any period, for the Borrower and its Subsidiaries on a consolidated basis, net income (or loss)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Net Income shall exclude (a) extraordinary gains and extraordinary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Borrower’s equity in any net loss of any such Subsidiary for such period shall be included in determining Consolidated Net Income and (c) any income (or loss) for such period of any Person if such Person is not a Subsidiary, except that the Borrower’s equity in the net income of any such Person for such period shall be included in Consolidated Net Income up to the aggregate amount of cash actually distributed by such Person during such period to the Borrower or a Subsidiary as a dividend or other distribution (and in the case of a dividend or other distribution to a Subsidiary, such Subsidiary is not precluded from further distributing such amount to the Borrower as described in clause (b) of this proviso).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16" w:name="page117"/>
    <w:bookmarkEnd w:id="116"/>
    <w:p>
      <w:pPr>
        <w:ind w:right="60" w:firstLine="456"/>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Consolidated Scheduled Funded Debt Payments</w:t>
      </w:r>
      <w:r>
        <w:rPr>
          <w:rFonts w:ascii="Arial" w:cs="Arial" w:eastAsia="Arial" w:hAnsi="Arial"/>
          <w:sz w:val="17"/>
          <w:szCs w:val="17"/>
          <w:color w:val="auto"/>
        </w:rPr>
        <w:t>” means for any period for the Borrower and its Subsidiaries on a consolidated basis, the sum of all scheduled payments of principal on Consolidated Funded Indebtedness.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the Attributable Indebtedness and (c) shall not include any voluntary or mandatory prepayments. For purposes of calculating the Consolidated Fixed Charge Coverage Ratio only, Consolidated Scheduled Funded Debt Payments for the period of one fiscal quarter ended December 31, 2012 shall be deemed to be $1,666,667.</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Tangible Net Worth</w:t>
      </w:r>
      <w:r>
        <w:rPr>
          <w:rFonts w:ascii="Arial" w:cs="Arial" w:eastAsia="Arial" w:hAnsi="Arial"/>
          <w:sz w:val="18"/>
          <w:szCs w:val="18"/>
          <w:color w:val="auto"/>
        </w:rPr>
        <w:t>” means, as of any date of determination, for the Borrower and its Subsidiaries on a consolidated basis,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stockholders’ equity of the Borrower and its Subsidiaries on that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Intangible Assets of the Borrower and its Subsidiaries on that date.</w:t>
      </w:r>
    </w:p>
    <w:p>
      <w:pPr>
        <w:spacing w:after="0" w:line="23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written agreement, instrument or other undertaking to which such Person is a party or by which it or any of its property is bound.</w:t>
      </w:r>
    </w:p>
    <w:p>
      <w:pPr>
        <w:spacing w:after="0" w:line="170"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 Without limiting the generality of the foregoing, a Person shall be deemed to be Controlled by another Person if such other Person possesses, directly or indirectly, power to vote 10% or more of the securities having ordinary voting power for the election of directors, managing general partners or the equivalent.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 Issuance</w:t>
      </w:r>
      <w:r>
        <w:rPr>
          <w:rFonts w:ascii="Arial" w:cs="Arial" w:eastAsia="Arial" w:hAnsi="Arial"/>
          <w:sz w:val="16"/>
          <w:szCs w:val="16"/>
          <w:color w:val="auto"/>
        </w:rPr>
        <w:t xml:space="preserve">” means the issuance by the Borrower or any Subsidiary of any Indebtedness other than Indebtedness permitted under </w:t>
      </w:r>
      <w:r>
        <w:rPr>
          <w:rFonts w:ascii="Arial" w:cs="Arial" w:eastAsia="Arial" w:hAnsi="Arial"/>
          <w:sz w:val="16"/>
          <w:szCs w:val="16"/>
          <w:u w:val="single" w:color="auto"/>
          <w:color w:val="auto"/>
        </w:rPr>
        <w:t>Section 8.03</w:t>
      </w:r>
      <w:r>
        <w:rPr>
          <w:rFonts w:ascii="Arial" w:cs="Arial" w:eastAsia="Arial" w:hAnsi="Arial"/>
          <w:sz w:val="16"/>
          <w:szCs w:val="16"/>
          <w:color w:val="auto"/>
        </w:rPr>
        <w:t>.</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means (a) when used with respect to Obligations other than Letter of Credit Fees, an interest rate equal to (i) the Base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the Applicable Rate, if any, applicable to Base Rate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(iii) 2% per annum;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 Eurodollar Rate Loan, the Default Rate shall be an interest rate equal to the interest rate (including any Applicable Rate) otherwise applicable to such Loan plus 2% per annum and (b) when used with respect to Letter of Credit Fees, a rate equal to the Applicable Rate for Revolving Loans that are Eurodollar Rate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per annum.</w:t>
      </w:r>
    </w:p>
    <w:p>
      <w:pPr>
        <w:spacing w:after="0" w:line="154"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2.15(b)</w:t>
      </w:r>
      <w:r>
        <w:rPr>
          <w:rFonts w:ascii="Arial" w:cs="Arial" w:eastAsia="Arial" w:hAnsi="Arial"/>
          <w:sz w:val="18"/>
          <w:szCs w:val="18"/>
          <w:color w:val="auto"/>
        </w:rPr>
        <w:t>, any Lender that (a) has failed to (i) fund all or any portion of its Loans within two Business Days of the date such Loans were required to be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7" w:name="page118"/>
    <w:bookmarkEnd w:id="11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 (b) 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Arial" w:cs="Arial" w:eastAsia="Arial" w:hAnsi="Arial"/>
          <w:sz w:val="16"/>
          <w:szCs w:val="16"/>
          <w:u w:val="single" w:color="auto"/>
          <w:color w:val="auto"/>
        </w:rPr>
        <w:t>Section 2.15(b)</w:t>
      </w:r>
      <w:r>
        <w:rPr>
          <w:rFonts w:ascii="Arial" w:cs="Arial" w:eastAsia="Arial" w:hAnsi="Arial"/>
          <w:sz w:val="16"/>
          <w:szCs w:val="16"/>
          <w:color w:val="auto"/>
        </w:rPr>
        <w:t>)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spacing w:after="0" w:line="3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any Sanction.</w:t>
      </w:r>
    </w:p>
    <w:p>
      <w:pPr>
        <w:spacing w:after="0" w:line="22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w:t>
      </w:r>
      <w:r>
        <w:rPr>
          <w:rFonts w:ascii="Arial" w:cs="Arial" w:eastAsia="Arial" w:hAnsi="Arial"/>
          <w:sz w:val="16"/>
          <w:szCs w:val="16"/>
          <w:color w:val="auto"/>
        </w:rPr>
        <w:t>” or “</w:t>
      </w:r>
      <w:r>
        <w:rPr>
          <w:rFonts w:ascii="Arial" w:cs="Arial" w:eastAsia="Arial" w:hAnsi="Arial"/>
          <w:sz w:val="16"/>
          <w:szCs w:val="16"/>
          <w:u w:val="single" w:color="auto"/>
          <w:color w:val="auto"/>
        </w:rPr>
        <w:t>Dispose</w:t>
      </w:r>
      <w:r>
        <w:rPr>
          <w:rFonts w:ascii="Arial" w:cs="Arial" w:eastAsia="Arial" w:hAnsi="Arial"/>
          <w:sz w:val="16"/>
          <w:szCs w:val="16"/>
          <w:color w:val="auto"/>
        </w:rPr>
        <w:t xml:space="preserve">” means the sale, transfer, license, lease or other disposition of any property by the Borrower or any Subsidiary, including any Sale and Leaseback Transaction and any sale, assignment, transfer or other disposal, with or without recourse, of any notes or accounts receivable or any rights and claims associated therewith, but excluding (a) the disposition of inventory in the ordinary course of business; (b) the disposition of machinery and equipment no longer used or useful in the conduct of business of the Borrower and its Subsidiaries in the ordinary course of business; (c) the disposition of property to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transferor of such property is a Loan Party then the transferee thereof must be a Loan Party;</w:t>
      </w:r>
    </w:p>
    <w:p>
      <w:pPr>
        <w:spacing w:after="0" w:line="2" w:lineRule="exact"/>
        <w:rPr>
          <w:sz w:val="20"/>
          <w:szCs w:val="20"/>
          <w:color w:val="auto"/>
        </w:rPr>
      </w:pPr>
    </w:p>
    <w:p>
      <w:pPr>
        <w:ind w:right="40" w:firstLine="8"/>
        <w:spacing w:after="0" w:line="281" w:lineRule="auto"/>
        <w:tabs>
          <w:tab w:leader="none" w:pos="255"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disposition of accounts receivable in connection with the collection or compromise thereof; (e) licenses, sublicenses, leases or subleases granted to others not interfering in any material respect with the business of the Borrower and its Subsidiaries; (f) the sale or disposition of Cash Equivalents for fair market value; (g) any Recovery Event; (h) the disposition of personal property (other than personal property constituting Excluded Fixed Assets) to the extent that (i) such property is exchanged for credit against the purchase price of similar replacement property or (ii) the proceeds of such disposition are promptly applied to the purchase price of such replacement property; (h) to the extent constituting a Disposition, transactions permitted by Section 8.04 and</w:t>
      </w:r>
    </w:p>
    <w:p>
      <w:pPr>
        <w:spacing w:after="0" w:line="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Section 8.06 and Liens permitted by Section 8.01; and (j) the disposition of the Investments described on </w:t>
      </w:r>
      <w:r>
        <w:rPr>
          <w:rFonts w:ascii="Arial" w:cs="Arial" w:eastAsia="Arial" w:hAnsi="Arial"/>
          <w:sz w:val="18"/>
          <w:szCs w:val="18"/>
          <w:u w:val="single" w:color="auto"/>
          <w:color w:val="auto"/>
        </w:rPr>
        <w:t>Schedule 8.02</w:t>
      </w:r>
      <w:r>
        <w:rPr>
          <w:rFonts w:ascii="Arial" w:cs="Arial" w:eastAsia="Arial" w:hAnsi="Arial"/>
          <w:sz w:val="18"/>
          <w:szCs w:val="18"/>
          <w:color w:val="auto"/>
        </w:rPr>
        <w: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DOE</w:t>
      </w:r>
      <w:r>
        <w:rPr>
          <w:rFonts w:ascii="Arial" w:cs="Arial" w:eastAsia="Arial" w:hAnsi="Arial"/>
          <w:sz w:val="18"/>
          <w:szCs w:val="18"/>
          <w:color w:val="auto"/>
        </w:rPr>
        <w:t>” means the United States Department of Education and any successor agency administering Title IV Programs.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DOE Ratio</w:t>
      </w:r>
      <w:r>
        <w:rPr>
          <w:rFonts w:ascii="Arial" w:cs="Arial" w:eastAsia="Arial" w:hAnsi="Arial"/>
          <w:sz w:val="18"/>
          <w:szCs w:val="18"/>
          <w:color w:val="auto"/>
        </w:rPr>
        <w:t xml:space="preserve">” means the composite score of the Borrower’s equity, primary reserve and net income ratios described in 34 C.F.R. Sections 668.171(b)(1) and Section 668.172 and appendices A and B to Subpart L of 34 C.F.R. of Section 668,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at any time the Borrower or any Subsidiary is required by the DOE to report such composite score on a school-by-school or other basis, the “DOE Ratio” shall also refer to the composite score for each school or other Person required to be reported to the DOE.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state of the United States or the District of Columbia.</w:t>
      </w:r>
    </w:p>
    <w:p>
      <w:pPr>
        <w:spacing w:after="0" w:line="22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Property</w:t>
      </w:r>
      <w:r>
        <w:rPr>
          <w:rFonts w:ascii="Arial" w:cs="Arial" w:eastAsia="Arial" w:hAnsi="Arial"/>
          <w:sz w:val="18"/>
          <w:szCs w:val="18"/>
          <w:color w:val="auto"/>
        </w:rPr>
        <w:t>” means (a) with respect to the Net Cash Proceeds of any Disposition of real property or Recovery Event with respect to real property, a fee interest in real property that (i) is Campus Property and (ii) constitutes Collateral and (b) with respect to the Net Cash Proceeds of any Disposition of personal property or Recovery Event with respect to personal property, personal property that constitutes Collateral (other than current assets as classified by GAAP).</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Sections 11.06(b)(iii)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11.06(b)(iii)</w:t>
      </w:r>
      <w:r>
        <w:rPr>
          <w:rFonts w:ascii="Arial" w:cs="Arial" w:eastAsia="Arial" w:hAnsi="Arial"/>
          <w:sz w:val="18"/>
          <w:szCs w:val="18"/>
          <w:color w:val="auto"/>
        </w:rPr>
        <w:t>).</w:t>
      </w:r>
    </w:p>
    <w:p>
      <w:pPr>
        <w:spacing w:after="0" w:line="17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applicable Law relating to (i) the release of, and the investigation and remediation of, hazardous substances (which are not naturally occurring) released into the environment (including, without limitation, air, water vapor, surface water, groundwater, drinking water supply, surface land, subsurface land), and (ii) the exposure to, or the use, storage, recycling, treatment, generation, transportation, processing, handling, labeling, production, release or disposal of Hazardous Materials.</w:t>
      </w:r>
    </w:p>
    <w:p>
      <w:pPr>
        <w:spacing w:after="0" w:line="18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w:t>
      </w:r>
    </w:p>
    <w:p>
      <w:pPr>
        <w:ind w:right="160" w:firstLine="8"/>
        <w:spacing w:after="0" w:line="255" w:lineRule="auto"/>
        <w:tabs>
          <w:tab w:leader="none" w:pos="2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generation, use, handling, transportation, storage, treatment or disposal of any Hazardous Materials, (c) exposure to any Hazardous Materials, (d) the release or threatened release of any Hazardous Materials into the environment or (e) any Contractual Obligation pursuant to which liability is assumed or imposed with respect to any of the foregoing.</w:t>
      </w:r>
    </w:p>
    <w:p>
      <w:pPr>
        <w:spacing w:after="0" w:line="190" w:lineRule="exact"/>
        <w:rPr>
          <w:sz w:val="20"/>
          <w:szCs w:val="20"/>
          <w:color w:val="auto"/>
        </w:rPr>
      </w:pPr>
    </w:p>
    <w:p>
      <w:pPr>
        <w:ind w:right="24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Equity Interests</w:t>
      </w:r>
      <w:r>
        <w:rPr>
          <w:rFonts w:ascii="Arial" w:cs="Arial" w:eastAsia="Arial" w:hAnsi="Arial"/>
          <w:sz w:val="17"/>
          <w:szCs w:val="17"/>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jc w:val="both"/>
        <w:ind w:right="7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under common control with a Loan Party within the meaning of Section 414(b) or (c) of the Internal Revenue Code (and Sections 414(m) and (o) of the Internal Revenue Code for purposes of provisions relating to Section 412 of the Internal Revenue Code).</w:t>
      </w:r>
    </w:p>
    <w:p>
      <w:pPr>
        <w:spacing w:after="0" w:line="18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a Loan Party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 Loan Party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Internal Revenue Code or Sections 303, 304 and 305 of ERISA; or (h) the imposition of any liability under Title IV of ERISA, other than for PBGC premiums due but not delinquent under Section 4007 of ERISA, upon any Loan Party or any ERISA Affiliate.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means:</w:t>
      </w:r>
    </w:p>
    <w:p>
      <w:pPr>
        <w:spacing w:after="0" w:line="117" w:lineRule="exact"/>
        <w:rPr>
          <w:sz w:val="20"/>
          <w:szCs w:val="20"/>
          <w:color w:val="auto"/>
        </w:rPr>
      </w:pPr>
    </w:p>
    <w:p>
      <w:pPr>
        <w:ind w:left="460" w:firstLine="443"/>
        <w:spacing w:after="0" w:line="257" w:lineRule="auto"/>
        <w:tabs>
          <w:tab w:leader="none" w:pos="1143"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any Interest Period with respect to a Eurodollar Rate Loan,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or a comparable or successor rate, which rate is approved by the Administrative Agent, as published by Bloomberg (or such other commercially available source providing such quotations as may be designated by the Administrative Agent from time to time) (in such case, the “</w:t>
      </w:r>
      <w:r>
        <w:rPr>
          <w:rFonts w:ascii="Arial" w:cs="Arial" w:eastAsia="Arial" w:hAnsi="Arial"/>
          <w:sz w:val="18"/>
          <w:szCs w:val="18"/>
          <w:u w:val="single" w:color="auto"/>
          <w:color w:val="auto"/>
        </w:rPr>
        <w:t>LIBOR Rate</w:t>
      </w:r>
      <w:r>
        <w:rPr>
          <w:rFonts w:ascii="Arial" w:cs="Arial" w:eastAsia="Arial" w:hAnsi="Arial"/>
          <w:sz w:val="18"/>
          <w:szCs w:val="18"/>
          <w:color w:val="auto"/>
        </w:rPr>
        <w:t>”) at approximately 11:00 a.m., London time, two Business Days prior to the commencement of such Interest Period, for Dollar deposits (for delivery on the first day of such Interest Period) with a term equivalent to such Interest Period; and</w:t>
      </w:r>
    </w:p>
    <w:p>
      <w:pPr>
        <w:spacing w:after="0" w:line="80" w:lineRule="exact"/>
        <w:rPr>
          <w:rFonts w:ascii="Arial" w:cs="Arial" w:eastAsia="Arial" w:hAnsi="Arial"/>
          <w:sz w:val="18"/>
          <w:szCs w:val="18"/>
          <w:color w:val="auto"/>
        </w:rPr>
      </w:pPr>
    </w:p>
    <w:p>
      <w:pPr>
        <w:ind w:left="460" w:right="20" w:firstLine="443"/>
        <w:spacing w:after="0" w:line="308" w:lineRule="auto"/>
        <w:tabs>
          <w:tab w:leader="none" w:pos="1153" w:val="left"/>
        </w:tabs>
        <w:numPr>
          <w:ilvl w:val="0"/>
          <w:numId w:val="57"/>
        </w:numPr>
        <w:rPr>
          <w:rFonts w:ascii="Arial" w:cs="Arial" w:eastAsia="Arial" w:hAnsi="Arial"/>
          <w:sz w:val="17"/>
          <w:szCs w:val="17"/>
          <w:color w:val="auto"/>
        </w:rPr>
      </w:pPr>
      <w:r>
        <w:rPr>
          <w:rFonts w:ascii="Arial" w:cs="Arial" w:eastAsia="Arial" w:hAnsi="Arial"/>
          <w:sz w:val="17"/>
          <w:szCs w:val="17"/>
          <w:color w:val="auto"/>
        </w:rPr>
        <w:t>for any interest calculation with respect to a Base Rate Loan on any date, the rate per annum equal to the LIBOR Rate, at approximately 11:00 a.m., London time determined two Business Days prior to such date for Dollar deposits with a term of one month commencing that day;</w:t>
      </w:r>
    </w:p>
    <w:p>
      <w:pPr>
        <w:spacing w:after="0" w:line="38" w:lineRule="exact"/>
        <w:rPr>
          <w:sz w:val="20"/>
          <w:szCs w:val="20"/>
          <w:color w:val="auto"/>
        </w:rPr>
      </w:pPr>
    </w:p>
    <w:p>
      <w:pPr>
        <w:ind w:left="460" w:right="20" w:firstLine="438"/>
        <w:spacing w:after="0" w:line="279"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to the extent a comparable or successor rate is approved by the Administrative Agent in connection herewith, the approved rate shall be applied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to the extent such market practice is not administratively feasible for the Administrative Agent, such approved rate shall be applied as otherwise reasonably determined by the Administrative Agent and (ii) if the Eurodollar Rate shall be less than zero, such rate shall be deemed zero for purposes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 Loan</w:t>
      </w:r>
      <w:r>
        <w:rPr>
          <w:rFonts w:ascii="Arial" w:cs="Arial" w:eastAsia="Arial" w:hAnsi="Arial"/>
          <w:sz w:val="18"/>
          <w:szCs w:val="18"/>
          <w:color w:val="auto"/>
        </w:rPr>
        <w:t>” means a Loan that bears interest at a rate based on clause (a) of the definition of “Eurodollar Rate.”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20" w:name="page121"/>
    <w:bookmarkEnd w:id="12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9.01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Fixed Assets</w:t>
      </w:r>
      <w:r>
        <w:rPr>
          <w:rFonts w:ascii="Arial" w:cs="Arial" w:eastAsia="Arial" w:hAnsi="Arial"/>
          <w:sz w:val="18"/>
          <w:szCs w:val="18"/>
          <w:color w:val="auto"/>
        </w:rPr>
        <w:t>” means Excluded Real Property and equipment and fixtures located on Excluded Real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Personal Property</w:t>
      </w:r>
      <w:r>
        <w:rPr>
          <w:rFonts w:ascii="Arial" w:cs="Arial" w:eastAsia="Arial" w:hAnsi="Arial"/>
          <w:sz w:val="18"/>
          <w:szCs w:val="18"/>
          <w:color w:val="auto"/>
        </w:rPr>
        <w:t>” means, collectively, the following personal property:</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equipment and fixtures located on Excluded Real Property;</w:t>
      </w:r>
    </w:p>
    <w:p>
      <w:pPr>
        <w:spacing w:after="0" w:line="117" w:lineRule="exact"/>
        <w:rPr>
          <w:sz w:val="20"/>
          <w:szCs w:val="20"/>
          <w:color w:val="auto"/>
        </w:rPr>
      </w:pPr>
    </w:p>
    <w:p>
      <w:pPr>
        <w:ind w:left="460" w:right="240" w:firstLine="443"/>
        <w:spacing w:after="0" w:line="277" w:lineRule="auto"/>
        <w:tabs>
          <w:tab w:leader="none" w:pos="1143" w:val="left"/>
        </w:tabs>
        <w:numPr>
          <w:ilvl w:val="1"/>
          <w:numId w:val="58"/>
        </w:numPr>
        <w:rPr>
          <w:rFonts w:ascii="Arial" w:cs="Arial" w:eastAsia="Arial" w:hAnsi="Arial"/>
          <w:sz w:val="18"/>
          <w:szCs w:val="18"/>
          <w:color w:val="auto"/>
        </w:rPr>
      </w:pPr>
      <w:r>
        <w:rPr>
          <w:rFonts w:ascii="Arial" w:cs="Arial" w:eastAsia="Arial" w:hAnsi="Arial"/>
          <w:sz w:val="18"/>
          <w:szCs w:val="18"/>
          <w:color w:val="auto"/>
        </w:rPr>
        <w:t>funds received from federal student financial aid programs under Title IV Programs and held pursuant to 34 C.F.R. 668.163 or otherwise in trust pursuant to Section 34 C.F.R</w:t>
      </w:r>
      <w:r>
        <w:rPr>
          <w:rFonts w:ascii="Arial" w:cs="Arial" w:eastAsia="Arial" w:hAnsi="Arial"/>
          <w:sz w:val="18"/>
          <w:szCs w:val="18"/>
          <w:b w:val="1"/>
          <w:bCs w:val="1"/>
          <w:color w:val="auto"/>
        </w:rPr>
        <w:t>.</w:t>
      </w:r>
      <w:r>
        <w:rPr>
          <w:rFonts w:ascii="Arial" w:cs="Arial" w:eastAsia="Arial" w:hAnsi="Arial"/>
          <w:sz w:val="18"/>
          <w:szCs w:val="18"/>
          <w:color w:val="auto"/>
        </w:rPr>
        <w:t xml:space="preserve"> 668.161;</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 xml:space="preserve">the Equity Interests of each Subsidiary to the extent not required to be pledged to the Administrative Agent pursuant to </w:t>
      </w:r>
      <w:r>
        <w:rPr>
          <w:rFonts w:ascii="Arial" w:cs="Arial" w:eastAsia="Arial" w:hAnsi="Arial"/>
          <w:sz w:val="17"/>
          <w:szCs w:val="17"/>
          <w:u w:val="single" w:color="auto"/>
          <w:color w:val="auto"/>
        </w:rPr>
        <w:t>Section 7.13(a)</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jc w:val="both"/>
        <w:ind w:left="460" w:right="60" w:firstLine="443"/>
        <w:spacing w:after="0" w:line="264" w:lineRule="auto"/>
        <w:tabs>
          <w:tab w:leader="none" w:pos="1143" w:val="left"/>
        </w:tabs>
        <w:numPr>
          <w:ilvl w:val="1"/>
          <w:numId w:val="58"/>
        </w:numPr>
        <w:rPr>
          <w:rFonts w:ascii="Arial" w:cs="Arial" w:eastAsia="Arial" w:hAnsi="Arial"/>
          <w:sz w:val="18"/>
          <w:szCs w:val="18"/>
          <w:color w:val="auto"/>
        </w:rPr>
      </w:pPr>
      <w:r>
        <w:rPr>
          <w:rFonts w:ascii="Arial" w:cs="Arial" w:eastAsia="Arial" w:hAnsi="Arial"/>
          <w:sz w:val="18"/>
          <w:szCs w:val="18"/>
          <w:color w:val="auto"/>
        </w:rPr>
        <w:t>unless requested by the Administrative Agent or the Required Lenders, any IP Rights for which a perfected Lien thereon is not effected either by filing of a Uniform Commercial Code financing statement or by appropriate evidence of such Lien being filed in either the United States Copyright Office or the United States Patent and Trademark Office;</w:t>
      </w:r>
    </w:p>
    <w:p>
      <w:pPr>
        <w:spacing w:after="0" w:line="73" w:lineRule="exact"/>
        <w:rPr>
          <w:rFonts w:ascii="Arial" w:cs="Arial" w:eastAsia="Arial" w:hAnsi="Arial"/>
          <w:sz w:val="18"/>
          <w:szCs w:val="18"/>
          <w:color w:val="auto"/>
        </w:rPr>
      </w:pPr>
    </w:p>
    <w:p>
      <w:pPr>
        <w:ind w:left="1120" w:hanging="217"/>
        <w:spacing w:after="0"/>
        <w:tabs>
          <w:tab w:leader="none" w:pos="11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unless requested by the Administrative Agent or the Required Lenders, any personal property (other than personal property described in clause</w:t>
      </w:r>
    </w:p>
    <w:p>
      <w:pPr>
        <w:spacing w:after="0" w:line="46" w:lineRule="exact"/>
        <w:rPr>
          <w:rFonts w:ascii="Arial" w:cs="Arial" w:eastAsia="Arial" w:hAnsi="Arial"/>
          <w:sz w:val="16"/>
          <w:szCs w:val="16"/>
          <w:color w:val="auto"/>
        </w:rPr>
      </w:pPr>
    </w:p>
    <w:p>
      <w:pPr>
        <w:ind w:left="720" w:hanging="256"/>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above) for which the attachment or perfection of a Lien thereon is not governed by the Uniform Commercial Code;</w:t>
      </w:r>
    </w:p>
    <w:p>
      <w:pPr>
        <w:spacing w:after="0" w:line="102"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1"/>
          <w:numId w:val="59"/>
        </w:numPr>
        <w:rPr>
          <w:rFonts w:ascii="Arial" w:cs="Arial" w:eastAsia="Arial" w:hAnsi="Arial"/>
          <w:sz w:val="18"/>
          <w:szCs w:val="18"/>
          <w:color w:val="auto"/>
        </w:rPr>
      </w:pPr>
      <w:r>
        <w:rPr>
          <w:rFonts w:ascii="Arial" w:cs="Arial" w:eastAsia="Arial" w:hAnsi="Arial"/>
          <w:sz w:val="18"/>
          <w:szCs w:val="18"/>
          <w:color w:val="auto"/>
        </w:rPr>
        <w:t xml:space="preserve">any property which, subject to the terms of </w:t>
      </w:r>
      <w:r>
        <w:rPr>
          <w:rFonts w:ascii="Arial" w:cs="Arial" w:eastAsia="Arial" w:hAnsi="Arial"/>
          <w:sz w:val="18"/>
          <w:szCs w:val="18"/>
          <w:u w:val="single" w:color="auto"/>
          <w:color w:val="auto"/>
        </w:rPr>
        <w:t>Section 8.09</w:t>
      </w:r>
      <w:r>
        <w:rPr>
          <w:rFonts w:ascii="Arial" w:cs="Arial" w:eastAsia="Arial" w:hAnsi="Arial"/>
          <w:sz w:val="18"/>
          <w:szCs w:val="18"/>
          <w:color w:val="auto"/>
        </w:rPr>
        <w:t xml:space="preserve">, is subject to a Lien of the type described in </w:t>
      </w:r>
      <w:r>
        <w:rPr>
          <w:rFonts w:ascii="Arial" w:cs="Arial" w:eastAsia="Arial" w:hAnsi="Arial"/>
          <w:sz w:val="18"/>
          <w:szCs w:val="18"/>
          <w:u w:val="single" w:color="auto"/>
          <w:color w:val="auto"/>
        </w:rPr>
        <w:t>Section 8.01(i)</w:t>
      </w:r>
      <w:r>
        <w:rPr>
          <w:rFonts w:ascii="Arial" w:cs="Arial" w:eastAsia="Arial" w:hAnsi="Arial"/>
          <w:sz w:val="18"/>
          <w:szCs w:val="18"/>
          <w:color w:val="auto"/>
        </w:rPr>
        <w:t xml:space="preserve"> pursuant to documents which prohibit the applicable Loan Party from granting any other Liens in such property;</w:t>
      </w:r>
    </w:p>
    <w:p>
      <w:pPr>
        <w:spacing w:after="0" w:line="62" w:lineRule="exact"/>
        <w:rPr>
          <w:rFonts w:ascii="Arial" w:cs="Arial" w:eastAsia="Arial" w:hAnsi="Arial"/>
          <w:sz w:val="18"/>
          <w:szCs w:val="18"/>
          <w:color w:val="auto"/>
        </w:rPr>
      </w:pPr>
    </w:p>
    <w:p>
      <w:pPr>
        <w:ind w:left="460" w:firstLine="443"/>
        <w:spacing w:after="0" w:line="273" w:lineRule="auto"/>
        <w:tabs>
          <w:tab w:leader="none" w:pos="1153"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any lease, license, contract or other agreement if the grant of a security interest in such lease, license, contract or other agreement is prohibited under the terms of such lease, license, contract or other agreement or under applicable Law or would result in default thereunder, the termination thereof or give the other parties thereto the right to terminate, accelerate or otherwise alter the applicable Loan Party’s rights, titles and interests thereunder (including upon the giving of notice or the lapse of time or both);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prohibition could not be rendered ineffective pursuant to the Uniform Commercial Code or any other applicable Law (including Debtor Relief Laws) or principles of equity and (ii) if such prohibition is terminated or waived, such lease, license, contract or other agreement shall no longer be Excluded Property;</w:t>
      </w:r>
    </w:p>
    <w:p>
      <w:pPr>
        <w:spacing w:after="0" w:line="70" w:lineRule="exact"/>
        <w:rPr>
          <w:rFonts w:ascii="Arial" w:cs="Arial" w:eastAsia="Arial" w:hAnsi="Arial"/>
          <w:sz w:val="17"/>
          <w:szCs w:val="17"/>
          <w:color w:val="auto"/>
        </w:rPr>
      </w:pPr>
    </w:p>
    <w:p>
      <w:pPr>
        <w:ind w:left="460" w:right="100" w:firstLine="443"/>
        <w:spacing w:after="0" w:line="342" w:lineRule="auto"/>
        <w:tabs>
          <w:tab w:leader="none" w:pos="1113"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any cash and Cash Equivalents which, subject to the terms of </w:t>
      </w:r>
      <w:r>
        <w:rPr>
          <w:rFonts w:ascii="Arial" w:cs="Arial" w:eastAsia="Arial" w:hAnsi="Arial"/>
          <w:sz w:val="16"/>
          <w:szCs w:val="16"/>
          <w:u w:val="single" w:color="auto"/>
          <w:color w:val="auto"/>
        </w:rPr>
        <w:t>Section 8.09</w:t>
      </w:r>
      <w:r>
        <w:rPr>
          <w:rFonts w:ascii="Arial" w:cs="Arial" w:eastAsia="Arial" w:hAnsi="Arial"/>
          <w:sz w:val="16"/>
          <w:szCs w:val="16"/>
          <w:color w:val="auto"/>
        </w:rPr>
        <w:t xml:space="preserve">, is subject to a Lien of the type described in </w:t>
      </w:r>
      <w:r>
        <w:rPr>
          <w:rFonts w:ascii="Arial" w:cs="Arial" w:eastAsia="Arial" w:hAnsi="Arial"/>
          <w:sz w:val="16"/>
          <w:szCs w:val="16"/>
          <w:u w:val="single" w:color="auto"/>
          <w:color w:val="auto"/>
        </w:rPr>
        <w:t>Section 8.01(e)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8.01(f)</w:t>
      </w:r>
      <w:r>
        <w:rPr>
          <w:rFonts w:ascii="Arial" w:cs="Arial" w:eastAsia="Arial" w:hAnsi="Arial"/>
          <w:sz w:val="16"/>
          <w:szCs w:val="16"/>
          <w:color w:val="auto"/>
        </w:rPr>
        <w:t xml:space="preserve"> pursuant to documents which prohibit the applicable Loan Party from granting any other Liens in such cash and Cash Equivalents; and</w:t>
      </w:r>
    </w:p>
    <w:p>
      <w:pPr>
        <w:spacing w:after="0" w:line="15" w:lineRule="exact"/>
        <w:rPr>
          <w:rFonts w:ascii="Arial" w:cs="Arial" w:eastAsia="Arial" w:hAnsi="Arial"/>
          <w:sz w:val="16"/>
          <w:szCs w:val="16"/>
          <w:color w:val="auto"/>
        </w:rPr>
      </w:pPr>
    </w:p>
    <w:p>
      <w:pPr>
        <w:ind w:left="460" w:right="580" w:firstLine="443"/>
        <w:spacing w:after="0" w:line="277" w:lineRule="auto"/>
        <w:tabs>
          <w:tab w:leader="none" w:pos="1113"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other property if the Administrative Agent and the Borrower agree in writing that the cost, burden or consequences of obtaining or perfecting a security interest in such property is excessive in relation to the value of such property as Collateral.</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Real Property</w:t>
      </w:r>
      <w:r>
        <w:rPr>
          <w:rFonts w:ascii="Arial" w:cs="Arial" w:eastAsia="Arial" w:hAnsi="Arial"/>
          <w:sz w:val="18"/>
          <w:szCs w:val="18"/>
          <w:color w:val="auto"/>
        </w:rPr>
        <w:t>” means (a) the real property located at 5115 North 27</w:t>
      </w:r>
      <w:r>
        <w:rPr>
          <w:rFonts w:ascii="Arial" w:cs="Arial" w:eastAsia="Arial" w:hAnsi="Arial"/>
          <w:sz w:val="15"/>
          <w:szCs w:val="15"/>
          <w:color w:val="auto"/>
        </w:rPr>
        <w:t>th</w:t>
      </w:r>
      <w:r>
        <w:rPr>
          <w:rFonts w:ascii="Arial" w:cs="Arial" w:eastAsia="Arial" w:hAnsi="Arial"/>
          <w:sz w:val="18"/>
          <w:szCs w:val="18"/>
          <w:color w:val="auto"/>
        </w:rPr>
        <w:t xml:space="preserve"> Avenue, Phoenix, Arizona 85017 and (b) any real property acquired after the Closing Date unless such real property is or becomes Campus Property.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21" w:name="page122"/>
    <w:bookmarkEnd w:id="121"/>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xml:space="preserve">” means, with respect to any Guarantor, any Swap Obligation if, and to the extent that, all or a portion of the Guaranty of such Guarantor of, or the grant under a Loan Document by such Guarantor of a security interest to secure, such Swap Obligation (or any Guarantee thereof) is or becomes illegal under the Commodity Exchange Act (or the application or official interpretation thereof) by virtue of such Guarantor’s failure for any reason to constitute an “eligible contract participant” as defined in the Commodity Exchange Act (determined after giving effect to </w:t>
      </w:r>
      <w:r>
        <w:rPr>
          <w:rFonts w:ascii="Arial" w:cs="Arial" w:eastAsia="Arial" w:hAnsi="Arial"/>
          <w:sz w:val="18"/>
          <w:szCs w:val="18"/>
          <w:u w:val="single" w:color="auto"/>
          <w:color w:val="auto"/>
        </w:rPr>
        <w:t>Section 10.08</w:t>
      </w:r>
      <w:r>
        <w:rPr>
          <w:rFonts w:ascii="Arial" w:cs="Arial" w:eastAsia="Arial" w:hAnsi="Arial"/>
          <w:sz w:val="18"/>
          <w:szCs w:val="18"/>
          <w:color w:val="auto"/>
        </w:rPr>
        <w:t xml:space="preserve"> and any and all guarantees of such Guarantor’s Swap Obligations by other Loan Parties) at the time the Guaranty of such Guarantor, or grant by such Guarantor of a security interest, becomes effective with respect to such Swap Obligation. If a Swap Obligation arises under a Master Agreement governing more than one Swap Contract, such exclusion shall apply to only the portion of such Swap Obligation that is attributable to Swap Contracts for which such Guaranty or security interest is or becomes illegal.</w:t>
      </w:r>
    </w:p>
    <w:p>
      <w:pPr>
        <w:spacing w:after="0" w:line="192"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any Recipient or required to be withheld or deducted from a payment to a Recipient, (a) Taxes imposed on or measured by net income (however denominated), franchise Taxes, and branch profits Taxes, in each case,</w:t>
      </w:r>
    </w:p>
    <w:p>
      <w:pPr>
        <w:ind w:right="160" w:firstLine="8"/>
        <w:spacing w:after="0" w:line="281" w:lineRule="auto"/>
        <w:tabs>
          <w:tab w:leader="none" w:pos="215"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6"/>
          <w:szCs w:val="16"/>
          <w:u w:val="single" w:color="auto"/>
          <w:color w:val="auto"/>
        </w:rPr>
        <w:t>Section 11.13</w:t>
      </w:r>
      <w:r>
        <w:rPr>
          <w:rFonts w:ascii="Arial" w:cs="Arial" w:eastAsia="Arial" w:hAnsi="Arial"/>
          <w:sz w:val="16"/>
          <w:szCs w:val="16"/>
          <w:color w:val="auto"/>
        </w:rPr>
        <w:t>) or (ii) such Lender changes its Lending Office, except in each case to the extent that, pursuant to</w:t>
      </w:r>
    </w:p>
    <w:p>
      <w:pPr>
        <w:spacing w:after="0" w:line="3"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Section 3.01(a)(ii)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amounts with respect to such Taxes were payable either to such Lender’s assignor immediately before such Lender became a party hereto or to such Lender immediately before it changed its Lending Office, (c) Taxes attributable to such Recipient’s failure to comply with</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and (d) any U.S. federal withholding Taxes imposed pursuant to FATCA.</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6.09(a)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Internal Revenue Code.</w:t>
      </w:r>
    </w:p>
    <w:p>
      <w:pPr>
        <w:spacing w:after="0" w:line="181" w:lineRule="exact"/>
        <w:rPr>
          <w:sz w:val="20"/>
          <w:szCs w:val="20"/>
          <w:color w:val="auto"/>
        </w:rPr>
      </w:pPr>
    </w:p>
    <w:p>
      <w:pPr>
        <w:ind w:right="22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letter agreement dated August 16, 2012 among the Borrower, the Administrative Agent and the Arranger.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FIRREA</w:t>
      </w:r>
      <w:r>
        <w:rPr>
          <w:rFonts w:ascii="Arial" w:cs="Arial" w:eastAsia="Arial" w:hAnsi="Arial"/>
          <w:sz w:val="18"/>
          <w:szCs w:val="18"/>
          <w:color w:val="auto"/>
        </w:rPr>
        <w:t>” means the Federal Institutions, Reform, Recovery and Enforcement Act of 1989.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means the effective date of the First Amendment to this Agreement.</w:t>
      </w:r>
    </w:p>
    <w:p>
      <w:pPr>
        <w:spacing w:after="0" w:line="225"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not a Domestic Subsidiary.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88" w:lineRule="exact"/>
        <w:rPr>
          <w:sz w:val="20"/>
          <w:szCs w:val="20"/>
          <w:color w:val="auto"/>
        </w:rPr>
      </w:pPr>
    </w:p>
    <w:p>
      <w:pPr>
        <w:ind w:right="8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460" w:right="80" w:firstLine="443"/>
        <w:spacing w:after="0" w:line="277" w:lineRule="auto"/>
        <w:tabs>
          <w:tab w:leader="none" w:pos="11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outstanding principal amount of all obligations, whether current or long-term, for borrowed money (including Obligations hereunder) and all obligations evidenced by bonds, debentures, notes, loan agreements or other similar instruments;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purchase money indebtedness;</w:t>
      </w:r>
    </w:p>
    <w:p>
      <w:pPr>
        <w:spacing w:after="0" w:line="117" w:lineRule="exact"/>
        <w:rPr>
          <w:rFonts w:ascii="Arial" w:cs="Arial" w:eastAsia="Arial" w:hAnsi="Arial"/>
          <w:sz w:val="18"/>
          <w:szCs w:val="18"/>
          <w:color w:val="auto"/>
        </w:rPr>
      </w:pPr>
    </w:p>
    <w:p>
      <w:pPr>
        <w:ind w:left="460" w:right="800" w:firstLine="443"/>
        <w:spacing w:after="0" w:line="277" w:lineRule="auto"/>
        <w:tabs>
          <w:tab w:leader="none" w:pos="114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maximum amount available to be drawn under letters of credit (including standby and commercial), bankers’ acceptances, bank guaranties, surety bonds and similar instruments;</w:t>
      </w:r>
    </w:p>
    <w:p>
      <w:pPr>
        <w:spacing w:after="0" w:line="62" w:lineRule="exact"/>
        <w:rPr>
          <w:rFonts w:ascii="Arial" w:cs="Arial" w:eastAsia="Arial" w:hAnsi="Arial"/>
          <w:sz w:val="18"/>
          <w:szCs w:val="18"/>
          <w:color w:val="auto"/>
        </w:rPr>
      </w:pPr>
    </w:p>
    <w:p>
      <w:pPr>
        <w:ind w:left="460" w:right="240" w:firstLine="443"/>
        <w:spacing w:after="0" w:line="277" w:lineRule="auto"/>
        <w:tabs>
          <w:tab w:leader="none" w:pos="115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obligations in respect of the deferred purchase price of property or services (including earn-out payment obligations but excluding trade accounts payable in the ordinary course of business);</w:t>
      </w:r>
    </w:p>
    <w:p>
      <w:pPr>
        <w:spacing w:after="0" w:line="62" w:lineRule="exact"/>
        <w:rPr>
          <w:rFonts w:ascii="Arial" w:cs="Arial" w:eastAsia="Arial" w:hAnsi="Arial"/>
          <w:sz w:val="18"/>
          <w:szCs w:val="18"/>
          <w:color w:val="auto"/>
        </w:rPr>
      </w:pPr>
    </w:p>
    <w:p>
      <w:pPr>
        <w:ind w:left="5620" w:hanging="4717"/>
        <w:spacing w:after="0" w:line="449" w:lineRule="auto"/>
        <w:tabs>
          <w:tab w:leader="none" w:pos="11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Attributable Indebtedness of capital leases, Synthetic Lease Obligations, Sale and Leaseback Transactions and Securitization Transactions; 13</w:t>
      </w:r>
    </w:p>
    <w:p>
      <w:pPr>
        <w:sectPr>
          <w:pgSz w:w="11900" w:h="16838" w:orient="portrait"/>
          <w:cols w:equalWidth="0" w:num="1">
            <w:col w:w="11400"/>
          </w:cols>
          <w:pgMar w:left="240" w:top="274" w:right="259" w:bottom="1440" w:gutter="0" w:footer="0" w:header="0"/>
        </w:sectPr>
      </w:pPr>
    </w:p>
    <w:bookmarkStart w:id="123" w:name="page124"/>
    <w:bookmarkEnd w:id="123"/>
    <w:p>
      <w:pPr>
        <w:ind w:left="460" w:right="20" w:firstLine="443"/>
        <w:spacing w:after="0" w:line="277" w:lineRule="auto"/>
        <w:tabs>
          <w:tab w:leader="none" w:pos="1123"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duplication, all Guarantees with respect to outstanding Funded Indebtedness of the types specified in clauses (a) through (e) above of another Person; and</w:t>
      </w:r>
    </w:p>
    <w:p>
      <w:pPr>
        <w:spacing w:after="0" w:line="62" w:lineRule="exact"/>
        <w:rPr>
          <w:rFonts w:ascii="Arial" w:cs="Arial" w:eastAsia="Arial" w:hAnsi="Arial"/>
          <w:sz w:val="18"/>
          <w:szCs w:val="18"/>
          <w:color w:val="auto"/>
        </w:rPr>
      </w:pPr>
    </w:p>
    <w:p>
      <w:pPr>
        <w:ind w:left="460" w:firstLine="443"/>
        <w:spacing w:after="0" w:line="264"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Funded Indebtedness of the types referred to in clauses (a) through (f) above of any partnership or joint venture (other than a joint venture that is itself a corporation or limited liability company) in which such Person is a general partner or joint venturer, except to the extent that Funded Indebtedness is expressly made non-recourse to such Person.</w:t>
      </w:r>
    </w:p>
    <w:p>
      <w:pPr>
        <w:spacing w:after="0" w:line="18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collectively, (a) each Person identified as a “Guarantor” on the signature pages hereto, (b) each Person that joins as a Guarantor pursuant to </w:t>
      </w:r>
      <w:r>
        <w:rPr>
          <w:rFonts w:ascii="Arial" w:cs="Arial" w:eastAsia="Arial" w:hAnsi="Arial"/>
          <w:sz w:val="18"/>
          <w:szCs w:val="18"/>
          <w:u w:val="single" w:color="auto"/>
          <w:color w:val="auto"/>
        </w:rPr>
        <w:t>Section 7.12</w:t>
      </w:r>
      <w:r>
        <w:rPr>
          <w:rFonts w:ascii="Arial" w:cs="Arial" w:eastAsia="Arial" w:hAnsi="Arial"/>
          <w:sz w:val="18"/>
          <w:szCs w:val="18"/>
          <w:color w:val="auto"/>
        </w:rPr>
        <w:t xml:space="preserve"> or otherwise, (c) with respect to (i) Obligations under any Secured Hedge Agreement, (ii) Obligations under any Secured Cash Management Agreement and (iii) any Swap Obligation of a Specified Loan Party (determined before giving effect to </w:t>
      </w:r>
      <w:r>
        <w:rPr>
          <w:rFonts w:ascii="Arial" w:cs="Arial" w:eastAsia="Arial" w:hAnsi="Arial"/>
          <w:sz w:val="18"/>
          <w:szCs w:val="18"/>
          <w:u w:val="single" w:color="auto"/>
          <w:color w:val="auto"/>
        </w:rPr>
        <w:t>Sections 4.01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4.08</w:t>
      </w:r>
      <w:r>
        <w:rPr>
          <w:rFonts w:ascii="Arial" w:cs="Arial" w:eastAsia="Arial" w:hAnsi="Arial"/>
          <w:sz w:val="18"/>
          <w:szCs w:val="18"/>
          <w:color w:val="auto"/>
        </w:rPr>
        <w:t>) under the Guaranty, the Borrower and (d) the successors and permitted assigns of the foregoing.</w:t>
      </w:r>
    </w:p>
    <w:p>
      <w:pPr>
        <w:spacing w:after="0" w:line="18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made by the Guarantors in favor of the Administrative Agent, the Lenders and the other holders of the Obligations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20"/>
          </w:cols>
          <w:pgMar w:left="240" w:top="274" w:right="339" w:bottom="1440" w:gutter="0" w:footer="0" w:header="0"/>
        </w:sectPr>
      </w:pPr>
    </w:p>
    <w:bookmarkStart w:id="124" w:name="page125"/>
    <w:bookmarkEnd w:id="124"/>
    <w:p>
      <w:pPr>
        <w:ind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means any Person in its capacity as a party to a Swap Contract with the Borrower or any Subsidiary provided that (a) at the time such Person enters into such Swap Contract, such Person is a Lender or an Affiliate of a Lender, or (b) such Swap Contract exists on the Closing Date and such Person is a Lender or an Affiliate of a Lender on the Closing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Higher Education Act</w:t>
      </w:r>
      <w:r>
        <w:rPr>
          <w:rFonts w:ascii="Arial" w:cs="Arial" w:eastAsia="Arial" w:hAnsi="Arial"/>
          <w:sz w:val="18"/>
          <w:szCs w:val="18"/>
          <w:color w:val="auto"/>
        </w:rPr>
        <w:t>” means the Higher Education Act of 1965.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Higher Learning Commission</w:t>
      </w:r>
      <w:r>
        <w:rPr>
          <w:rFonts w:ascii="Arial" w:cs="Arial" w:eastAsia="Arial" w:hAnsi="Arial"/>
          <w:sz w:val="18"/>
          <w:szCs w:val="18"/>
          <w:color w:val="auto"/>
        </w:rPr>
        <w:t>” means the Higher Learning Commission of the North Central Association of Colleges and Schools.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HMT</w:t>
      </w:r>
      <w:r>
        <w:rPr>
          <w:rFonts w:ascii="Arial" w:cs="Arial" w:eastAsia="Arial" w:hAnsi="Arial"/>
          <w:sz w:val="18"/>
          <w:szCs w:val="18"/>
          <w:color w:val="auto"/>
        </w:rPr>
        <w:t xml:space="preserve">” has the meaning specified in the definition of “Sanctions” in this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Honor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2.03(c)</w:t>
      </w:r>
      <w:r>
        <w:rPr>
          <w:rFonts w:ascii="Arial" w:cs="Arial" w:eastAsia="Arial" w:hAnsi="Arial"/>
          <w:sz w:val="18"/>
          <w:szCs w:val="18"/>
          <w:color w:val="auto"/>
        </w:rPr>
        <w:t>.</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accounting standards within the meaning of IAS Regulation 1606/2002 to the extent applicable to the relevant financial statements delivered under or referred to herein.</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460" w:right="120" w:firstLine="443"/>
        <w:spacing w:after="0" w:line="277" w:lineRule="auto"/>
        <w:tabs>
          <w:tab w:leader="none" w:pos="114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obligations, whether current or long-term, for borrowed money (including Obligations hereunder) and all obligations evidenced by bonds, debentures, notes, loan agreements or other similar instruments;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purchase money indebtedness;</w:t>
      </w:r>
    </w:p>
    <w:p>
      <w:pPr>
        <w:spacing w:after="0" w:line="117" w:lineRule="exact"/>
        <w:rPr>
          <w:rFonts w:ascii="Arial" w:cs="Arial" w:eastAsia="Arial" w:hAnsi="Arial"/>
          <w:sz w:val="18"/>
          <w:szCs w:val="18"/>
          <w:color w:val="auto"/>
        </w:rPr>
      </w:pPr>
    </w:p>
    <w:p>
      <w:pPr>
        <w:ind w:left="460" w:right="820" w:firstLine="443"/>
        <w:spacing w:after="0" w:line="277" w:lineRule="auto"/>
        <w:tabs>
          <w:tab w:leader="none" w:pos="1143"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maximum amount available to be drawn under letters of credit (including standby and commercial), bankers’ acceptances, bank guaranties, surety bonds and similar instruments;</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1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obligations in respect of the deferred purchase price of property or services (other than trade accounts payable in the ordinary course of business);</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Attributable Indebtedness of capital leases, Synthetic Lease Obligations, Sale and Leaseback Transactions and Securitization Transactions;</w:t>
      </w:r>
    </w:p>
    <w:p>
      <w:pPr>
        <w:spacing w:after="0" w:line="140" w:lineRule="exact"/>
        <w:rPr>
          <w:rFonts w:ascii="Arial" w:cs="Arial" w:eastAsia="Arial" w:hAnsi="Arial"/>
          <w:sz w:val="16"/>
          <w:szCs w:val="16"/>
          <w:color w:val="auto"/>
        </w:rPr>
      </w:pPr>
    </w:p>
    <w:p>
      <w:pPr>
        <w:ind w:left="1120" w:hanging="217"/>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Swap Termination Value of any Swap Contract;</w:t>
      </w:r>
    </w:p>
    <w:p>
      <w:pPr>
        <w:spacing w:after="0" w:line="117" w:lineRule="exact"/>
        <w:rPr>
          <w:rFonts w:ascii="Arial" w:cs="Arial" w:eastAsia="Arial" w:hAnsi="Arial"/>
          <w:sz w:val="18"/>
          <w:szCs w:val="18"/>
          <w:color w:val="auto"/>
        </w:rPr>
      </w:pPr>
    </w:p>
    <w:p>
      <w:pPr>
        <w:ind w:left="460" w:right="340" w:firstLine="443"/>
        <w:spacing w:after="0" w:line="264" w:lineRule="auto"/>
        <w:tabs>
          <w:tab w:leader="none" w:pos="11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73" w:lineRule="exact"/>
        <w:rPr>
          <w:rFonts w:ascii="Arial" w:cs="Arial" w:eastAsia="Arial" w:hAnsi="Arial"/>
          <w:sz w:val="18"/>
          <w:szCs w:val="18"/>
          <w:color w:val="auto"/>
        </w:rPr>
      </w:pPr>
    </w:p>
    <w:p>
      <w:pPr>
        <w:ind w:left="460" w:right="320" w:firstLine="443"/>
        <w:spacing w:after="0" w:line="264" w:lineRule="auto"/>
        <w:tabs>
          <w:tab w:leader="none" w:pos="11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obligations to purchase, redeem, retire, defease or otherwise make any payment prior to the Maturity Date in respect of any Equity Interests, valued, in the case of a redeemable preferred interest, at the greater of its voluntary or involuntary liquidation preference plus accrued and unpaid dividends;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25" w:name="page126"/>
    <w:bookmarkEnd w:id="125"/>
    <w:p>
      <w:pPr>
        <w:ind w:left="1120" w:hanging="217"/>
        <w:spacing w:after="0"/>
        <w:tabs>
          <w:tab w:leader="none" w:pos="1120"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duplication, all Guarantees with respect to Indebtedness of the types specified in clauses (a) through (h) above of another Person; and</w:t>
      </w:r>
    </w:p>
    <w:p>
      <w:pPr>
        <w:spacing w:after="0" w:line="140" w:lineRule="exact"/>
        <w:rPr>
          <w:rFonts w:ascii="Arial" w:cs="Arial" w:eastAsia="Arial" w:hAnsi="Arial"/>
          <w:sz w:val="16"/>
          <w:szCs w:val="16"/>
          <w:color w:val="auto"/>
        </w:rPr>
      </w:pPr>
    </w:p>
    <w:p>
      <w:pPr>
        <w:ind w:left="460" w:right="260" w:firstLine="443"/>
        <w:spacing w:after="0" w:line="264" w:lineRule="auto"/>
        <w:tabs>
          <w:tab w:leader="none" w:pos="1113"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Indebtedness of the types referred to in clauses (a) through (i) above of any partnership or joint venture (other than a joint venture that is itself a corporation or limited liability company) in which such Person is a general partner or a joint venturer, except to the extent that such Indebtedness is expressly made non-recourse to such Person.</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11.04(b)</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11.07</w:t>
      </w:r>
      <w:r>
        <w:rPr>
          <w:rFonts w:ascii="Arial" w:cs="Arial" w:eastAsia="Arial" w:hAnsi="Arial"/>
          <w:sz w:val="18"/>
          <w:szCs w:val="18"/>
          <w:color w:val="auto"/>
        </w:rPr>
        <w:t>.</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Intangible Assets</w:t>
      </w:r>
      <w:r>
        <w:rPr>
          <w:rFonts w:ascii="Arial" w:cs="Arial" w:eastAsia="Arial" w:hAnsi="Arial"/>
          <w:sz w:val="18"/>
          <w:szCs w:val="18"/>
          <w:color w:val="auto"/>
        </w:rPr>
        <w:t>” 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Indebtedness</w:t>
      </w:r>
      <w:r>
        <w:rPr>
          <w:rFonts w:ascii="Arial" w:cs="Arial" w:eastAsia="Arial" w:hAnsi="Arial"/>
          <w:sz w:val="18"/>
          <w:szCs w:val="18"/>
          <w:color w:val="auto"/>
        </w:rPr>
        <w:t>” means Indebtedness owing by a Loan Party to another Loan Party.</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Agreements</w:t>
      </w:r>
      <w:r>
        <w:rPr>
          <w:rFonts w:ascii="Arial" w:cs="Arial" w:eastAsia="Arial" w:hAnsi="Arial"/>
          <w:sz w:val="18"/>
          <w:szCs w:val="18"/>
          <w:color w:val="auto"/>
        </w:rPr>
        <w:t>” means any subordination or intercreditor agreement entered into by the Administrative Agent in connection with any Subordinated Indebtedness.</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the first day of each calendar month, commencing on the first such day occurring after the Closing Date, and the Maturity Date.</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as to each Eurodollar Rate Loan, the period commencing on the date such Eurodollar Rate Loan is disbursed or converted to or continued as a Eurodollar Rate Loan and ending on the date one, two, three or six months thereafter (in each case, subject to availability), as selected by the Borrower in its Loan Notice, or such other period that is twelve months or less requested by the Borrower and consented to by all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39" w:lineRule="exact"/>
        <w:rPr>
          <w:sz w:val="20"/>
          <w:szCs w:val="20"/>
          <w:color w:val="auto"/>
        </w:rPr>
      </w:pPr>
    </w:p>
    <w:p>
      <w:pPr>
        <w:ind w:left="460" w:right="20" w:firstLine="443"/>
        <w:spacing w:after="0" w:line="308" w:lineRule="auto"/>
        <w:tabs>
          <w:tab w:leader="none" w:pos="1143"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38" w:lineRule="exact"/>
        <w:rPr>
          <w:rFonts w:ascii="Arial" w:cs="Arial" w:eastAsia="Arial" w:hAnsi="Arial"/>
          <w:sz w:val="17"/>
          <w:szCs w:val="17"/>
          <w:color w:val="auto"/>
        </w:rPr>
      </w:pPr>
    </w:p>
    <w:p>
      <w:pPr>
        <w:jc w:val="both"/>
        <w:ind w:left="460" w:right="20" w:firstLine="443"/>
        <w:spacing w:after="0" w:line="342" w:lineRule="auto"/>
        <w:tabs>
          <w:tab w:leader="none" w:pos="1153"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5" w:lineRule="exact"/>
        <w:rPr>
          <w:rFonts w:ascii="Arial" w:cs="Arial" w:eastAsia="Arial" w:hAnsi="Arial"/>
          <w:sz w:val="16"/>
          <w:szCs w:val="16"/>
          <w:color w:val="auto"/>
        </w:rPr>
      </w:pPr>
    </w:p>
    <w:p>
      <w:pPr>
        <w:ind w:left="1140" w:hanging="237"/>
        <w:spacing w:after="0"/>
        <w:tabs>
          <w:tab w:leader="none" w:pos="11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26" w:name="page127"/>
    <w:bookmarkEnd w:id="126"/>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Interim Financial Statements</w:t>
      </w:r>
      <w:r>
        <w:rPr>
          <w:rFonts w:ascii="Arial" w:cs="Arial" w:eastAsia="Arial" w:hAnsi="Arial"/>
          <w:sz w:val="18"/>
          <w:szCs w:val="18"/>
          <w:color w:val="auto"/>
        </w:rPr>
        <w:t>” means the unaudited consolidated financial statements of the Borrower and its Subsidiaries for the fiscal quarter ended September 30, 2012 including balance sheets and statements of income or operations, stockholders’ equity and cash flows.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or (c) an Acquisition. For purposes of covenant compliance, the amount of any Investment shall be the amount actually invested, without adjustment for subsequent increases or decreases in the value of such Investment.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6.17</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70"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Issuer Documents</w:t>
      </w:r>
      <w:r>
        <w:rPr>
          <w:rFonts w:ascii="Arial" w:cs="Arial" w:eastAsia="Arial" w:hAnsi="Arial"/>
          <w:sz w:val="17"/>
          <w:szCs w:val="17"/>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4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Joinder Agreement</w:t>
      </w:r>
      <w:r>
        <w:rPr>
          <w:rFonts w:ascii="Arial" w:cs="Arial" w:eastAsia="Arial" w:hAnsi="Arial"/>
          <w:sz w:val="17"/>
          <w:szCs w:val="17"/>
          <w:color w:val="auto"/>
        </w:rPr>
        <w:t xml:space="preserve">” means a joinder agreement substantially in the form of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executed and delivered by a Domestic Subsidiary in accordance with the provisions of </w:t>
      </w:r>
      <w:r>
        <w:rPr>
          <w:rFonts w:ascii="Arial" w:cs="Arial" w:eastAsia="Arial" w:hAnsi="Arial"/>
          <w:sz w:val="17"/>
          <w:szCs w:val="17"/>
          <w:u w:val="single" w:color="auto"/>
          <w:color w:val="auto"/>
        </w:rPr>
        <w:t>Section 7.12</w:t>
      </w:r>
      <w:r>
        <w:rPr>
          <w:rFonts w:ascii="Arial" w:cs="Arial" w:eastAsia="Arial" w:hAnsi="Arial"/>
          <w:sz w:val="17"/>
          <w:szCs w:val="17"/>
          <w:color w:val="auto"/>
        </w:rPr>
        <w:t xml:space="preserve"> or any other documents as the Administrative Agent shall deem appropriate for such purpose</w:t>
      </w:r>
    </w:p>
    <w:p>
      <w:pPr>
        <w:spacing w:after="0" w:line="14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Lender, such Lender’s funding of its participation in any L/C Borrowing in accordance with its Applicable Percentage.</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Borrowing of Revolving Loans.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Issuer</w:t>
      </w:r>
      <w:r>
        <w:rPr>
          <w:rFonts w:ascii="Arial" w:cs="Arial" w:eastAsia="Arial" w:hAnsi="Arial"/>
          <w:sz w:val="16"/>
          <w:szCs w:val="16"/>
          <w:color w:val="auto"/>
        </w:rPr>
        <w:t>” means Bank of America in its capacity as issuer of Letters of Credit hereunder, or any successor issuer of Letters of Credit hereunder.</w:t>
      </w:r>
    </w:p>
    <w:p>
      <w:pPr>
        <w:spacing w:after="0" w:line="248"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as at any date of determination, the aggregate amount available to be drawn under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 Amounts, including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27" w:name="page128"/>
    <w:bookmarkEnd w:id="12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87"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Lenders</w:t>
      </w:r>
      <w:r>
        <w:rPr>
          <w:rFonts w:ascii="Arial" w:cs="Arial" w:eastAsia="Arial" w:hAnsi="Arial"/>
          <w:sz w:val="17"/>
          <w:szCs w:val="17"/>
          <w:color w:val="auto"/>
        </w:rPr>
        <w:t>” means each of the Persons identified as a “Lender” on the signature pages hereto, each other Person that becomes a “Lender” in accordance with this Agreement and their successors and assigns and, unless the context requires otherwise, the Swing Line Lender.</w:t>
      </w:r>
    </w:p>
    <w:p>
      <w:pPr>
        <w:spacing w:after="0" w:line="14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 which office may include any Affiliate of such Lender or any domestic or foreign branch of such Lender or such affiliate. Unless the context otherwise requires each references to a Lender shall include its applicable Lending Office.</w:t>
      </w:r>
    </w:p>
    <w:p>
      <w:pPr>
        <w:spacing w:after="0" w:line="18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 providing for the payment of cash upon the honoring of a presentation thereunder.</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L/C Issuer.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22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$10 million. The Letter of Credit Sublimit is part of, and not in addition to, the Aggregate Revolving Commitments.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Liquidity</w:t>
      </w:r>
      <w:r>
        <w:rPr>
          <w:rFonts w:ascii="Arial" w:cs="Arial" w:eastAsia="Arial" w:hAnsi="Arial"/>
          <w:sz w:val="18"/>
          <w:szCs w:val="18"/>
          <w:color w:val="auto"/>
        </w:rPr>
        <w:t xml:space="preserve">” means, as of any date of determination, the sum of (a) all cash and Cash Equivalents of the Loan Parties on such date that (i) do not appear (or would not be required to appear) as “restricted” on a consolidated balance sheet of the Borrower and (ii) are not subject to a Lien (other than Liens of the type described in </w:t>
      </w:r>
      <w:r>
        <w:rPr>
          <w:rFonts w:ascii="Arial" w:cs="Arial" w:eastAsia="Arial" w:hAnsi="Arial"/>
          <w:sz w:val="18"/>
          <w:szCs w:val="18"/>
          <w:u w:val="single" w:color="auto"/>
          <w:color w:val="auto"/>
        </w:rPr>
        <w:t>Sections 8.01(m)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availability under the Aggregate Revolving Commitments.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w:t>
      </w:r>
      <w:r>
        <w:rPr>
          <w:rFonts w:ascii="Arial" w:cs="Arial" w:eastAsia="Arial" w:hAnsi="Arial"/>
          <w:sz w:val="16"/>
          <w:szCs w:val="16"/>
          <w:color w:val="auto"/>
        </w:rPr>
        <w:t xml:space="preserve">” means an extension of credit by a Lender to the Borrower under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in the form of a Revolving Loan, Swing Line Loan or the Term Loan.</w:t>
      </w:r>
    </w:p>
    <w:p>
      <w:pPr>
        <w:spacing w:after="0" w:line="248"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xml:space="preserve">” means this Agreement, each Note, each Issuer Document, each Joinder Agreement, the Collateral Documents, any Intercreditor Agreements, any agreement creating or perfecting rights in Cash Collateral pursuant to the provisions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and the Fee Letter.</w:t>
      </w:r>
    </w:p>
    <w:p>
      <w:pPr>
        <w:spacing w:after="0" w:line="124"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Notice</w:t>
      </w:r>
      <w:r>
        <w:rPr>
          <w:rFonts w:ascii="Arial" w:cs="Arial" w:eastAsia="Arial" w:hAnsi="Arial"/>
          <w:sz w:val="17"/>
          <w:szCs w:val="17"/>
          <w:color w:val="auto"/>
        </w:rPr>
        <w:t xml:space="preserve">” means a notice of (a) a Borrowing of Revolving Loans or the Term Loan, (b) a conversion of Loans from one Type to the other, or (c) a continuation of Eurodollar Rate Loans, in each case pursuant to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which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 and each Guarantor.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to Value Ratio</w:t>
      </w:r>
      <w:r>
        <w:rPr>
          <w:rFonts w:ascii="Arial" w:cs="Arial" w:eastAsia="Arial" w:hAnsi="Arial"/>
          <w:sz w:val="18"/>
          <w:szCs w:val="18"/>
          <w:color w:val="auto"/>
        </w:rPr>
        <w:t>” means the ratio of (a) the aggregate principal amount of the Term Loan advanced on the Closing Date to (b) the Appraised Value of all real property constituting Collateral on the Closing Date.</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a material adverse change in, or a material adverse effect upon, the operations, business, properties, liabilities (actual or contingent) or condition (financial or otherwise) of the Borrower and its Subsidiaries taken as a whole; (b) a material impairment of the rights and remedies of the Administrative Agent or any Lender under any Loan Document to which it is a party; (c) a material impairment of the ability of any Loan Party to perform its obligations under any Loan Document to which it is a party; or (d) a material adverse effect upon the legality, validity, binding effect or enforceability against any Loan Party of any Loan Document to which it is a party.</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any Indebtedness (other than Indebtedness arising under the Loan Documents and Indebtedness arising under Swap Contracts) having an aggregate principal amount (including undrawn committed or available amounts and including amounts owing to all creditors under any combined or syndicated credit arrangement) of more than the Threshold Amount.</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(a) as to the Revolving Loans, Swing Line Loans and Letters of Credit (and the related L/C Obligations), December 21, 2017 and (b) as to the Term Loan, December 21, 2019;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if such date is not a Business Day, the Maturity Date shall be the next preceding Business Day.</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Domestic Subsidiary</w:t>
      </w:r>
      <w:r>
        <w:rPr>
          <w:rFonts w:ascii="Arial" w:cs="Arial" w:eastAsia="Arial" w:hAnsi="Arial"/>
          <w:sz w:val="17"/>
          <w:szCs w:val="17"/>
          <w:color w:val="auto"/>
        </w:rPr>
        <w:t xml:space="preserve">” means any Domestic Subsidiary that has (a) total assets with a fair market value in excess of $100,000 or (b) total revenues in excess of $100,000 for the most recently ended period of four fiscal quarters for which the Borrower was required to deliver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Domestic Subsidiary would be a Material Domestic Subsidiary under clause (a) of this definition solely by virtue of such Domestic Subsidiary either (x) receiving an Investment from the Borrower or any Subsidiary the proceeds of which will be used by such Domestic Subsidiary solely to acquire real property or (y) acquiring real property, such Domestic Subsidiary shall be deemed a Material Domestic Subsidiary only if such Domestic Subsidiary holds such Investment or owns such real estate for more than sixty (60) days.</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Foreign Subsidiary</w:t>
      </w:r>
      <w:r>
        <w:rPr>
          <w:rFonts w:ascii="Arial" w:cs="Arial" w:eastAsia="Arial" w:hAnsi="Arial"/>
          <w:sz w:val="17"/>
          <w:szCs w:val="17"/>
          <w:color w:val="auto"/>
        </w:rPr>
        <w:t xml:space="preserve">” means any Foreign Subsidiary that has (a) total assets with a fair market value in excess of $100,000 or (b) total revenues in excess of $100,000 for the most recently ended period of four fiscal quarters for which the Borrower was required to deliver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Foreign Subsidiary would be a Material Foreign Subsidiary under clause (a) of this definition solely by virtue of such Foreign Subsidiary either (x) receiving an Investment from the Borrower or any Subsidiary the proceeds of which will be used by such Foreign Subsidiary solely to acquire real property or (y) acquiring real property, such Foreign Subsidiary shall be deemed a Material Foreign Subsidiary only if such Foreign Subsidiary holds such Investment or owns such real estate for more than sixty (60) days.</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129" w:name="page130"/>
    <w:bookmarkEnd w:id="129"/>
    <w:p>
      <w:pPr>
        <w:jc w:val="both"/>
        <w:ind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Minimum Collateral Amount</w:t>
      </w:r>
      <w:r>
        <w:rPr>
          <w:rFonts w:ascii="Arial" w:cs="Arial" w:eastAsia="Arial" w:hAnsi="Arial"/>
          <w:sz w:val="17"/>
          <w:szCs w:val="17"/>
          <w:color w:val="auto"/>
        </w:rPr>
        <w:t xml:space="preserve">” means, at any time, (i) with respect to Cash Collateral consisting of cash or deposit account balances provided to reduce or eliminate Fronting Exposure during the existence of a Defaulting Lender, an amount equal to 100% of the Fronting Exposure of the L/C Issuer with respect to Letters of Credit issued and outstanding at such time, (ii) with respect to Cash Collateral consisting of cash or deposit account balances provided in accordance with the provisions of </w:t>
      </w:r>
      <w:r>
        <w:rPr>
          <w:rFonts w:ascii="Arial" w:cs="Arial" w:eastAsia="Arial" w:hAnsi="Arial"/>
          <w:sz w:val="17"/>
          <w:szCs w:val="17"/>
          <w:u w:val="single" w:color="auto"/>
          <w:color w:val="auto"/>
        </w:rPr>
        <w:t>Section 2.14(a)(i)</w:t>
      </w:r>
      <w:r>
        <w:rPr>
          <w:rFonts w:ascii="Arial" w:cs="Arial" w:eastAsia="Arial" w:hAnsi="Arial"/>
          <w:sz w:val="17"/>
          <w:szCs w:val="17"/>
          <w:color w:val="auto"/>
        </w:rPr>
        <w:t xml:space="preserve">, </w:t>
      </w:r>
      <w:r>
        <w:rPr>
          <w:rFonts w:ascii="Arial" w:cs="Arial" w:eastAsia="Arial" w:hAnsi="Arial"/>
          <w:sz w:val="17"/>
          <w:szCs w:val="17"/>
          <w:u w:val="single" w:color="auto"/>
          <w:color w:val="auto"/>
        </w:rPr>
        <w:t>(a)(ii)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(a)(iii)</w:t>
      </w:r>
      <w:r>
        <w:rPr>
          <w:rFonts w:ascii="Arial" w:cs="Arial" w:eastAsia="Arial" w:hAnsi="Arial"/>
          <w:sz w:val="17"/>
          <w:szCs w:val="17"/>
          <w:color w:val="auto"/>
        </w:rPr>
        <w:t>, an amount equal to 100% of the Outstanding Amount of all LC Obligations, and (iii) otherwise, an amount determined by the Administrative Agent and the L/C Issuer in their sole discretion.</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22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Mortgage</w:t>
      </w:r>
      <w:r>
        <w:rPr>
          <w:rFonts w:ascii="Arial" w:cs="Arial" w:eastAsia="Arial" w:hAnsi="Arial"/>
          <w:sz w:val="18"/>
          <w:szCs w:val="18"/>
          <w:color w:val="auto"/>
        </w:rPr>
        <w:t>” means any mortgage, deed of trust or deed to secure debt that purports to grant to the Administrative Agent, for the benefit of the holders of the Obligations, a security interest in the real property of any Loan Party (other than the Excluded Real Property).</w:t>
      </w:r>
    </w:p>
    <w:p>
      <w:pPr>
        <w:spacing w:after="0" w:line="17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Multiemployer Plan</w:t>
      </w:r>
      <w:r>
        <w:rPr>
          <w:rFonts w:ascii="Arial" w:cs="Arial" w:eastAsia="Arial" w:hAnsi="Arial"/>
          <w:sz w:val="17"/>
          <w:szCs w:val="17"/>
          <w:color w:val="auto"/>
        </w:rPr>
        <w:t>” means any employee benefit plan of the type described in Section 4001(a)(3) of ERISA, to which any Loan Party or any ERISA Affiliate makes or is obligated to make contributions, or during the preceding five plan years, has made or been obligated to make contributions.</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any Loan Party or any ERISA Affiliate) at least two of whom are not under common control, as such a plan is described in Section 4064 of ERISA.</w:t>
      </w:r>
    </w:p>
    <w:p>
      <w:pPr>
        <w:spacing w:after="0" w:line="17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Cash Proceeds</w:t>
      </w:r>
      <w:r>
        <w:rPr>
          <w:rFonts w:ascii="Arial" w:cs="Arial" w:eastAsia="Arial" w:hAnsi="Arial"/>
          <w:sz w:val="16"/>
          <w:szCs w:val="16"/>
          <w:color w:val="auto"/>
        </w:rPr>
        <w:t xml:space="preserve">” means the aggregate cash or Cash Equivalents proceeds received by the Borrower or any Subsidiary in respect of any Disposition, Recovery Event or Debt Issuance net of (a) direct costs incurred in connection therewith (including legal, accounting and investment banking fees, and sales commissions), (b) taxes paid or payable as a result thereof and (c) in the case of any Disposition or any Recovery Event, the amount necessary to retire any Indebtedness secured by a Permitted Lien (ranking senior to any Lien of the Administrative Agent) on the related property; it being understood that “Net Cash Proceeds” shall include any cash or Cash Equivalents received upon the sale or other disposition of any non-cash consideration received by the Borrower or any Subsidiary in any Disposition, Recovery Event or Debt Issuance;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“Net Cash Proceeds” shall not include amounts resulting from any Dispositions and Recovery Events until such amounts aggregate $1,000,000 in any fiscal year.</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w:t>
      </w:r>
      <w:r>
        <w:rPr>
          <w:rFonts w:ascii="Arial" w:cs="Arial" w:eastAsia="Arial" w:hAnsi="Arial"/>
          <w:sz w:val="18"/>
          <w:szCs w:val="18"/>
          <w:color w:val="auto"/>
        </w:rPr>
        <w:t>” means a new market tax credit as defined in Section 45D of the Internal Revenue Code of 1986.</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Documents</w:t>
      </w:r>
      <w:r>
        <w:rPr>
          <w:rFonts w:ascii="Arial" w:cs="Arial" w:eastAsia="Arial" w:hAnsi="Arial"/>
          <w:sz w:val="18"/>
          <w:szCs w:val="18"/>
          <w:color w:val="auto"/>
        </w:rPr>
        <w:t>” means any credit, loan or finance agreement and any other document, agreement or instrument governing or otherwise relating to any NMTC Indebtedness.</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Indebtedness</w:t>
      </w:r>
      <w:r>
        <w:rPr>
          <w:rFonts w:ascii="Arial" w:cs="Arial" w:eastAsia="Arial" w:hAnsi="Arial"/>
          <w:sz w:val="18"/>
          <w:szCs w:val="18"/>
          <w:color w:val="auto"/>
        </w:rPr>
        <w:t>” means any loan incurred by the Borrower or any Subsidiary in connection with NMTC financing the proceeds of which are used by the Borrower or any Subsidiary to acquire real property or to construct improvements on real property in each case after the Closing Date (but are not used to renovate any real property owned by the Borrower or any Subsidiary).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Intercompany Investment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8.02(i)</w:t>
      </w:r>
      <w:r>
        <w:rPr>
          <w:rFonts w:ascii="Arial" w:cs="Arial" w:eastAsia="Arial" w:hAnsi="Arial"/>
          <w:sz w:val="18"/>
          <w:szCs w:val="18"/>
          <w:color w:val="auto"/>
        </w:rPr>
        <w:t>.</w:t>
      </w:r>
    </w:p>
    <w:p>
      <w:pPr>
        <w:spacing w:after="0" w:line="225" w:lineRule="exact"/>
        <w:rPr>
          <w:sz w:val="20"/>
          <w:szCs w:val="20"/>
          <w:color w:val="auto"/>
        </w:rPr>
      </w:pPr>
    </w:p>
    <w:p>
      <w:pPr>
        <w:jc w:val="right"/>
        <w:ind w:right="5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Intercompany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8.02(j)</w:t>
      </w:r>
      <w:r>
        <w:rPr>
          <w:rFonts w:ascii="Arial" w:cs="Arial" w:eastAsia="Arial" w:hAnsi="Arial"/>
          <w:sz w:val="18"/>
          <w:szCs w:val="18"/>
          <w:color w:val="auto"/>
        </w:rPr>
        <w:t>.</w:t>
      </w:r>
    </w:p>
    <w:p>
      <w:pPr>
        <w:spacing w:after="0" w:line="158" w:lineRule="exact"/>
        <w:rPr>
          <w:sz w:val="20"/>
          <w:szCs w:val="20"/>
          <w:color w:val="auto"/>
        </w:rPr>
      </w:pPr>
    </w:p>
    <w:p>
      <w:pPr>
        <w:jc w:val="right"/>
        <w:ind w:righ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130" w:name="page131"/>
    <w:bookmarkEnd w:id="13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NMTC Property</w:t>
      </w:r>
      <w:r>
        <w:rPr>
          <w:rFonts w:ascii="Arial" w:cs="Arial" w:eastAsia="Arial" w:hAnsi="Arial"/>
          <w:sz w:val="18"/>
          <w:szCs w:val="18"/>
          <w:color w:val="auto"/>
        </w:rPr>
        <w:t>” means any fixed assets which are acquired, renovated or improved with the proceeds of NMTC Indebtedness.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NMTC Subsidiary</w:t>
      </w:r>
      <w:r>
        <w:rPr>
          <w:rFonts w:ascii="Arial" w:cs="Arial" w:eastAsia="Arial" w:hAnsi="Arial"/>
          <w:sz w:val="18"/>
          <w:szCs w:val="18"/>
          <w:color w:val="auto"/>
        </w:rPr>
        <w:t>” means a Domestic Subsidiary.</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(b) has been approved by the Required Lenders.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Loan Prepayment</w:t>
      </w:r>
      <w:r>
        <w:rPr>
          <w:rFonts w:ascii="Arial" w:cs="Arial" w:eastAsia="Arial" w:hAnsi="Arial"/>
          <w:sz w:val="18"/>
          <w:szCs w:val="18"/>
          <w:color w:val="auto"/>
        </w:rPr>
        <w:t xml:space="preserve">” means a notice of prepayment with respect to a Loan, which shall be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xml:space="preserve">” means all advances to, and debts, liabilities, obligations, covenants and duties of, any Loan Party arising under any Loan Document or otherwise with respect to any Loan, Letter of Credit,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“Obligations” of a Loan Party shall exclude any Excluded Swap Obligations with respect to such Loan Party.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131" w:name="page132"/>
    <w:bookmarkEnd w:id="131"/>
    <w:p>
      <w:pPr>
        <w:jc w:val="both"/>
        <w:ind w:right="3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6"/>
          <w:szCs w:val="16"/>
          <w:u w:val="single" w:color="auto"/>
          <w:color w:val="auto"/>
        </w:rPr>
        <w:t>Section 3.06</w:t>
      </w:r>
      <w:r>
        <w:rPr>
          <w:rFonts w:ascii="Arial" w:cs="Arial" w:eastAsia="Arial" w:hAnsi="Arial"/>
          <w:sz w:val="16"/>
          <w:szCs w:val="16"/>
          <w:color w:val="auto"/>
        </w:rPr>
        <w:t>).</w:t>
      </w:r>
    </w:p>
    <w:p>
      <w:pPr>
        <w:spacing w:after="0" w:line="124"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Outstanding Amount</w:t>
      </w:r>
      <w:r>
        <w:rPr>
          <w:rFonts w:ascii="Arial" w:cs="Arial" w:eastAsia="Arial" w:hAnsi="Arial"/>
          <w:sz w:val="17"/>
          <w:szCs w:val="17"/>
          <w:color w:val="auto"/>
        </w:rPr>
        <w:t>” means (a) with respect to any Loans on any date, the aggregate outstanding principal amount thereof after giving effect to any borrowings and prepayments or repayments of any Loans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11.06(d)</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Internal Revenue Code and ERISA regarding minimum required contributions (including any installment payment thereof) to Pension Plans and set forth in, with respect to plan years ending prior to the effective date of the Pension Act, Section 412 of the Internal Revenue Code and Section 302 of ERISA, each as in effect prior to the Pension Act and, thereafter, Section 412, 430, 431, 432 and 436 of the Internal Revenue Code and Sections 302, 303, 304 and 305 of ERISA.</w:t>
      </w:r>
    </w:p>
    <w:p>
      <w:pPr>
        <w:spacing w:after="0" w:line="18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any Loan Party and any ERISA Affiliate and is either covered by Title IV of ERISA or is subject to the minimum funding standards under Section 412 of the Internal Revenue Code.</w:t>
      </w:r>
    </w:p>
    <w:p>
      <w:pPr>
        <w:spacing w:after="0" w:line="181"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an Investment consisting of an Acquisition by the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 Default shall have occurred and be continuing or would result from such Acquisition, (b) the property acquired (or the property of the Person acquired) in such Acquisition is used or useful in the same or a similar line of business as the Borrower and its Subsidiaries were engaged in on the Closing Date (or any reasonable extensions or expansions thereof), (c) in the case of an Acquisition of the Equity Interests of another Person, the board of directors (or other comparable governing body) of such other Person shall have duly approved such Acquisition, (d) the Borrower shall have delivered to the Administrative Agent a Pro Forma Compliance Certificate demonstrating that the Loan Parties would be in compliance with the financial covenants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recomputed as of the end of the period of the four fiscal quarters most recently ended for which the Borrower has delivered financial statements pursuant to</w:t>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after giving effect to such Acquisition on a Pro Forma Basis, (e) the representations and warranties made by the Loan Parties in each Loan Document shall be true and correct in all material respects at and as if made as of the date of such Acquisition (after giving effect thereto), except for any representation and warranty that is qualified by materiality or reference to Material Adverse Effect which such representation and warranty shall be true and correct in all respects on and as of the date of such Acquisition, except to the extent that such representations and warranties specifically refer to an earlier date, in which case they shall be true and correct as of such earlier date, (f) if such transaction involves the purchase of an interest in a partnership between any Loan Party as a general partner and entities unaffiliated with the Borrower as the other partners, such transaction shall be effected by having such equity interest acquired by a corporate holding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32" w:name="page133"/>
    <w:bookmarkEnd w:id="132"/>
    <w:p>
      <w:pPr>
        <w:ind w:right="2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company directly or indirectly wholly-owned by such Loan Party newly formed for the sole purpose of effecting such transaction, (g) immediately after giving effect to such Acquisition, Liquidity shall be at least $75 million and (h) immediately after giving effect to such Acquisition, the aggregate cash and non-cash consideration (including assumed Indebtedness, the good faith estimate by the Borrower of the maximum amount of any deferred purchase price obligations (including earn-out payment obligations) and Equity Interests) for all Acquisitions during the term of this Agreement shall not exceed 25% of Consolidated Tangible Net Worth as of the end of the period of the four fiscal quarters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9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at any time, Liens in respect of property of the Borrower or any Subsidiary permitted to exist at such time pursuant to the terms of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any Loan Party or any ERISA Affiliate or any such Plan to which any Loan Party or any ERISA Affiliate is required to contribute on behalf of any of its employees.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Prepaid Royalties</w:t>
      </w:r>
      <w:r>
        <w:rPr>
          <w:rFonts w:ascii="Arial" w:cs="Arial" w:eastAsia="Arial" w:hAnsi="Arial"/>
          <w:sz w:val="18"/>
          <w:szCs w:val="18"/>
          <w:color w:val="auto"/>
        </w:rPr>
        <w:t>” means the prepaid royalties set forth on the Borrower’s consolidated balance sheet as of December 31, 2011 and described in Note 2 to the Audited Financial Statements.</w:t>
      </w:r>
    </w:p>
    <w:p>
      <w:pPr>
        <w:spacing w:after="0" w:line="17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xml:space="preserve">” means, with respect to any transaction, that for purposes of calculating the financial covenants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(including any calculations of such financial covenant(s) in accordance with any other sections of this Agreement), such transaction shall be deemed to have occurred as of the first day of the most recent four fiscal quarter period preceding the date of such transaction for which the Borrower was required to deliver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In connection with the foregoing, (a) with respect to any Disposition or Recovery Event, (i) income statement and cash flow statement items (whether positive or negative) attributable to the property disposed of shall be excluded to the extent relating to any period occurring prior to the date of such transaction and (ii) Indebtedness which is retired shall be excluded and deemed to have been retired as of the first day of the applicable period and (b) with respect to any Acquisition, (i) income statement and cash flow statement items attributable to the Person or property acquired shall be included to the extent relating to any period applicable in such calculations to the extent (A) such items are not otherwise included in such income statement and cash flow statement items for the Borrower and its Subsidiaries in accordance with GAAP or in accordance with any defined terms set forth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and (B) such items are supported by financial statements or other information reasonably satisfactory to the Administrative Agent and</w:t>
      </w:r>
    </w:p>
    <w:p>
      <w:pPr>
        <w:spacing w:after="0" w:line="6" w:lineRule="exact"/>
        <w:rPr>
          <w:sz w:val="20"/>
          <w:szCs w:val="20"/>
          <w:color w:val="auto"/>
        </w:rPr>
      </w:pPr>
    </w:p>
    <w:p>
      <w:pPr>
        <w:ind w:firstLine="8"/>
        <w:spacing w:after="0" w:line="253" w:lineRule="auto"/>
        <w:tabs>
          <w:tab w:leader="none" w:pos="265"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Indebtedness incurred or assumed by the Borrower or any Subsidiary (including the Person or property acquired) in connection with such transaction and any Indebtedness of the Person or property acquired which is not retired in connection with such transaction (A) shall be deemed to have been incurred as of the first day of the applicable period and (B)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w:t>
      </w:r>
    </w:p>
    <w:p>
      <w:pPr>
        <w:spacing w:after="0" w:line="191"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Compliance Certificate</w:t>
      </w:r>
      <w:r>
        <w:rPr>
          <w:rFonts w:ascii="Arial" w:cs="Arial" w:eastAsia="Arial" w:hAnsi="Arial"/>
          <w:sz w:val="17"/>
          <w:szCs w:val="17"/>
          <w:color w:val="auto"/>
        </w:rPr>
        <w:t xml:space="preserve">” means a certificate of a Responsible Officer of the Borrower containing reasonably detailed calculations of the financial covenants set forth in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recomputed as of the end of the period of the four fiscal quarters most recently ended for which the Borrower has delivered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after giving effect to the applicable transaction on a Pro Forma Basis.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133" w:name="page134"/>
    <w:bookmarkEnd w:id="133"/>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Program Review</w:t>
      </w:r>
      <w:r>
        <w:rPr>
          <w:rFonts w:ascii="Arial" w:cs="Arial" w:eastAsia="Arial" w:hAnsi="Arial"/>
          <w:sz w:val="18"/>
          <w:szCs w:val="18"/>
          <w:color w:val="auto"/>
        </w:rPr>
        <w:t>” means the program review being conducted by the DOE of the administration of Title IV Programs by Grand Canyon University as described in Note 13 to the Audited Financial Statements.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7.02</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the L/C Issuer or any other recipient of any payment to be made by or on account of any obligation of any Loan Party hereunder.</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Recovery Event</w:t>
      </w:r>
      <w:r>
        <w:rPr>
          <w:rFonts w:ascii="Arial" w:cs="Arial" w:eastAsia="Arial" w:hAnsi="Arial"/>
          <w:sz w:val="18"/>
          <w:szCs w:val="18"/>
          <w:color w:val="auto"/>
        </w:rPr>
        <w:t>” means any loss of, damage to or destruction of, or any condemnation or other taking for public use of, any property of the Borrower or any Subsidiary.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11.06(c)</w:t>
      </w:r>
      <w:r>
        <w:rPr>
          <w:rFonts w:ascii="Arial" w:cs="Arial" w:eastAsia="Arial" w:hAnsi="Arial"/>
          <w:sz w:val="18"/>
          <w:szCs w:val="18"/>
          <w:color w:val="auto"/>
        </w:rPr>
        <w:t>.</w:t>
      </w:r>
    </w:p>
    <w:p>
      <w:pPr>
        <w:spacing w:after="0" w:line="225" w:lineRule="exact"/>
        <w:rPr>
          <w:sz w:val="20"/>
          <w:szCs w:val="20"/>
          <w:color w:val="auto"/>
        </w:rPr>
      </w:pPr>
    </w:p>
    <w:p>
      <w:pPr>
        <w:ind w:right="36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Letter of Credit</w:t>
      </w:r>
      <w:r>
        <w:rPr>
          <w:rFonts w:ascii="Arial" w:cs="Arial" w:eastAsia="Arial" w:hAnsi="Arial"/>
          <w:sz w:val="17"/>
          <w:szCs w:val="17"/>
          <w:color w:val="auto"/>
        </w:rPr>
        <w:t>” means a letter of credit issued for the account of the Borrower or any Subsidiary for the purpose of satisfying the obligations of the Borrower or such Subsidiary under the Higher Education Act or any similar state or federal statute or maintaining the eligibility of the Borrower or such Subsidiary to participate in any programs administered thereunder (including any Title IV Programs).</w:t>
      </w:r>
    </w:p>
    <w:p>
      <w:pPr>
        <w:spacing w:after="0" w:line="166"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 other than events for which the thirty-day notice period has been waived.</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Loans, a Loan Notice, (b) with respect to an L/C Credit Extension, a Letter of Credit Application, and (c) with respect to a Swing Line Loan, a Swing Line Loan Notice.</w:t>
      </w:r>
    </w:p>
    <w:p>
      <w:pPr>
        <w:spacing w:after="0" w:line="17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88"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at any time, Lenders having Revolving Credit Exposures representing more than 50% of the Revolving Credit Exposures of all Lenders. The Revolving Credit Exposure of any Defaulting Lender shall be disregarded in determining Required Revolving Lenders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participation in any Swing Line Loan and Unreimbursed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274" w:right="319" w:bottom="1440" w:gutter="0" w:footer="0" w:header="0"/>
        </w:sectPr>
      </w:pPr>
    </w:p>
    <w:bookmarkStart w:id="134" w:name="page135"/>
    <w:bookmarkEnd w:id="134"/>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the chief executive officer, president, chief financial officer, treasurer, assistant treasurer or controller of a Loan Party and, solely for purposes of the delivery of incumbency certificates, the secretary or any assistant secretary of a Loan Party and,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appropriate authorization documentation, in form and substance reasonably satisfactory to the Administrative Agent.</w:t>
      </w:r>
    </w:p>
    <w:p>
      <w:pPr>
        <w:spacing w:after="0" w:line="19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any dividend or other distribution (whether in cash, securities or other property) with respect to any Equity Interests of any Person, or any payment (whether in cash, securities or other property), including any sinking fund or similar deposit, on account of the purchase, redemption, retirement, defeasance, acquisition, cancellation or termination of any such Equity Interests or on account of any return of capital to such Person’s stockholders, partners or members (or the equivalent Person thereof), or any option, warrant or other right to acquire any such dividend or other distribution or payment. The term “Restricted Payment” shall not include (a) the forfeiture of unvested Equity Interests of the Borrower by any present or former employee or director of the Borrower or any Subsidiary in connection with the termination of employment or service, death or disability of such individual provided that neither the Borrower nor any Subsidiary makes any payment of cash or other property for such forfeiture and (y) the repurchase of Equity Interests of the Borrower deemed to occur in connection with a net exercise of stock options or warrants or the grant of Equity Interests if such repurchased Equity Interests represent a portion of the exercise price of such options or warrants or the payment of applicable withholding taxes provided that neither the Borrower nor any Subsidiary makes any payment of cash or other property for such repurchase.</w:t>
      </w:r>
    </w:p>
    <w:p>
      <w:pPr>
        <w:spacing w:after="0" w:line="17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w:t>
      </w:r>
      <w:r>
        <w:rPr>
          <w:rFonts w:ascii="Arial" w:cs="Arial" w:eastAsia="Arial" w:hAnsi="Arial"/>
          <w:sz w:val="17"/>
          <w:szCs w:val="17"/>
          <w:color w:val="auto"/>
        </w:rPr>
        <w:t xml:space="preserve">” means, as to each Lender, its obligation to (a) make Revolving Loans to the Borrower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or in the Assignment and Assumption pursuant to which such Lender becomes a party hereto, as applicable, as such amount may be adjusted from time to time in accordance with this Agreement.</w:t>
      </w:r>
    </w:p>
    <w:p>
      <w:pPr>
        <w:spacing w:after="0" w:line="17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Lender at any time, the aggregate principal amount at such time of its outstanding Revolving Loans and such Lender’s participation in L/C Obligations and Swing Line Loans at such time.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The McGraw-Hill Companies, Inc. and any successor thereto.</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135" w:name="page136"/>
    <w:bookmarkEnd w:id="135"/>
    <w:p>
      <w:pPr>
        <w:ind w:right="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with respect to any Person, any arrangement, directly or indirectly, whereby such Person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OFAC,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School</w:t>
      </w:r>
      <w:r>
        <w:rPr>
          <w:rFonts w:ascii="Arial" w:cs="Arial" w:eastAsia="Arial" w:hAnsi="Arial"/>
          <w:sz w:val="18"/>
          <w:szCs w:val="18"/>
          <w:color w:val="auto"/>
        </w:rPr>
        <w:t>” means (a) Grand Canyon University and its additional locations and (b) any other post-secondary institution of higher education that is operated by the Borrower or any Subsidiary and its additional locations.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xml:space="preserve">” means any Cash Management Agreement that is entered into by and between the Borrower or any Subsidiary and any Cash Management Bank. For the avoidance of doubt, a holder of Obligations in respect of Secured Cash Management Agreements shall be subject to the last paragraph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181"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Hedge Agreement</w:t>
      </w:r>
      <w:r>
        <w:rPr>
          <w:rFonts w:ascii="Arial" w:cs="Arial" w:eastAsia="Arial" w:hAnsi="Arial"/>
          <w:sz w:val="18"/>
          <w:szCs w:val="18"/>
          <w:color w:val="auto"/>
        </w:rPr>
        <w:t xml:space="preserve">” means any Swap Contract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that is entered into by and between the Borrower or any Subsidiary and any Hedge Bank. For the avoidance of doubt, a holder of Obligations in respect of Secured Hedge Agreements shall be subject to the last paragraph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10.11</w:t>
      </w:r>
      <w:r>
        <w:rPr>
          <w:rFonts w:ascii="Arial" w:cs="Arial" w:eastAsia="Arial" w:hAnsi="Arial"/>
          <w:sz w:val="18"/>
          <w:szCs w:val="18"/>
          <w:color w:val="auto"/>
        </w:rPr>
        <w:t>.</w:t>
      </w:r>
    </w:p>
    <w:p>
      <w:pPr>
        <w:spacing w:after="0" w:line="18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Securitization Transaction</w:t>
      </w:r>
      <w:r>
        <w:rPr>
          <w:rFonts w:ascii="Arial" w:cs="Arial" w:eastAsia="Arial" w:hAnsi="Arial"/>
          <w:sz w:val="16"/>
          <w:szCs w:val="16"/>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4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the security and pledge agreement dated as of the Closing Date executed in favor of the Administrative Agent, for the benefit of the holders of the Obligations, by each of the Loan Parties.</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Regulatory Event</w:t>
      </w:r>
      <w:r>
        <w:rPr>
          <w:rFonts w:ascii="Arial" w:cs="Arial" w:eastAsia="Arial" w:hAnsi="Arial"/>
          <w:sz w:val="16"/>
          <w:szCs w:val="16"/>
          <w:color w:val="auto"/>
        </w:rPr>
        <w:t xml:space="preserve">” means the failure of the Borrower or any Subsidiary to (a) maintain the status of any School as an “eligible institution” as defined in 34 C.F.R. Sections 600.2 and 600.5, (b) maintain the eligibility of any School to participate in one or more Title IV Programs, (c) maintain all Accreditations for any School or (d) maintain all accreditations, licenses, permits and authorizations required for any School to participate in one or more Title IV Programs (including, in each case, any such failure that results in any substantial limitation on, or suspension or termination of, eligibility of such School to participate in one or more Title IV Programs), which failure of any of the types described in clauses (a), (b), (c) and (d) either (i) affects one or more Schools which either (A) contributed in the aggregate more than 15% of the Consolidated EBITDA for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(B) owned assets which comprise in the aggregate more than 15% of the total assets of the Borrower and its Subsidiaries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(ii) would have caused the Loan Parties to fail to be in compliance with the financial covenants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as of the end of the period of the four fiscal quarters most recently ended for which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36" w:name="page137"/>
    <w:bookmarkEnd w:id="136"/>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Borrower has delivered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if the aggregate amount of Consolidated EBITDA and Consolidated Tangible Net Worth contributed by such Schools during such period were excluded from the calculation of such financial covenants or (iii) affects the eligibility of one or more Schools to participate in the William D. Ford Federal Direct Loan (Direct Loan) Program, the Federal Pell Grant Program or one or more other Title IV Programs that contributed in the aggregate more than 5% of the Title IV revenues received by the Borrower and its Subsidiaries for the fiscal year most recently ended for which the Borrower has delivered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w:t>
      </w:r>
    </w:p>
    <w:p>
      <w:pPr>
        <w:spacing w:after="0" w:line="173" w:lineRule="exact"/>
        <w:rPr>
          <w:sz w:val="20"/>
          <w:szCs w:val="20"/>
          <w:color w:val="auto"/>
        </w:rPr>
      </w:pPr>
    </w:p>
    <w:p>
      <w:pPr>
        <w:jc w:val="both"/>
        <w:ind w:right="200"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or “</w:t>
      </w:r>
      <w:r>
        <w:rPr>
          <w:rFonts w:ascii="Arial" w:cs="Arial" w:eastAsia="Arial" w:hAnsi="Arial"/>
          <w:sz w:val="16"/>
          <w:szCs w:val="16"/>
          <w:u w:val="single" w:color="auto"/>
          <w:color w:val="auto"/>
        </w:rPr>
        <w:t>Solvency</w:t>
      </w:r>
      <w:r>
        <w:rPr>
          <w:rFonts w:ascii="Arial" w:cs="Arial" w:eastAsia="Arial" w:hAnsi="Arial"/>
          <w:sz w:val="16"/>
          <w:szCs w:val="16"/>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such debts and liabilities as they mature in the ordinary course of business,</w:t>
      </w:r>
    </w:p>
    <w:p>
      <w:pPr>
        <w:ind w:right="40" w:firstLine="8"/>
        <w:spacing w:after="0" w:line="269" w:lineRule="auto"/>
        <w:tabs>
          <w:tab w:leader="none" w:pos="245"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such Person is not engaged in a business or a transaction, and is not about to engage in a business or a transaction, for which such Person’s property would constitute unreasonably small capital, (d) the fair value of the property of such Person is greater than the total amount of liabilities, including contingent liabilities, of such Person, (e) the present fair salable value of the property of such Person is not less than the amount that will be required to pay the probable liability of such Person on its debts as they become absolute and matured and (f) such Person does not intend, in any transaction, to hinder, delay or defraud either present or future creditors or any other person to which such Person is or will become, through such transaction, indebted.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Loan Party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4.08</w:t>
      </w:r>
      <w:r>
        <w:rPr>
          <w:rFonts w:ascii="Arial" w:cs="Arial" w:eastAsia="Arial" w:hAnsi="Arial"/>
          <w:sz w:val="18"/>
          <w:szCs w:val="18"/>
          <w:color w:val="auto"/>
        </w:rPr>
        <w:t>.</w:t>
      </w:r>
    </w:p>
    <w:p>
      <w:pPr>
        <w:spacing w:after="0" w:line="225"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Subordinated Indebtedness</w:t>
      </w:r>
      <w:r>
        <w:rPr>
          <w:rFonts w:ascii="Arial" w:cs="Arial" w:eastAsia="Arial" w:hAnsi="Arial"/>
          <w:sz w:val="16"/>
          <w:szCs w:val="16"/>
          <w:color w:val="auto"/>
        </w:rPr>
        <w:t>” means Indebtedness (including NMTC Indebtedness) of the Borrower or any Subsidiary that is expressly subordinated in right of payment to the prior payment in full of the Obligations pursuant to a subordination agreement or other subordination provisions, and containing such other payment terms, covenants, defaults and remedies, in each case that are reasonably satisfactory to the Administrative Agent.</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of a Person means a corporation, partnership, joint venture, limited liability company or other business entity of which a majority of the shares of Equity Interests having ordinary voting power for the election of directors or equivalent governing body (other than Equity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including any such obligations or liabilities under any Master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137" w:name="page138"/>
    <w:bookmarkEnd w:id="137"/>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Termination Value</w:t>
      </w:r>
      <w:r>
        <w:rPr>
          <w:rFonts w:ascii="Arial" w:cs="Arial" w:eastAsia="Arial" w:hAnsi="Arial"/>
          <w:sz w:val="17"/>
          <w:szCs w:val="17"/>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Bank of America in its capacity as provider of Swing Line Loans, or any successor swing line lender hereunder.</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225"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Loan Notice</w:t>
      </w:r>
      <w:r>
        <w:rPr>
          <w:rFonts w:ascii="Arial" w:cs="Arial" w:eastAsia="Arial" w:hAnsi="Arial"/>
          <w:sz w:val="17"/>
          <w:szCs w:val="17"/>
          <w:color w:val="auto"/>
        </w:rPr>
        <w:t xml:space="preserve">” means a notice of a Borrowing of Swing Line Loans pursuant to </w:t>
      </w:r>
      <w:r>
        <w:rPr>
          <w:rFonts w:ascii="Arial" w:cs="Arial" w:eastAsia="Arial" w:hAnsi="Arial"/>
          <w:sz w:val="17"/>
          <w:szCs w:val="17"/>
          <w:u w:val="single" w:color="auto"/>
          <w:color w:val="auto"/>
        </w:rPr>
        <w:t>Section 2.04(b)</w:t>
      </w:r>
      <w:r>
        <w:rPr>
          <w:rFonts w:ascii="Arial" w:cs="Arial" w:eastAsia="Arial" w:hAnsi="Arial"/>
          <w:sz w:val="17"/>
          <w:szCs w:val="17"/>
          <w:color w:val="auto"/>
        </w:rPr>
        <w:t xml:space="preserve">, which shall be substantially in the form of </w:t>
      </w:r>
      <w:r>
        <w:rPr>
          <w:rFonts w:ascii="Arial" w:cs="Arial" w:eastAsia="Arial" w:hAnsi="Arial"/>
          <w:sz w:val="17"/>
          <w:szCs w:val="17"/>
          <w:u w:val="single" w:color="auto"/>
          <w:color w:val="auto"/>
        </w:rPr>
        <w:t>Exhibit 2.04</w:t>
      </w:r>
      <w:r>
        <w:rPr>
          <w:rFonts w:ascii="Arial" w:cs="Arial" w:eastAsia="Arial" w:hAnsi="Arial"/>
          <w:sz w:val="17"/>
          <w:szCs w:val="17"/>
          <w:color w:val="auto"/>
        </w:rPr>
        <w:t xml:space="preserve"> or such other form as approved by the Administrative Agent (including any form on an electronic platform or electronic transmission system as shall be approve by the Administrative Agent), appropriately completed and signed by a Responsible Officer of the Borrower.</w:t>
      </w:r>
    </w:p>
    <w:p>
      <w:pPr>
        <w:spacing w:after="0" w:line="166"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Sublimit</w:t>
      </w:r>
      <w:r>
        <w:rPr>
          <w:rFonts w:ascii="Arial" w:cs="Arial" w:eastAsia="Arial" w:hAnsi="Arial"/>
          <w:sz w:val="18"/>
          <w:szCs w:val="18"/>
          <w:color w:val="auto"/>
        </w:rPr>
        <w:t>” means an amount equal to $5 million. The Swing Line Sublimit is part of, and not in addition to, the Aggregate Revolving Commitments.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right="640" w:firstLine="8"/>
        <w:spacing w:after="0" w:line="323" w:lineRule="auto"/>
        <w:tabs>
          <w:tab w:leader="none" w:pos="2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39"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as to each Lender, its obligation to make its portion of the Term Loan to the Borrower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in the principal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The aggregate principal amount of the Term Loan Commitments of all of the Lenders as in effect on the Closing Date is ONE HUNDRED MILLION DOLLARS ($100,000,000).</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xml:space="preserve">” means (a) for purposes of </w:t>
      </w:r>
      <w:r>
        <w:rPr>
          <w:rFonts w:ascii="Arial" w:cs="Arial" w:eastAsia="Arial" w:hAnsi="Arial"/>
          <w:sz w:val="18"/>
          <w:szCs w:val="18"/>
          <w:u w:val="single" w:color="auto"/>
          <w:color w:val="auto"/>
        </w:rPr>
        <w:t>Section 9.01(e)(iii)</w:t>
      </w:r>
      <w:r>
        <w:rPr>
          <w:rFonts w:ascii="Arial" w:cs="Arial" w:eastAsia="Arial" w:hAnsi="Arial"/>
          <w:sz w:val="18"/>
          <w:szCs w:val="18"/>
          <w:color w:val="auto"/>
        </w:rPr>
        <w:t xml:space="preserve">, $1 million, and (b) for all other purposes, as of any date of determination, an amount equal to 10% of Consolidated EBITDA for the period of the four fiscal quarters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Title IV</w:t>
      </w:r>
      <w:r>
        <w:rPr>
          <w:rFonts w:ascii="Arial" w:cs="Arial" w:eastAsia="Arial" w:hAnsi="Arial"/>
          <w:sz w:val="18"/>
          <w:szCs w:val="18"/>
          <w:color w:val="auto"/>
        </w:rPr>
        <w:t>” means Title IV of the Higher Education Act.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Compliance Audit</w:t>
      </w:r>
      <w:r>
        <w:rPr>
          <w:rFonts w:ascii="Arial" w:cs="Arial" w:eastAsia="Arial" w:hAnsi="Arial"/>
          <w:sz w:val="18"/>
          <w:szCs w:val="18"/>
          <w:color w:val="auto"/>
        </w:rPr>
        <w:t>” means, with respect to any School, the annual compliance audit of such School’s administration of its Title IV Programs as required under 34 C.F.R. Section 668.23.</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Programs</w:t>
      </w:r>
      <w:r>
        <w:rPr>
          <w:rFonts w:ascii="Arial" w:cs="Arial" w:eastAsia="Arial" w:hAnsi="Arial"/>
          <w:sz w:val="18"/>
          <w:szCs w:val="18"/>
          <w:color w:val="auto"/>
        </w:rPr>
        <w:t>” means the Title IV Programs as defined in 34 C.F.R. Section 668.1(c).</w:t>
      </w:r>
    </w:p>
    <w:p>
      <w:pPr>
        <w:spacing w:after="0" w:line="225"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Credit Exposure</w:t>
      </w:r>
      <w:r>
        <w:rPr>
          <w:rFonts w:ascii="Arial" w:cs="Arial" w:eastAsia="Arial" w:hAnsi="Arial"/>
          <w:sz w:val="17"/>
          <w:szCs w:val="17"/>
          <w:color w:val="auto"/>
        </w:rPr>
        <w:t>” means, as to any Lender at any time, the aggregate of the Outstanding Amount of the Term Loan held by such Lender at such time, the unused Revolving Commitments of such Lender at such time and the Revolving Credit Exposure of such Lender at such time.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Revolving Outstandings</w:t>
      </w:r>
      <w:r>
        <w:rPr>
          <w:rFonts w:ascii="Arial" w:cs="Arial" w:eastAsia="Arial" w:hAnsi="Arial"/>
          <w:sz w:val="17"/>
          <w:szCs w:val="17"/>
          <w:color w:val="auto"/>
        </w:rPr>
        <w:t>” means the aggregate Outstanding Amount of all Revolving Loans, all Swing Line Loans and all L/C Obligations.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any Loan, its character as a Base Rate Loan or a Eurodollar Rate Loan.</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UCP</w:t>
      </w:r>
      <w:r>
        <w:rPr>
          <w:rFonts w:ascii="Arial" w:cs="Arial" w:eastAsia="Arial" w:hAnsi="Arial"/>
          <w:sz w:val="18"/>
          <w:szCs w:val="18"/>
          <w:color w:val="auto"/>
        </w:rPr>
        <w:t>” means, with respect to any Letter of Credit, the Uniform Customs and Practice for Documentary Credits, International Chamber of Commerce (“</w:t>
      </w:r>
      <w:r>
        <w:rPr>
          <w:rFonts w:ascii="Arial" w:cs="Arial" w:eastAsia="Arial" w:hAnsi="Arial"/>
          <w:sz w:val="18"/>
          <w:szCs w:val="18"/>
          <w:u w:val="single" w:color="auto"/>
          <w:color w:val="auto"/>
        </w:rPr>
        <w:t>ICC</w:t>
      </w:r>
      <w:r>
        <w:rPr>
          <w:rFonts w:ascii="Arial" w:cs="Arial" w:eastAsia="Arial" w:hAnsi="Arial"/>
          <w:sz w:val="18"/>
          <w:szCs w:val="18"/>
          <w:color w:val="auto"/>
        </w:rPr>
        <w:t>”) Publication No. 600 (or such later version thereof as may be in effect at the time of issuance).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Internal Revenue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3.01(e)(ii)(B)(III)</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means any Person 100% of whose Equity Interests are at the time owned by the Borrower directly or indirectly through other Persons 100% of whose Equity Interests are at the time owned, directly or indirectly, by the Borrower.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 Loan Document:</w:t>
      </w:r>
    </w:p>
    <w:p>
      <w:pPr>
        <w:spacing w:after="0" w:line="117" w:lineRule="exact"/>
        <w:rPr>
          <w:sz w:val="20"/>
          <w:szCs w:val="20"/>
          <w:color w:val="auto"/>
        </w:rPr>
      </w:pPr>
    </w:p>
    <w:p>
      <w:pPr>
        <w:ind w:left="460" w:firstLine="443"/>
        <w:spacing w:after="0" w:line="273" w:lineRule="auto"/>
        <w:tabs>
          <w:tab w:leader="none" w:pos="11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shall be deemed to be followed by the phrase “without limitation.” The word “</w:t>
      </w:r>
      <w:r>
        <w:rPr>
          <w:rFonts w:ascii="Arial" w:cs="Arial" w:eastAsia="Arial" w:hAnsi="Arial"/>
          <w:sz w:val="17"/>
          <w:szCs w:val="17"/>
          <w:u w:val="single" w:color="auto"/>
          <w:color w:val="auto"/>
        </w:rPr>
        <w:t>will</w:t>
      </w:r>
      <w:r>
        <w:rPr>
          <w:rFonts w:ascii="Arial" w:cs="Arial" w:eastAsia="Arial" w:hAnsi="Arial"/>
          <w:sz w:val="17"/>
          <w:szCs w:val="17"/>
          <w:color w:val="auto"/>
        </w:rPr>
        <w:t>” shall be construed to have the same meaning and effect as the word “</w:t>
      </w:r>
      <w:r>
        <w:rPr>
          <w:rFonts w:ascii="Arial" w:cs="Arial" w:eastAsia="Arial" w:hAnsi="Arial"/>
          <w:sz w:val="17"/>
          <w:szCs w:val="17"/>
          <w:u w:val="single" w:color="auto"/>
          <w:color w:val="auto"/>
        </w:rPr>
        <w:t>shall</w:t>
      </w:r>
      <w:r>
        <w:rPr>
          <w:rFonts w:ascii="Arial" w:cs="Arial" w:eastAsia="Arial" w:hAnsi="Arial"/>
          <w:sz w:val="17"/>
          <w:szCs w:val="17"/>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240" w:top="274" w:right="359" w:bottom="1440" w:gutter="0" w:footer="0" w:header="0"/>
        </w:sectPr>
      </w:pPr>
    </w:p>
    <w:bookmarkStart w:id="139" w:name="page140"/>
    <w:bookmarkEnd w:id="139"/>
    <w:p>
      <w:pPr>
        <w:ind w:left="460" w:right="6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modifications set forth herein or in any other Loan Document), (ii) any reference herein to any Person shall be construed to include such Person’s successors and assigns, (iii) the words “</w:t>
      </w:r>
      <w:r>
        <w:rPr>
          <w:rFonts w:ascii="Arial" w:cs="Arial" w:eastAsia="Arial" w:hAnsi="Arial"/>
          <w:sz w:val="16"/>
          <w:szCs w:val="16"/>
          <w:u w:val="single" w:color="auto"/>
          <w:color w:val="auto"/>
        </w:rPr>
        <w:t>hereto</w:t>
      </w:r>
      <w:r>
        <w:rPr>
          <w:rFonts w:ascii="Arial" w:cs="Arial" w:eastAsia="Arial" w:hAnsi="Arial"/>
          <w:sz w:val="16"/>
          <w:szCs w:val="16"/>
          <w:color w:val="auto"/>
        </w:rPr>
        <w:t>”, “</w:t>
      </w:r>
      <w:r>
        <w:rPr>
          <w:rFonts w:ascii="Arial" w:cs="Arial" w:eastAsia="Arial" w:hAnsi="Arial"/>
          <w:sz w:val="16"/>
          <w:szCs w:val="16"/>
          <w:u w:val="single" w:color="auto"/>
          <w:color w:val="auto"/>
        </w:rPr>
        <w:t>herein</w:t>
      </w:r>
      <w:r>
        <w:rPr>
          <w:rFonts w:ascii="Arial" w:cs="Arial" w:eastAsia="Arial" w:hAnsi="Arial"/>
          <w:sz w:val="16"/>
          <w:szCs w:val="16"/>
          <w:color w:val="auto"/>
        </w:rPr>
        <w:t>,” “</w:t>
      </w:r>
      <w:r>
        <w:rPr>
          <w:rFonts w:ascii="Arial" w:cs="Arial" w:eastAsia="Arial" w:hAnsi="Arial"/>
          <w:sz w:val="16"/>
          <w:szCs w:val="16"/>
          <w:u w:val="single" w:color="auto"/>
          <w:color w:val="auto"/>
        </w:rPr>
        <w:t>hereof</w:t>
      </w:r>
      <w:r>
        <w:rPr>
          <w:rFonts w:ascii="Arial" w:cs="Arial" w:eastAsia="Arial" w:hAnsi="Arial"/>
          <w:sz w:val="16"/>
          <w:szCs w:val="16"/>
          <w:color w:val="auto"/>
        </w:rPr>
        <w:t>” and “</w:t>
      </w:r>
      <w:r>
        <w:rPr>
          <w:rFonts w:ascii="Arial" w:cs="Arial" w:eastAsia="Arial" w:hAnsi="Arial"/>
          <w:sz w:val="16"/>
          <w:szCs w:val="16"/>
          <w:u w:val="single" w:color="auto"/>
          <w:color w:val="auto"/>
        </w:rPr>
        <w:t>hereunder</w:t>
      </w:r>
      <w:r>
        <w:rPr>
          <w:rFonts w:ascii="Arial" w:cs="Arial" w:eastAsia="Arial" w:hAnsi="Arial"/>
          <w:sz w:val="16"/>
          <w:szCs w:val="16"/>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(vi) the words “</w:t>
      </w:r>
      <w:r>
        <w:rPr>
          <w:rFonts w:ascii="Arial" w:cs="Arial" w:eastAsia="Arial" w:hAnsi="Arial"/>
          <w:sz w:val="16"/>
          <w:szCs w:val="16"/>
          <w:u w:val="single" w:color="auto"/>
          <w:color w:val="auto"/>
        </w:rPr>
        <w:t>asset</w:t>
      </w:r>
      <w:r>
        <w:rPr>
          <w:rFonts w:ascii="Arial" w:cs="Arial" w:eastAsia="Arial" w:hAnsi="Arial"/>
          <w:sz w:val="16"/>
          <w:szCs w:val="16"/>
          <w:color w:val="auto"/>
        </w:rPr>
        <w:t>” and “</w:t>
      </w:r>
      <w:r>
        <w:rPr>
          <w:rFonts w:ascii="Arial" w:cs="Arial" w:eastAsia="Arial" w:hAnsi="Arial"/>
          <w:sz w:val="16"/>
          <w:szCs w:val="16"/>
          <w:u w:val="single" w:color="auto"/>
          <w:color w:val="auto"/>
        </w:rPr>
        <w:t>property</w:t>
      </w:r>
      <w:r>
        <w:rPr>
          <w:rFonts w:ascii="Arial" w:cs="Arial" w:eastAsia="Arial" w:hAnsi="Arial"/>
          <w:sz w:val="16"/>
          <w:szCs w:val="16"/>
          <w:color w:val="auto"/>
        </w:rPr>
        <w:t>” shall be construed to have the same meaning and effect and to refer to any and all assets and properties, tangible and intangible, real and personal, including cash, securities, accounts and contract rights and (vii) the words “real property” shall include all fee and leasehold interests in such real property and all improvements located on such real property.</w:t>
      </w:r>
    </w:p>
    <w:p>
      <w:pPr>
        <w:spacing w:after="0" w:line="59" w:lineRule="exact"/>
        <w:rPr>
          <w:sz w:val="20"/>
          <w:szCs w:val="20"/>
          <w:color w:val="auto"/>
        </w:rPr>
      </w:pPr>
    </w:p>
    <w:p>
      <w:pPr>
        <w:ind w:left="460" w:right="140" w:firstLine="443"/>
        <w:spacing w:after="0" w:line="277" w:lineRule="auto"/>
        <w:tabs>
          <w:tab w:leader="none" w:pos="1153"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w:t>
      </w:r>
      <w:r>
        <w:rPr>
          <w:rFonts w:ascii="Arial" w:cs="Arial" w:eastAsia="Arial" w:hAnsi="Arial"/>
          <w:sz w:val="18"/>
          <w:szCs w:val="18"/>
          <w:u w:val="single" w:color="auto"/>
          <w:color w:val="auto"/>
        </w:rPr>
        <w:t>from</w:t>
      </w:r>
      <w:r>
        <w:rPr>
          <w:rFonts w:ascii="Arial" w:cs="Arial" w:eastAsia="Arial" w:hAnsi="Arial"/>
          <w:sz w:val="18"/>
          <w:szCs w:val="18"/>
          <w:color w:val="auto"/>
        </w:rPr>
        <w:t>” means “</w:t>
      </w:r>
      <w:r>
        <w:rPr>
          <w:rFonts w:ascii="Arial" w:cs="Arial" w:eastAsia="Arial" w:hAnsi="Arial"/>
          <w:sz w:val="18"/>
          <w:szCs w:val="18"/>
          <w:u w:val="single" w:color="auto"/>
          <w:color w:val="auto"/>
        </w:rPr>
        <w:t>from and including</w:t>
      </w:r>
      <w:r>
        <w:rPr>
          <w:rFonts w:ascii="Arial" w:cs="Arial" w:eastAsia="Arial" w:hAnsi="Arial"/>
          <w:sz w:val="18"/>
          <w:szCs w:val="18"/>
          <w:color w:val="auto"/>
        </w:rPr>
        <w:t>;” the words “</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firstLine="443"/>
        <w:spacing w:after="0" w:line="277" w:lineRule="auto"/>
        <w:tabs>
          <w:tab w:leader="none" w:pos="1143"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Accounting Terms; Calculation of Financial Covenants on a Pro Forma Basis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3" w:lineRule="auto"/>
        <w:tabs>
          <w:tab w:leader="none" w:pos="70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 Notwithstanding anything herein to the contrary, each of Grand Canyon University Scholarship Foundation, an Arizona non-profit corporation, and Scholarships for GCU Students, an Arizona non-profit corporation, shall be excluded from all calculations of the financial covenants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(including for purposes of determining the Applicable Rate).</w:t>
      </w:r>
    </w:p>
    <w:p>
      <w:pPr>
        <w:spacing w:after="0" w:line="197" w:lineRule="exact"/>
        <w:rPr>
          <w:rFonts w:ascii="Arial" w:cs="Arial" w:eastAsia="Arial" w:hAnsi="Arial"/>
          <w:sz w:val="18"/>
          <w:szCs w:val="18"/>
          <w:color w:val="auto"/>
        </w:rPr>
      </w:pPr>
    </w:p>
    <w:p>
      <w:pPr>
        <w:ind w:right="40" w:firstLine="464"/>
        <w:spacing w:after="0" w:line="289" w:lineRule="auto"/>
        <w:tabs>
          <w:tab w:leader="none" w:pos="71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Changes in GAAP</w:t>
      </w:r>
      <w:r>
        <w:rPr>
          <w:rFonts w:ascii="Arial" w:cs="Arial" w:eastAsia="Arial" w:hAnsi="Arial"/>
          <w:sz w:val="16"/>
          <w:szCs w:val="16"/>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Loan Parties shall negotiate in good faith to amend such ratio or requirement to preserve the original intent thereof in light of such change in GAAP (subject to the approval of the Required Lenders); </w:t>
      </w:r>
      <w:r>
        <w:rPr>
          <w:rFonts w:ascii="Arial" w:cs="Arial" w:eastAsia="Arial" w:hAnsi="Arial"/>
          <w:sz w:val="16"/>
          <w:szCs w:val="16"/>
          <w:u w:val="single" w:color="auto"/>
          <w:color w:val="auto"/>
        </w:rPr>
        <w:t>provided that</w:t>
      </w:r>
      <w:r>
        <w:rPr>
          <w:rFonts w:ascii="Arial" w:cs="Arial" w:eastAsia="Arial" w:hAnsi="Arial"/>
          <w:sz w:val="16"/>
          <w:szCs w:val="16"/>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40" w:name="page141"/>
    <w:bookmarkEnd w:id="140"/>
    <w:p>
      <w:pPr>
        <w:jc w:val="both"/>
        <w:ind w:right="160" w:firstLine="464"/>
        <w:spacing w:after="0" w:line="259" w:lineRule="auto"/>
        <w:tabs>
          <w:tab w:leader="none" w:pos="70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Consolidation of Variable Interest Entities</w:t>
      </w:r>
      <w:r>
        <w:rPr>
          <w:rFonts w:ascii="Arial" w:cs="Arial" w:eastAsia="Arial" w:hAnsi="Arial"/>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86" w:lineRule="exact"/>
        <w:rPr>
          <w:rFonts w:ascii="Arial" w:cs="Arial" w:eastAsia="Arial" w:hAnsi="Arial"/>
          <w:sz w:val="18"/>
          <w:szCs w:val="18"/>
          <w:color w:val="auto"/>
        </w:rPr>
      </w:pPr>
    </w:p>
    <w:p>
      <w:pPr>
        <w:jc w:val="both"/>
        <w:ind w:firstLine="464"/>
        <w:spacing w:after="0" w:line="264" w:lineRule="auto"/>
        <w:tabs>
          <w:tab w:leader="none" w:pos="71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Calculation of Financial Covenants on a Pro Forma Basis</w:t>
      </w:r>
      <w:r>
        <w:rPr>
          <w:rFonts w:ascii="Arial" w:cs="Arial" w:eastAsia="Arial" w:hAnsi="Arial"/>
          <w:sz w:val="18"/>
          <w:szCs w:val="18"/>
          <w:color w:val="auto"/>
        </w:rPr>
        <w:t xml:space="preserve">. Notwithstanding the above, the parties hereto acknowledge and agree that all calculations of the financial covenants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(including for purposes of determining the Applicable Rate) shall be made on a Pro Forma Basis with respect to any Acquisition, Disposition or Recovery Event occurring during the applicable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 financial ratios required to be maintained by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Times of Day; Rates</w:t>
      </w:r>
      <w:r>
        <w:rPr>
          <w:rFonts w:ascii="Arial" w:cs="Arial" w:eastAsia="Arial" w:hAnsi="Arial"/>
          <w:sz w:val="18"/>
          <w:szCs w:val="18"/>
          <w:color w:val="auto"/>
        </w:rPr>
        <w:t>.</w:t>
      </w:r>
    </w:p>
    <w:p>
      <w:pPr>
        <w:spacing w:after="0" w:line="225" w:lineRule="exact"/>
        <w:rPr>
          <w:sz w:val="20"/>
          <w:szCs w:val="20"/>
          <w:color w:val="auto"/>
        </w:rPr>
      </w:pPr>
    </w:p>
    <w:p>
      <w:pPr>
        <w:ind w:right="360" w:firstLine="456"/>
        <w:spacing w:after="0" w:line="312" w:lineRule="auto"/>
        <w:rPr>
          <w:sz w:val="20"/>
          <w:szCs w:val="20"/>
          <w:color w:val="auto"/>
        </w:rPr>
      </w:pPr>
      <w:r>
        <w:rPr>
          <w:rFonts w:ascii="Arial" w:cs="Arial" w:eastAsia="Arial" w:hAnsi="Arial"/>
          <w:sz w:val="16"/>
          <w:szCs w:val="16"/>
          <w:color w:val="auto"/>
        </w:rPr>
        <w:t>Unless otherwise specified, all references herein to times of day shall be references to Central time (daylight or standard, as applicable).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Unless otherwise specified herein, the amount of a Letter of Credit at any time shall be deemed to be the stated amount of such Letter of Credit in effect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COMMITMENTS AND CREDIT EXTENSIONS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Revolving Loans and Term Loan</w:t>
      </w:r>
      <w:r>
        <w:rPr>
          <w:rFonts w:ascii="Arial" w:cs="Arial" w:eastAsia="Arial" w:hAnsi="Arial"/>
          <w:sz w:val="18"/>
          <w:szCs w:val="18"/>
          <w:color w:val="auto"/>
        </w:rPr>
        <w:t>.</w:t>
      </w:r>
    </w:p>
    <w:p>
      <w:pPr>
        <w:spacing w:after="0" w:line="225" w:lineRule="exact"/>
        <w:rPr>
          <w:sz w:val="20"/>
          <w:szCs w:val="20"/>
          <w:color w:val="auto"/>
        </w:rPr>
      </w:pPr>
    </w:p>
    <w:p>
      <w:pPr>
        <w:ind w:right="220" w:firstLine="464"/>
        <w:spacing w:after="0" w:line="276" w:lineRule="auto"/>
        <w:tabs>
          <w:tab w:leader="none" w:pos="701"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Revolving Loans</w:t>
      </w:r>
      <w:r>
        <w:rPr>
          <w:rFonts w:ascii="Arial" w:cs="Arial" w:eastAsia="Arial" w:hAnsi="Arial"/>
          <w:sz w:val="17"/>
          <w:szCs w:val="17"/>
          <w:color w:val="auto"/>
        </w:rPr>
        <w:t>. Subject to the terms and conditions set forth herein, each Lender severally agrees to make loans (each such loan, a “</w:t>
      </w:r>
      <w:r>
        <w:rPr>
          <w:rFonts w:ascii="Arial" w:cs="Arial" w:eastAsia="Arial" w:hAnsi="Arial"/>
          <w:sz w:val="17"/>
          <w:szCs w:val="17"/>
          <w:u w:val="single" w:color="auto"/>
          <w:color w:val="auto"/>
        </w:rPr>
        <w:t>Revolving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Loan</w:t>
      </w:r>
      <w:r>
        <w:rPr>
          <w:rFonts w:ascii="Arial" w:cs="Arial" w:eastAsia="Arial" w:hAnsi="Arial"/>
          <w:sz w:val="17"/>
          <w:szCs w:val="17"/>
          <w:color w:val="auto"/>
        </w:rPr>
        <w:t xml:space="preserve">”) to the Borrower in Dollars from time to time on any Business Day during the Availability Period in an aggregate amount not to exceed at any time outstanding the amount of such Lender’s Revolving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after giving effect to any Borrowing of Revolving Loans, (i) the Total Revolving Outstandings shall not exceed the Aggregate Revolving Commitments, and (ii) the Revolving Credit Exposure of any Lender shall not exceed such Lender’s Revolving Commitment. Within the limits of each Lender’s Revolving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141" w:name="page142"/>
    <w:bookmarkEnd w:id="141"/>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Commitment, and subject to the other terms and conditions hereof, the Borrower may 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2.01</w:t>
      </w:r>
      <w:r>
        <w:rPr>
          <w:rFonts w:ascii="Arial" w:cs="Arial" w:eastAsia="Arial" w:hAnsi="Arial"/>
          <w:sz w:val="16"/>
          <w:szCs w:val="16"/>
          <w:color w:val="auto"/>
        </w:rPr>
        <w:t>. Revolving Loans may be Base Rate Loans or Eurodollar Rate Loans, or a combination thereof, as further provided herein.</w:t>
      </w:r>
    </w:p>
    <w:p>
      <w:pPr>
        <w:spacing w:after="0" w:line="124" w:lineRule="exact"/>
        <w:rPr>
          <w:sz w:val="20"/>
          <w:szCs w:val="20"/>
          <w:color w:val="auto"/>
        </w:rPr>
      </w:pPr>
    </w:p>
    <w:p>
      <w:pPr>
        <w:ind w:right="140" w:firstLine="464"/>
        <w:spacing w:after="0" w:line="312" w:lineRule="auto"/>
        <w:tabs>
          <w:tab w:leader="none" w:pos="711"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Term Loan</w:t>
      </w:r>
      <w:r>
        <w:rPr>
          <w:rFonts w:ascii="Arial" w:cs="Arial" w:eastAsia="Arial" w:hAnsi="Arial"/>
          <w:sz w:val="16"/>
          <w:szCs w:val="16"/>
          <w:color w:val="auto"/>
        </w:rPr>
        <w:t>. Subject to the terms and conditions set forth herein, each Lender severally agrees to make its portion of a term loan (the “</w:t>
      </w:r>
      <w:r>
        <w:rPr>
          <w:rFonts w:ascii="Arial" w:cs="Arial" w:eastAsia="Arial" w:hAnsi="Arial"/>
          <w:sz w:val="16"/>
          <w:szCs w:val="16"/>
          <w:u w:val="single" w:color="auto"/>
          <w:color w:val="auto"/>
        </w:rPr>
        <w:t>Term Loan</w:t>
      </w:r>
      <w:r>
        <w:rPr>
          <w:rFonts w:ascii="Arial" w:cs="Arial" w:eastAsia="Arial" w:hAnsi="Arial"/>
          <w:sz w:val="16"/>
          <w:szCs w:val="16"/>
          <w:color w:val="auto"/>
        </w:rPr>
        <w:t>”) to the Borrower in Dollars on the Closing Date in an amount not to exceed such Lender’s Term Loan Commitment. Amounts repaid on the Term Loan may not be reborrowed. The Term Loan may consist of Base Rate Loans or Eurodollar Rate Loans, or a combination thereof, as further provided herein.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3" w:lineRule="auto"/>
        <w:tabs>
          <w:tab w:leader="none" w:pos="701"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Each Borrowing, each conversion of Loans from one Type to the other, and each continuation of Eurodollar Rate Loans shall be made upon the Borrower’s irrevocable notice to the Administrative Agent, which may be given by telephone. Each such notice must be received by the Administrative Agent not later than 12:00 noon (i) three Business Days prior to the requested date of any Borrowing of, conversion to or continuation of, Eurodollar Rate Loans or of any conversion of Eurodollar Rate Loans to Base Rate Loans, and (ii) on the requested date of any Borrowing of Base Rate Loans. Each telephonic notice by the Borrower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Loan Notice, appropriately completed and signed by a Responsible Officer of the Borrower. Each Borrowing of, conversion to or continuation of Eurodollar Rate Loans shall be in a principal amount of $5,000,000 or a whole multiple of $1,000,000 in excess thereof. Except as provided in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each Borrowing of or conversion to Base Rate Loans shall be in a principal amount of $500,000 or a whole multiple of $100,000 in excess thereof. Each Loan Notice (whether telephonic or written) shall specify (i) whether the Borrower is requesting a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w:t>
      </w:r>
    </w:p>
    <w:p>
      <w:pPr>
        <w:spacing w:after="0" w:line="4" w:lineRule="exact"/>
        <w:rPr>
          <w:rFonts w:ascii="Arial" w:cs="Arial" w:eastAsia="Arial" w:hAnsi="Arial"/>
          <w:sz w:val="16"/>
          <w:szCs w:val="16"/>
          <w:color w:val="auto"/>
        </w:rPr>
      </w:pPr>
    </w:p>
    <w:p>
      <w:pPr>
        <w:ind w:firstLine="8"/>
        <w:spacing w:after="0" w:line="252"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applicable, the duration of the Interest Period with respect thereto. If the Borrower fails to specify a Type of a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Loan Notice, but fails to specify an Interest Period, it will be deemed to have specified an Interest Period of one month. Notwithstanding anything to the contrary herein, a Swing Line Loan may not be converted to a Eurodollar Rate Loan.</w:t>
      </w:r>
    </w:p>
    <w:p>
      <w:pPr>
        <w:spacing w:after="0" w:line="194" w:lineRule="exact"/>
        <w:rPr>
          <w:rFonts w:ascii="Arial" w:cs="Arial" w:eastAsia="Arial" w:hAnsi="Arial"/>
          <w:sz w:val="18"/>
          <w:szCs w:val="18"/>
          <w:color w:val="auto"/>
        </w:rPr>
      </w:pPr>
    </w:p>
    <w:p>
      <w:pPr>
        <w:ind w:right="120" w:firstLine="464"/>
        <w:spacing w:after="0" w:line="270" w:lineRule="auto"/>
        <w:tabs>
          <w:tab w:leader="none" w:pos="711"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2:00 p.m. on the Business Day specified in the applicable Loan Notice. Upon satisfaction of the applicable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(and, if such Borrowing is the initial Credit Extension,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on the date the Loan Notice with respect to a Borrowing 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142" w:name="page143"/>
    <w:bookmarkEnd w:id="142"/>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Revolving Loans is given by the Borrower, there are L/C Borrowings outstanding, then the proceeds of such Borrowing, first,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Borrower as provided above.</w:t>
      </w:r>
    </w:p>
    <w:p>
      <w:pPr>
        <w:spacing w:after="0" w:line="170" w:lineRule="exact"/>
        <w:rPr>
          <w:sz w:val="20"/>
          <w:szCs w:val="20"/>
          <w:color w:val="auto"/>
        </w:rPr>
      </w:pPr>
    </w:p>
    <w:p>
      <w:pPr>
        <w:ind w:right="320" w:firstLine="464"/>
        <w:spacing w:after="0" w:line="277" w:lineRule="auto"/>
        <w:tabs>
          <w:tab w:leader="none" w:pos="701" w:val="left"/>
        </w:tabs>
        <w:numPr>
          <w:ilvl w:val="0"/>
          <w:numId w:val="77"/>
        </w:numPr>
        <w:rPr>
          <w:rFonts w:ascii="Arial" w:cs="Arial" w:eastAsia="Arial" w:hAnsi="Arial"/>
          <w:sz w:val="18"/>
          <w:szCs w:val="18"/>
          <w:color w:val="auto"/>
        </w:rPr>
      </w:pPr>
      <w:r>
        <w:rPr>
          <w:rFonts w:ascii="Arial" w:cs="Arial" w:eastAsia="Arial" w:hAnsi="Arial"/>
          <w:sz w:val="18"/>
          <w:szCs w:val="18"/>
          <w:color w:val="auto"/>
        </w:rPr>
        <w:t>During the existence of a Default, the Required Lenders may demand that any or all of the then outstanding Eurodollar Rate Loans be converted immediately to Base Rate Loans.</w:t>
      </w:r>
    </w:p>
    <w:p>
      <w:pPr>
        <w:spacing w:after="0" w:line="170" w:lineRule="exact"/>
        <w:rPr>
          <w:rFonts w:ascii="Arial" w:cs="Arial" w:eastAsia="Arial" w:hAnsi="Arial"/>
          <w:sz w:val="18"/>
          <w:szCs w:val="18"/>
          <w:color w:val="auto"/>
        </w:rPr>
      </w:pPr>
    </w:p>
    <w:p>
      <w:pPr>
        <w:jc w:val="both"/>
        <w:ind w:right="260" w:firstLine="464"/>
        <w:spacing w:after="0" w:line="259" w:lineRule="auto"/>
        <w:tabs>
          <w:tab w:leader="none" w:pos="7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Eurodollar Rate Loans upon determination of such interest rate. At any time that Base Rate Loans are outstanding, the Administrative Agent shall notify the Borrower and the Lenders of any change in Bank of America’s prime rate used in determining the Base Rate promptly following the public announcement of such change.</w:t>
      </w:r>
    </w:p>
    <w:p>
      <w:pPr>
        <w:spacing w:after="0" w:line="186" w:lineRule="exact"/>
        <w:rPr>
          <w:rFonts w:ascii="Arial" w:cs="Arial" w:eastAsia="Arial" w:hAnsi="Arial"/>
          <w:sz w:val="18"/>
          <w:szCs w:val="18"/>
          <w:color w:val="auto"/>
        </w:rPr>
      </w:pPr>
    </w:p>
    <w:p>
      <w:pPr>
        <w:ind w:right="140" w:firstLine="464"/>
        <w:spacing w:after="0" w:line="342" w:lineRule="auto"/>
        <w:tabs>
          <w:tab w:leader="none" w:pos="701" w:val="left"/>
        </w:tabs>
        <w:numPr>
          <w:ilvl w:val="0"/>
          <w:numId w:val="77"/>
        </w:numPr>
        <w:rPr>
          <w:rFonts w:ascii="Arial" w:cs="Arial" w:eastAsia="Arial" w:hAnsi="Arial"/>
          <w:sz w:val="16"/>
          <w:szCs w:val="16"/>
          <w:color w:val="auto"/>
        </w:rPr>
      </w:pPr>
      <w:r>
        <w:rPr>
          <w:rFonts w:ascii="Arial" w:cs="Arial" w:eastAsia="Arial" w:hAnsi="Arial"/>
          <w:sz w:val="16"/>
          <w:szCs w:val="16"/>
          <w:color w:val="auto"/>
        </w:rPr>
        <w:t>After giving effect to all Borrowings, all conversions of Loans from one Type to the other, and all continuations of Loans as the same Type, there shall not be more than four (4) Interest Periods in effect with respect to Revolving Loans and six (6) Interest Periods in effect with respect to the Term Loan.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43"/>
        <w:spacing w:after="0" w:line="269" w:lineRule="auto"/>
        <w:tabs>
          <w:tab w:leader="none" w:pos="1113" w:val="left"/>
        </w:tabs>
        <w:numPr>
          <w:ilvl w:val="1"/>
          <w:numId w:val="78"/>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(A) the L/C Issuer agrees, in reliance upon the agreements of the Lenders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(1) from time to time on any Business Day during the period from the Closing Date until the Maturity Date, to issue Letters of Credit in Dollars for the account of the Borrower or any Subsidiary, and to amend or extend Letters of Credit previously issued by it, in accordance with subsection (b) below, and (2) to honor drawings under the Letters of Credit; and (B) the Lenders severally agree to participate in Letters of Credit issued for the account of the Borrower or any Subsidiary and any drawings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L/C Credit Extension with respect to any Letter of Credit, (x) the Total Revolving Outstandings shall not exceed the Aggregate Revolving Commitments, (y) the Revolving Credit Exposure of any Lender shall not exceed such Lender’s Revolving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71" w:lineRule="exact"/>
        <w:rPr>
          <w:rFonts w:ascii="Arial" w:cs="Arial" w:eastAsia="Arial" w:hAnsi="Arial"/>
          <w:sz w:val="17"/>
          <w:szCs w:val="17"/>
          <w:color w:val="auto"/>
        </w:rPr>
      </w:pPr>
    </w:p>
    <w:p>
      <w:pPr>
        <w:ind w:left="1160" w:hanging="257"/>
        <w:spacing w:after="0"/>
        <w:tabs>
          <w:tab w:leader="none" w:pos="11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L/C Issuer shall not issue any Letter of Credit if:</w:t>
      </w:r>
    </w:p>
    <w:p>
      <w:pPr>
        <w:spacing w:after="0" w:line="117" w:lineRule="exact"/>
        <w:rPr>
          <w:rFonts w:ascii="Arial" w:cs="Arial" w:eastAsia="Arial" w:hAnsi="Arial"/>
          <w:sz w:val="18"/>
          <w:szCs w:val="18"/>
          <w:color w:val="auto"/>
        </w:rPr>
      </w:pPr>
    </w:p>
    <w:p>
      <w:pPr>
        <w:ind w:left="920" w:right="160" w:firstLine="421"/>
        <w:spacing w:after="0" w:line="277" w:lineRule="auto"/>
        <w:tabs>
          <w:tab w:leader="none" w:pos="1635" w:val="left"/>
        </w:tabs>
        <w:numPr>
          <w:ilvl w:val="2"/>
          <w:numId w:val="7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the requested Letter of Credit would occur more than twelve months after the date of issuance or last extension, unless the Required Revolving Lenders have approved such expiry date; or</w:t>
      </w:r>
    </w:p>
    <w:p>
      <w:pPr>
        <w:spacing w:after="0" w:line="62" w:lineRule="exact"/>
        <w:rPr>
          <w:rFonts w:ascii="Arial" w:cs="Arial" w:eastAsia="Arial" w:hAnsi="Arial"/>
          <w:sz w:val="18"/>
          <w:szCs w:val="18"/>
          <w:color w:val="auto"/>
        </w:rPr>
      </w:pPr>
    </w:p>
    <w:p>
      <w:pPr>
        <w:ind w:left="920" w:firstLine="421"/>
        <w:spacing w:after="0" w:line="277" w:lineRule="auto"/>
        <w:tabs>
          <w:tab w:leader="none" w:pos="1625" w:val="left"/>
        </w:tabs>
        <w:numPr>
          <w:ilvl w:val="2"/>
          <w:numId w:val="78"/>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date one year after the Maturity Date, unless all the Lenders that have Revolving Commitments have approved such expiry date.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143" w:name="page144"/>
    <w:bookmarkEnd w:id="143"/>
    <w:p>
      <w:pPr>
        <w:ind w:left="760" w:hanging="317"/>
        <w:spacing w:after="0"/>
        <w:tabs>
          <w:tab w:leader="none" w:pos="76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L/C Issuer shall not be under any obligation to issue any Letter of Credit if:</w:t>
      </w:r>
    </w:p>
    <w:p>
      <w:pPr>
        <w:spacing w:after="0" w:line="117" w:lineRule="exact"/>
        <w:rPr>
          <w:rFonts w:ascii="Arial" w:cs="Arial" w:eastAsia="Arial" w:hAnsi="Arial"/>
          <w:sz w:val="18"/>
          <w:szCs w:val="18"/>
          <w:color w:val="auto"/>
        </w:rPr>
      </w:pPr>
    </w:p>
    <w:p>
      <w:pPr>
        <w:ind w:left="460" w:firstLine="421"/>
        <w:spacing w:after="0" w:line="255" w:lineRule="auto"/>
        <w:tabs>
          <w:tab w:leader="none" w:pos="1175"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81" w:lineRule="exact"/>
        <w:rPr>
          <w:rFonts w:ascii="Arial" w:cs="Arial" w:eastAsia="Arial" w:hAnsi="Arial"/>
          <w:sz w:val="18"/>
          <w:szCs w:val="18"/>
          <w:color w:val="auto"/>
        </w:rPr>
      </w:pPr>
    </w:p>
    <w:p>
      <w:pPr>
        <w:ind w:left="1160" w:hanging="279"/>
        <w:spacing w:after="0"/>
        <w:tabs>
          <w:tab w:leader="none" w:pos="1160"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issuance of such Letter of Credit would violate one or more policies of the L/C Issuer applicable to letters of credit generally;</w:t>
      </w:r>
    </w:p>
    <w:p>
      <w:pPr>
        <w:spacing w:after="0" w:line="128" w:lineRule="exact"/>
        <w:rPr>
          <w:rFonts w:ascii="Arial" w:cs="Arial" w:eastAsia="Arial" w:hAnsi="Arial"/>
          <w:sz w:val="17"/>
          <w:szCs w:val="17"/>
          <w:color w:val="auto"/>
        </w:rPr>
      </w:pPr>
    </w:p>
    <w:p>
      <w:pPr>
        <w:ind w:left="1160" w:hanging="279"/>
        <w:spacing w:after="0"/>
        <w:tabs>
          <w:tab w:leader="none" w:pos="1160" w:val="left"/>
        </w:tabs>
        <w:numPr>
          <w:ilvl w:val="1"/>
          <w:numId w:val="79"/>
        </w:numPr>
        <w:rPr>
          <w:rFonts w:ascii="Arial" w:cs="Arial" w:eastAsia="Arial" w:hAnsi="Arial"/>
          <w:sz w:val="17"/>
          <w:szCs w:val="17"/>
          <w:color w:val="auto"/>
        </w:rPr>
      </w:pPr>
      <w:r>
        <w:rPr>
          <w:rFonts w:ascii="Arial" w:cs="Arial" w:eastAsia="Arial" w:hAnsi="Arial"/>
          <w:sz w:val="17"/>
          <w:szCs w:val="17"/>
          <w:color w:val="auto"/>
        </w:rPr>
        <w:t>except as otherwise agreed by the Administrative Agent and the L/C Issuer, such Letter of Credit is in an initial stated amount less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$500,000;</w:t>
      </w:r>
    </w:p>
    <w:p>
      <w:pPr>
        <w:spacing w:after="0" w:line="103" w:lineRule="exact"/>
        <w:rPr>
          <w:sz w:val="20"/>
          <w:szCs w:val="20"/>
          <w:color w:val="auto"/>
        </w:rPr>
      </w:pPr>
    </w:p>
    <w:p>
      <w:pPr>
        <w:ind w:left="1180" w:hanging="299"/>
        <w:spacing w:after="0"/>
        <w:tabs>
          <w:tab w:leader="none" w:pos="11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such Letter of Credit is to be denominated in a currency other than Dollars;</w:t>
      </w:r>
    </w:p>
    <w:p>
      <w:pPr>
        <w:spacing w:after="0" w:line="117" w:lineRule="exact"/>
        <w:rPr>
          <w:rFonts w:ascii="Arial" w:cs="Arial" w:eastAsia="Arial" w:hAnsi="Arial"/>
          <w:sz w:val="18"/>
          <w:szCs w:val="18"/>
          <w:color w:val="auto"/>
        </w:rPr>
      </w:pPr>
    </w:p>
    <w:p>
      <w:pPr>
        <w:ind w:left="460" w:right="20" w:firstLine="421"/>
        <w:spacing w:after="0" w:line="257" w:lineRule="auto"/>
        <w:tabs>
          <w:tab w:leader="none" w:pos="1155"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any Lender is at that time a Defaulting Lender, unless the L/C Issuer has entered into arrangements, including the delivery of Cash Collateral, satisfactory to the L/C Issuer (in its sole discretion) with the Borrower or such Defaulting Lender to eliminate the L/C Issuer’s actual or potential Fronting Exposure (after giving effect to </w:t>
      </w:r>
      <w:r>
        <w:rPr>
          <w:rFonts w:ascii="Arial" w:cs="Arial" w:eastAsia="Arial" w:hAnsi="Arial"/>
          <w:sz w:val="18"/>
          <w:szCs w:val="18"/>
          <w:u w:val="single" w:color="auto"/>
          <w:color w:val="auto"/>
        </w:rPr>
        <w:t>Section 2.15(b</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80" w:lineRule="exact"/>
        <w:rPr>
          <w:rFonts w:ascii="Arial" w:cs="Arial" w:eastAsia="Arial" w:hAnsi="Arial"/>
          <w:sz w:val="18"/>
          <w:szCs w:val="18"/>
          <w:color w:val="auto"/>
        </w:rPr>
      </w:pPr>
    </w:p>
    <w:p>
      <w:pPr>
        <w:ind w:left="1140" w:hanging="259"/>
        <w:spacing w:after="0"/>
        <w:tabs>
          <w:tab w:leader="none" w:pos="1140" w:val="left"/>
        </w:tabs>
        <w:numPr>
          <w:ilvl w:val="1"/>
          <w:numId w:val="80"/>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 drawing thereunder.</w:t>
      </w:r>
    </w:p>
    <w:p>
      <w:pPr>
        <w:spacing w:after="0" w:line="128" w:lineRule="exact"/>
        <w:rPr>
          <w:rFonts w:ascii="Arial" w:cs="Arial" w:eastAsia="Arial" w:hAnsi="Arial"/>
          <w:sz w:val="17"/>
          <w:szCs w:val="17"/>
          <w:color w:val="auto"/>
        </w:rPr>
      </w:pPr>
    </w:p>
    <w:p>
      <w:pPr>
        <w:ind w:right="80" w:firstLine="443"/>
        <w:spacing w:after="0" w:line="277" w:lineRule="auto"/>
        <w:tabs>
          <w:tab w:leader="none" w:pos="74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L/C Issuer shall not amend any Letter of Credit if the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ind w:right="20" w:firstLine="443"/>
        <w:spacing w:after="0" w:line="264" w:lineRule="auto"/>
        <w:tabs>
          <w:tab w:leader="none" w:pos="693"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73" w:lineRule="exact"/>
        <w:rPr>
          <w:rFonts w:ascii="Arial" w:cs="Arial" w:eastAsia="Arial" w:hAnsi="Arial"/>
          <w:sz w:val="18"/>
          <w:szCs w:val="18"/>
          <w:color w:val="auto"/>
        </w:rPr>
      </w:pPr>
    </w:p>
    <w:p>
      <w:pPr>
        <w:ind w:right="20" w:firstLine="443"/>
        <w:spacing w:after="0" w:line="257" w:lineRule="auto"/>
        <w:tabs>
          <w:tab w:leader="none" w:pos="743" w:val="left"/>
        </w:tabs>
        <w:numPr>
          <w:ilvl w:val="0"/>
          <w:numId w:val="81"/>
        </w:numPr>
        <w:rPr>
          <w:rFonts w:ascii="Arial" w:cs="Arial" w:eastAsia="Arial" w:hAnsi="Arial"/>
          <w:sz w:val="18"/>
          <w:szCs w:val="18"/>
          <w:color w:val="auto"/>
        </w:rPr>
      </w:pPr>
      <w:r>
        <w:rPr>
          <w:rFonts w:ascii="Arial" w:cs="Arial" w:eastAsia="Arial" w:hAnsi="Arial"/>
          <w:sz w:val="18"/>
          <w:szCs w:val="18"/>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included the L/C Issuer with respect to such acts or omissions, and (B) as additionally provided herein with respect to the L/C Issuer.</w:t>
      </w:r>
    </w:p>
    <w:p>
      <w:pPr>
        <w:spacing w:after="0" w:line="1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700" w:top="274" w:right="259" w:bottom="1440" w:gutter="0" w:footer="0" w:header="0"/>
        </w:sectPr>
      </w:pPr>
    </w:p>
    <w:bookmarkStart w:id="144" w:name="page145"/>
    <w:bookmarkEnd w:id="144"/>
    <w:p>
      <w:pPr>
        <w:ind w:left="260" w:hanging="256"/>
        <w:spacing w:after="0"/>
        <w:tabs>
          <w:tab w:leader="none" w:pos="2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Procedures for Issuance and Amendment of Letters of Credit;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3"/>
        <w:spacing w:after="0" w:line="268" w:lineRule="auto"/>
        <w:tabs>
          <w:tab w:leader="none" w:pos="653" w:val="left"/>
        </w:tabs>
        <w:numPr>
          <w:ilvl w:val="1"/>
          <w:numId w:val="82"/>
        </w:numPr>
        <w:rPr>
          <w:rFonts w:ascii="Arial" w:cs="Arial" w:eastAsia="Arial" w:hAnsi="Arial"/>
          <w:sz w:val="17"/>
          <w:szCs w:val="17"/>
          <w:color w:val="auto"/>
        </w:rPr>
      </w:pPr>
      <w:r>
        <w:rPr>
          <w:rFonts w:ascii="Arial" w:cs="Arial" w:eastAsia="Arial" w:hAnsi="Arial"/>
          <w:sz w:val="17"/>
          <w:szCs w:val="17"/>
          <w:color w:val="auto"/>
        </w:rPr>
        <w:t>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12:00 noon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72" w:lineRule="exact"/>
        <w:rPr>
          <w:rFonts w:ascii="Arial" w:cs="Arial" w:eastAsia="Arial" w:hAnsi="Arial"/>
          <w:sz w:val="17"/>
          <w:szCs w:val="17"/>
          <w:color w:val="auto"/>
        </w:rPr>
      </w:pPr>
    </w:p>
    <w:p>
      <w:pPr>
        <w:ind w:right="60" w:firstLine="443"/>
        <w:spacing w:after="0" w:line="289" w:lineRule="auto"/>
        <w:tabs>
          <w:tab w:leader="none" w:pos="703" w:val="left"/>
        </w:tabs>
        <w:numPr>
          <w:ilvl w:val="1"/>
          <w:numId w:val="82"/>
        </w:numPr>
        <w:rPr>
          <w:rFonts w:ascii="Arial" w:cs="Arial" w:eastAsia="Arial" w:hAnsi="Arial"/>
          <w:sz w:val="16"/>
          <w:szCs w:val="16"/>
          <w:color w:val="auto"/>
        </w:rPr>
      </w:pPr>
      <w:r>
        <w:rPr>
          <w:rFonts w:ascii="Arial" w:cs="Arial" w:eastAsia="Arial" w:hAnsi="Arial"/>
          <w:sz w:val="16"/>
          <w:szCs w:val="16"/>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Letter of Credit.</w:t>
      </w:r>
    </w:p>
    <w:p>
      <w:pPr>
        <w:spacing w:after="0" w:line="58" w:lineRule="exact"/>
        <w:rPr>
          <w:rFonts w:ascii="Arial" w:cs="Arial" w:eastAsia="Arial" w:hAnsi="Arial"/>
          <w:sz w:val="16"/>
          <w:szCs w:val="16"/>
          <w:color w:val="auto"/>
        </w:rPr>
      </w:pPr>
    </w:p>
    <w:p>
      <w:pPr>
        <w:ind w:right="40" w:firstLine="443"/>
        <w:spacing w:after="0" w:line="264" w:lineRule="auto"/>
        <w:tabs>
          <w:tab w:leader="none" w:pos="753"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the Borrower so requests in any applicable Letter of Credit Application, the L/C Issuer may, in its sole discretion, agree to issue a Letter of Credit that has automatic extension provisions (each, an “</w:t>
      </w:r>
      <w:r>
        <w:rPr>
          <w:rFonts w:ascii="Arial" w:cs="Arial" w:eastAsia="Arial" w:hAnsi="Arial"/>
          <w:sz w:val="18"/>
          <w:szCs w:val="18"/>
          <w:u w:val="single" w:color="auto"/>
          <w:color w:val="auto"/>
        </w:rPr>
        <w:t>Auto-Extension Letter of 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Auto-Extension Letter of Credit must permit the L/C Issuer to prevent any such extension at least once</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40"/>
          </w:cols>
          <w:pgMar w:left="700" w:top="274" w:right="259" w:bottom="1440" w:gutter="0" w:footer="0" w:header="0"/>
        </w:sectPr>
      </w:pPr>
    </w:p>
    <w:bookmarkStart w:id="145" w:name="page146"/>
    <w:bookmarkEnd w:id="14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Non-Extension Notice Date</w:t>
      </w:r>
      <w:r>
        <w:rPr>
          <w:rFonts w:ascii="Arial" w:cs="Arial" w:eastAsia="Arial" w:hAnsi="Arial"/>
          <w:sz w:val="16"/>
          <w:szCs w:val="16"/>
          <w:color w:val="auto"/>
        </w:rPr>
        <w:t xml:space="preserve">”) in each such twelve-month period to be agreed upon at the time such Letter of Credit is issued. Unless otherwise directed by the L/C Issuer, the Borrower shall not be required to make a specific request to the L/C Issuer for any such extension. Once an Auto-Extension Letter of Credit has been issued, the Lenders shall be deemed to have authorized (but may not require) the L/C Issuer to permit the extension of such Letter of Credit at any time to an expiry date not later than the date one year after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w:t>
      </w:r>
    </w:p>
    <w:p>
      <w:pPr>
        <w:spacing w:after="0" w:line="3"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u w:val="single" w:color="auto"/>
          <w:color w:val="auto"/>
        </w:rPr>
        <w:t>Section 2.03(a)</w:t>
      </w:r>
      <w:r>
        <w:rPr>
          <w:rFonts w:ascii="Arial" w:cs="Arial" w:eastAsia="Arial" w:hAnsi="Arial"/>
          <w:sz w:val="16"/>
          <w:szCs w:val="16"/>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w:t>
      </w:r>
    </w:p>
    <w:p>
      <w:pPr>
        <w:spacing w:after="0" w:line="1" w:lineRule="exact"/>
        <w:rPr>
          <w:sz w:val="20"/>
          <w:szCs w:val="20"/>
          <w:color w:val="auto"/>
        </w:rPr>
      </w:pPr>
    </w:p>
    <w:p>
      <w:pPr>
        <w:ind w:right="340" w:firstLine="4"/>
        <w:spacing w:after="0" w:line="261"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from the Administrative Agent, any Lender or any Loan Party that one or more of the applicable conditions specified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is not then satisfied, and in each such case directing the L/C Issuer not to permit such extension.</w:t>
      </w:r>
    </w:p>
    <w:p>
      <w:pPr>
        <w:spacing w:after="0" w:line="75" w:lineRule="exact"/>
        <w:rPr>
          <w:rFonts w:ascii="Arial" w:cs="Arial" w:eastAsia="Arial" w:hAnsi="Arial"/>
          <w:sz w:val="18"/>
          <w:szCs w:val="18"/>
          <w:color w:val="auto"/>
        </w:rPr>
      </w:pPr>
    </w:p>
    <w:p>
      <w:pPr>
        <w:ind w:firstLine="443"/>
        <w:spacing w:after="0" w:line="287" w:lineRule="auto"/>
        <w:tabs>
          <w:tab w:leader="none" w:pos="743" w:val="left"/>
        </w:tabs>
        <w:numPr>
          <w:ilvl w:val="1"/>
          <w:numId w:val="83"/>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Arial" w:cs="Arial" w:eastAsia="Arial" w:hAnsi="Arial"/>
          <w:sz w:val="16"/>
          <w:szCs w:val="16"/>
          <w:u w:val="single" w:color="auto"/>
          <w:color w:val="auto"/>
        </w:rPr>
        <w:t>Auto-Reinstatement Letter of Credit</w:t>
      </w:r>
      <w:r>
        <w:rPr>
          <w:rFonts w:ascii="Arial" w:cs="Arial" w:eastAsia="Arial" w:hAnsi="Arial"/>
          <w:sz w:val="16"/>
          <w:szCs w:val="16"/>
          <w:color w:val="auto"/>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6"/>
          <w:szCs w:val="16"/>
          <w:u w:val="single" w:color="auto"/>
          <w:color w:val="auto"/>
        </w:rPr>
        <w:t>Non-Reinstatement Deadline</w:t>
      </w:r>
      <w:r>
        <w:rPr>
          <w:rFonts w:ascii="Arial" w:cs="Arial" w:eastAsia="Arial" w:hAnsi="Arial"/>
          <w:sz w:val="16"/>
          <w:szCs w:val="16"/>
          <w:color w:val="auto"/>
        </w:rPr>
        <w:t xml:space="preserve">”), the L/C Issuer shall not permit such reinstatement if it has received a notice (which may be by telephone or in writing) on or before the day that is seven Business Days before the Non-Reinstatement Deadline (A) from the Administrative Agent that the Required Lenders have elected not to permit such reinstatement or (B) from the Administrative Agent, any Lender or any Loan Party that one or more of the applicable conditions specified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is not then satisfied (treating such reinstatement as an L/C Credit Extension for purposes of this clause) and, in each case, directing the L/C Issuer not to permit such reinstatement.</w:t>
      </w:r>
    </w:p>
    <w:p>
      <w:pPr>
        <w:spacing w:after="0" w:line="60" w:lineRule="exact"/>
        <w:rPr>
          <w:rFonts w:ascii="Arial" w:cs="Arial" w:eastAsia="Arial" w:hAnsi="Arial"/>
          <w:sz w:val="16"/>
          <w:szCs w:val="16"/>
          <w:color w:val="auto"/>
        </w:rPr>
      </w:pPr>
    </w:p>
    <w:p>
      <w:pPr>
        <w:ind w:right="100" w:firstLine="443"/>
        <w:spacing w:after="0" w:line="264" w:lineRule="auto"/>
        <w:tabs>
          <w:tab w:leader="none" w:pos="693" w:val="left"/>
        </w:tabs>
        <w:numPr>
          <w:ilvl w:val="1"/>
          <w:numId w:val="83"/>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181" w:lineRule="exact"/>
        <w:rPr>
          <w:sz w:val="20"/>
          <w:szCs w:val="20"/>
          <w:color w:val="auto"/>
        </w:rPr>
      </w:pPr>
    </w:p>
    <w:p>
      <w:pPr>
        <w:ind w:left="240" w:hanging="236"/>
        <w:spacing w:after="0"/>
        <w:tabs>
          <w:tab w:leader="none" w:pos="2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Drawings and Reimbursements;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100" w:firstLine="443"/>
        <w:spacing w:after="0" w:line="279" w:lineRule="auto"/>
        <w:tabs>
          <w:tab w:leader="none" w:pos="653" w:val="left"/>
        </w:tabs>
        <w:numPr>
          <w:ilvl w:val="1"/>
          <w:numId w:val="84"/>
        </w:numPr>
        <w:rPr>
          <w:rFonts w:ascii="Arial" w:cs="Arial" w:eastAsia="Arial" w:hAnsi="Arial"/>
          <w:sz w:val="17"/>
          <w:szCs w:val="17"/>
          <w:color w:val="auto"/>
        </w:rPr>
      </w:pPr>
      <w:r>
        <w:rPr>
          <w:rFonts w:ascii="Arial" w:cs="Arial" w:eastAsia="Arial" w:hAnsi="Arial"/>
          <w:sz w:val="17"/>
          <w:szCs w:val="17"/>
          <w:color w:val="auto"/>
        </w:rPr>
        <w:t>Upon receipt from the beneficiary of any Letter of Credit of any notice of drawing under such Letter of Credit, the L/C Issuer shall notify the Borrower and the Administrative Agent thereof. Not later than 12:00 noon on the date of any payment by the L/C Issuer under a Letter of Credit (each such date, an “</w:t>
      </w:r>
      <w:r>
        <w:rPr>
          <w:rFonts w:ascii="Arial" w:cs="Arial" w:eastAsia="Arial" w:hAnsi="Arial"/>
          <w:sz w:val="17"/>
          <w:szCs w:val="17"/>
          <w:u w:val="single" w:color="auto"/>
          <w:color w:val="auto"/>
        </w:rPr>
        <w:t>Honor Date</w:t>
      </w:r>
      <w:r>
        <w:rPr>
          <w:rFonts w:ascii="Arial" w:cs="Arial" w:eastAsia="Arial" w:hAnsi="Arial"/>
          <w:sz w:val="17"/>
          <w:szCs w:val="17"/>
          <w:color w:val="auto"/>
        </w:rPr>
        <w:t>”), the Borrower shall reimburse the L/C Issuer through the Administrative Agent in an amount equal to the amount of such drawing. If the Borrower fails to so reimburse the L/C Issuer by such time, the Administrative</w:t>
      </w:r>
    </w:p>
    <w:p>
      <w:pPr>
        <w:spacing w:after="0" w:line="10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700" w:top="274" w:right="259" w:bottom="1440" w:gutter="0" w:footer="0" w:header="0"/>
        </w:sectPr>
      </w:pPr>
    </w:p>
    <w:bookmarkStart w:id="146" w:name="page147"/>
    <w:bookmarkEnd w:id="14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shall promptly notify each Lender of the Honor Date, the amount of the unreimbursed drawing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Lender’s Applicable Percentage thereof. In such event, the Borrower shall be deemed to have requested a Borrowing of Revolving Loans that are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unutilized portion of the Aggregate Revolving Commitments and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(other than the delivery of a Loan Notice). If the Unreimbursed Amount is paid on the Honor Date with a Revolving Loan, no Default shall be deemed to have occurred for failure of the Borrower to reimburse the L/C Issuer for such Unreimbursed Amount. Any notice given by the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58" w:lineRule="exact"/>
        <w:rPr>
          <w:sz w:val="20"/>
          <w:szCs w:val="20"/>
          <w:color w:val="auto"/>
        </w:rPr>
      </w:pPr>
    </w:p>
    <w:p>
      <w:pPr>
        <w:ind w:firstLine="443"/>
        <w:spacing w:after="0" w:line="297" w:lineRule="auto"/>
        <w:tabs>
          <w:tab w:leader="none" w:pos="703" w:val="left"/>
        </w:tabs>
        <w:numPr>
          <w:ilvl w:val="0"/>
          <w:numId w:val="85"/>
        </w:numPr>
        <w:rPr>
          <w:rFonts w:ascii="Arial" w:cs="Arial" w:eastAsia="Arial" w:hAnsi="Arial"/>
          <w:sz w:val="16"/>
          <w:szCs w:val="16"/>
          <w:color w:val="auto"/>
        </w:rPr>
      </w:pPr>
      <w:r>
        <w:rPr>
          <w:rFonts w:ascii="Arial" w:cs="Arial" w:eastAsia="Arial" w:hAnsi="Arial"/>
          <w:sz w:val="16"/>
          <w:szCs w:val="16"/>
          <w:color w:val="auto"/>
        </w:rPr>
        <w:t xml:space="preserve">Each Lender shall upon any notice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make funds available (and the Administrative Agent may apply Cash Collateral provided for this purpose) for the account of the L/C Issuer at the Administrative Agent’s Office in an amount equal to its Applicable Percentage of the Unreimbursed Amount not later than 2:00 p.m. on the Business Day specified in such notice by the Administrative Agent, whereupon, subject to the provisions of </w:t>
      </w:r>
      <w:r>
        <w:rPr>
          <w:rFonts w:ascii="Arial" w:cs="Arial" w:eastAsia="Arial" w:hAnsi="Arial"/>
          <w:sz w:val="16"/>
          <w:szCs w:val="16"/>
          <w:u w:val="single" w:color="auto"/>
          <w:color w:val="auto"/>
        </w:rPr>
        <w:t>Section 2.03(c)(iii)</w:t>
      </w:r>
      <w:r>
        <w:rPr>
          <w:rFonts w:ascii="Arial" w:cs="Arial" w:eastAsia="Arial" w:hAnsi="Arial"/>
          <w:sz w:val="16"/>
          <w:szCs w:val="16"/>
          <w:color w:val="auto"/>
        </w:rPr>
        <w:t>, each Lender that so makes funds available shall be deemed to have made a Revolving Loan that is a Base Rate Loan to the Borrower in such amount. The Administrative Agent shall remit the funds so received to the L/C Issuer.</w:t>
      </w:r>
    </w:p>
    <w:p>
      <w:pPr>
        <w:spacing w:after="0" w:line="50" w:lineRule="exact"/>
        <w:rPr>
          <w:rFonts w:ascii="Arial" w:cs="Arial" w:eastAsia="Arial" w:hAnsi="Arial"/>
          <w:sz w:val="16"/>
          <w:szCs w:val="16"/>
          <w:color w:val="auto"/>
        </w:rPr>
      </w:pPr>
    </w:p>
    <w:p>
      <w:pPr>
        <w:ind w:right="40" w:firstLine="443"/>
        <w:spacing w:after="0" w:line="273" w:lineRule="auto"/>
        <w:tabs>
          <w:tab w:leader="none" w:pos="753"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With respect to any Unreimbursed Amount that is not fully refinanced by a Borrowing of Revolving Loans that are Base Rate Loans because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right="140" w:firstLine="443"/>
        <w:spacing w:after="0" w:line="264" w:lineRule="auto"/>
        <w:tabs>
          <w:tab w:leader="none" w:pos="743"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Until each Lender funds its Revolving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L/C Issuer for any amount drawn under any Letter of Credit, interest in respect of such Lender’s Applicable Percentage of such amount shall be solely for the account of the L/C Issuer.</w:t>
      </w:r>
    </w:p>
    <w:p>
      <w:pPr>
        <w:spacing w:after="0" w:line="73" w:lineRule="exact"/>
        <w:rPr>
          <w:rFonts w:ascii="Arial" w:cs="Arial" w:eastAsia="Arial" w:hAnsi="Arial"/>
          <w:sz w:val="18"/>
          <w:szCs w:val="18"/>
          <w:color w:val="auto"/>
        </w:rPr>
      </w:pPr>
    </w:p>
    <w:p>
      <w:pPr>
        <w:ind w:firstLine="443"/>
        <w:spacing w:after="0" w:line="271" w:lineRule="auto"/>
        <w:tabs>
          <w:tab w:leader="none" w:pos="693"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Each Lender’s obligation to make Revolving Loans or L/C Advances to reimburse the L/C Issuer for amounts drawn under Letters of Credit, as contemplated by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the L/C Issuer, the Borrower, any Subsidiary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Lender’s obligation to make Revolving Loans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(other than delivery by the Borrower of a Loan Notice).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11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700" w:top="274" w:right="259" w:bottom="1440" w:gutter="0" w:footer="0" w:header="0"/>
        </w:sectPr>
      </w:pPr>
    </w:p>
    <w:bookmarkStart w:id="147" w:name="page148"/>
    <w:bookmarkEnd w:id="147"/>
    <w:p>
      <w:pPr>
        <w:ind w:left="440" w:right="60" w:firstLine="443"/>
        <w:spacing w:after="0" w:line="253" w:lineRule="auto"/>
        <w:tabs>
          <w:tab w:leader="none" w:pos="1183" w:val="left"/>
        </w:tabs>
        <w:numPr>
          <w:ilvl w:val="1"/>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 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194" w:lineRule="exact"/>
        <w:rPr>
          <w:rFonts w:ascii="Arial" w:cs="Arial" w:eastAsia="Arial" w:hAnsi="Arial"/>
          <w:sz w:val="18"/>
          <w:szCs w:val="18"/>
          <w:color w:val="auto"/>
        </w:rPr>
      </w:pPr>
    </w:p>
    <w:p>
      <w:pPr>
        <w:ind w:left="700" w:hanging="256"/>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443"/>
        <w:spacing w:after="0" w:line="257" w:lineRule="auto"/>
        <w:tabs>
          <w:tab w:leader="none" w:pos="1093"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8"/>
          <w:szCs w:val="18"/>
          <w:u w:val="single" w:color="auto"/>
          <w:color w:val="auto"/>
        </w:rPr>
        <w:t>Section 2.03(c)</w:t>
      </w:r>
      <w:r>
        <w:rPr>
          <w:rFonts w:ascii="Arial" w:cs="Arial" w:eastAsia="Arial" w:hAnsi="Arial"/>
          <w:sz w:val="18"/>
          <w:szCs w:val="18"/>
          <w:color w:val="auto"/>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in the same funds as those received by the Administrative Agent.</w:t>
      </w:r>
    </w:p>
    <w:p>
      <w:pPr>
        <w:spacing w:after="0" w:line="80" w:lineRule="exact"/>
        <w:rPr>
          <w:rFonts w:ascii="Arial" w:cs="Arial" w:eastAsia="Arial" w:hAnsi="Arial"/>
          <w:sz w:val="18"/>
          <w:szCs w:val="18"/>
          <w:color w:val="auto"/>
        </w:rPr>
      </w:pPr>
    </w:p>
    <w:p>
      <w:pPr>
        <w:ind w:left="440" w:firstLine="443"/>
        <w:spacing w:after="0" w:line="255" w:lineRule="auto"/>
        <w:tabs>
          <w:tab w:leader="none" w:pos="1143"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 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93" w:lineRule="exact"/>
        <w:rPr>
          <w:rFonts w:ascii="Arial" w:cs="Arial" w:eastAsia="Arial" w:hAnsi="Arial"/>
          <w:sz w:val="18"/>
          <w:szCs w:val="18"/>
          <w:color w:val="auto"/>
        </w:rPr>
      </w:pPr>
    </w:p>
    <w:p>
      <w:pPr>
        <w:ind w:left="-20" w:right="260" w:firstLine="464"/>
        <w:spacing w:after="0" w:line="264" w:lineRule="auto"/>
        <w:tabs>
          <w:tab w:leader="none" w:pos="681"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73" w:lineRule="exact"/>
        <w:rPr>
          <w:rFonts w:ascii="Arial" w:cs="Arial" w:eastAsia="Arial" w:hAnsi="Arial"/>
          <w:sz w:val="18"/>
          <w:szCs w:val="18"/>
          <w:color w:val="auto"/>
        </w:rPr>
      </w:pPr>
    </w:p>
    <w:p>
      <w:pPr>
        <w:ind w:left="1100" w:hanging="217"/>
        <w:spacing w:after="0"/>
        <w:tabs>
          <w:tab w:leader="none" w:pos="11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ind w:left="440" w:right="140" w:firstLine="443"/>
        <w:spacing w:after="0" w:line="259" w:lineRule="auto"/>
        <w:tabs>
          <w:tab w:leader="none" w:pos="1143"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60" w:top="274" w:right="239" w:bottom="1440" w:gutter="0" w:footer="0" w:header="0"/>
        </w:sectPr>
      </w:pPr>
    </w:p>
    <w:bookmarkStart w:id="148" w:name="page149"/>
    <w:bookmarkEnd w:id="148"/>
    <w:p>
      <w:pPr>
        <w:ind w:left="460" w:firstLine="443"/>
        <w:spacing w:after="0" w:line="264" w:lineRule="auto"/>
        <w:tabs>
          <w:tab w:leader="none" w:pos="1213"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3" w:lineRule="exact"/>
        <w:rPr>
          <w:rFonts w:ascii="Arial" w:cs="Arial" w:eastAsia="Arial" w:hAnsi="Arial"/>
          <w:sz w:val="18"/>
          <w:szCs w:val="18"/>
          <w:color w:val="auto"/>
        </w:rPr>
      </w:pPr>
    </w:p>
    <w:p>
      <w:pPr>
        <w:ind w:left="460" w:right="180" w:firstLine="443"/>
        <w:spacing w:after="0" w:line="277" w:lineRule="auto"/>
        <w:tabs>
          <w:tab w:leader="none" w:pos="12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waiver by the L/C Issuer of any requirement that exists for the L/C Issuer’s protection and not the protection of the Borrower or any waiver by the L/C Issuer which does not in fact materially prejudice the Borrower;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honor of a demand for payment presented electronically even if such Letter of Credit requires that demand be in the form of a draft;</w:t>
      </w:r>
    </w:p>
    <w:p>
      <w:pPr>
        <w:spacing w:after="0" w:line="128" w:lineRule="exact"/>
        <w:rPr>
          <w:rFonts w:ascii="Arial" w:cs="Arial" w:eastAsia="Arial" w:hAnsi="Arial"/>
          <w:sz w:val="17"/>
          <w:szCs w:val="17"/>
          <w:color w:val="auto"/>
        </w:rPr>
      </w:pPr>
    </w:p>
    <w:p>
      <w:pPr>
        <w:jc w:val="both"/>
        <w:ind w:left="460" w:right="60" w:firstLine="443"/>
        <w:spacing w:after="0" w:line="264" w:lineRule="auto"/>
        <w:tabs>
          <w:tab w:leader="none" w:pos="12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73" w:lineRule="exact"/>
        <w:rPr>
          <w:rFonts w:ascii="Arial" w:cs="Arial" w:eastAsia="Arial" w:hAnsi="Arial"/>
          <w:sz w:val="18"/>
          <w:szCs w:val="18"/>
          <w:color w:val="auto"/>
        </w:rPr>
      </w:pPr>
    </w:p>
    <w:p>
      <w:pPr>
        <w:ind w:left="460" w:right="80" w:firstLine="443"/>
        <w:spacing w:after="0" w:line="302" w:lineRule="auto"/>
        <w:tabs>
          <w:tab w:leader="none" w:pos="1253"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46" w:lineRule="exact"/>
        <w:rPr>
          <w:rFonts w:ascii="Arial" w:cs="Arial" w:eastAsia="Arial" w:hAnsi="Arial"/>
          <w:sz w:val="16"/>
          <w:szCs w:val="16"/>
          <w:color w:val="auto"/>
        </w:rPr>
      </w:pPr>
    </w:p>
    <w:p>
      <w:pPr>
        <w:ind w:left="460" w:right="420" w:firstLine="443"/>
        <w:spacing w:after="0" w:line="277" w:lineRule="auto"/>
        <w:tabs>
          <w:tab w:leader="none" w:pos="1303"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 or any Subsidiary.</w:t>
      </w:r>
    </w:p>
    <w:p>
      <w:pPr>
        <w:spacing w:after="0" w:line="170"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47" w:lineRule="exact"/>
        <w:rPr>
          <w:sz w:val="20"/>
          <w:szCs w:val="20"/>
          <w:color w:val="auto"/>
        </w:rPr>
      </w:pPr>
    </w:p>
    <w:p>
      <w:pPr>
        <w:ind w:right="20" w:firstLine="464"/>
        <w:spacing w:after="0" w:line="269" w:lineRule="auto"/>
        <w:tabs>
          <w:tab w:leader="none" w:pos="681"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Role of L/C Issuer</w:t>
      </w:r>
      <w:r>
        <w:rPr>
          <w:rFonts w:ascii="Arial" w:cs="Arial" w:eastAsia="Arial" w:hAnsi="Arial"/>
          <w:sz w:val="17"/>
          <w:szCs w:val="17"/>
          <w:color w:val="auto"/>
        </w:rPr>
        <w:t xml:space="preserve">. Each Lender and the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the Required Revolving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assumption is not intended to, and shall not, preclude the Borrower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149" w:name="page150"/>
    <w:bookmarkEnd w:id="149"/>
    <w:p>
      <w:pPr>
        <w:ind w:right="8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clauses (i) through (viii)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were caused by the L/C Issuer’s willful misconduct or gross negligence or the L/C Issuer’s willful failure to pay under any Letter of Credit after the presentation to it by the beneficiary of a sight draft 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Arial" w:cs="Arial" w:eastAsia="Arial" w:hAnsi="Arial"/>
          <w:sz w:val="16"/>
          <w:szCs w:val="16"/>
          <w:u w:val="single" w:color="auto"/>
          <w:color w:val="auto"/>
        </w:rPr>
        <w:t>SWIFT</w:t>
      </w:r>
      <w:r>
        <w:rPr>
          <w:rFonts w:ascii="Arial" w:cs="Arial" w:eastAsia="Arial" w:hAnsi="Arial"/>
          <w:sz w:val="16"/>
          <w:szCs w:val="16"/>
          <w:color w:val="auto"/>
        </w:rPr>
        <w:t>”) message or overnight courier, or any other commercially reasonable means of communicating with a beneficiary.</w:t>
      </w:r>
    </w:p>
    <w:p>
      <w:pPr>
        <w:spacing w:after="0" w:line="169" w:lineRule="exact"/>
        <w:rPr>
          <w:sz w:val="20"/>
          <w:szCs w:val="20"/>
          <w:color w:val="auto"/>
        </w:rPr>
      </w:pPr>
    </w:p>
    <w:p>
      <w:pPr>
        <w:ind w:right="360" w:firstLine="464"/>
        <w:spacing w:after="0" w:line="254" w:lineRule="auto"/>
        <w:tabs>
          <w:tab w:leader="none" w:pos="71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 Limitation of Liability</w:t>
      </w:r>
      <w:r>
        <w:rPr>
          <w:rFonts w:ascii="Arial" w:cs="Arial" w:eastAsia="Arial" w:hAnsi="Arial"/>
          <w:sz w:val="18"/>
          <w:szCs w:val="18"/>
          <w:color w:val="auto"/>
        </w:rPr>
        <w:t>. Unless otherwise expressly agreed by the L/C Issuer and the Borrower when a Letter of Credit is issued, the rules of the ISP shall apply to each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Trade—International Financial Services Association (BAFT-IFSA), or the Institute of International Banking Law &amp; Practice, whether or not any Letter of Credit chooses such Law or practice.</w:t>
      </w:r>
    </w:p>
    <w:p>
      <w:pPr>
        <w:spacing w:after="0" w:line="192" w:lineRule="exact"/>
        <w:rPr>
          <w:rFonts w:ascii="Arial" w:cs="Arial" w:eastAsia="Arial" w:hAnsi="Arial"/>
          <w:sz w:val="18"/>
          <w:szCs w:val="18"/>
          <w:color w:val="auto"/>
        </w:rPr>
      </w:pPr>
    </w:p>
    <w:p>
      <w:pPr>
        <w:ind w:firstLine="464"/>
        <w:spacing w:after="0" w:line="270" w:lineRule="auto"/>
        <w:tabs>
          <w:tab w:leader="none" w:pos="711"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xml:space="preserve">. The Borrower shall pay to the Administrative Agent for the account of each Lender in accordance, subject to </w:t>
      </w:r>
      <w:r>
        <w:rPr>
          <w:rFonts w:ascii="Arial" w:cs="Arial" w:eastAsia="Arial" w:hAnsi="Arial"/>
          <w:sz w:val="17"/>
          <w:szCs w:val="17"/>
          <w:u w:val="single" w:color="auto"/>
          <w:color w:val="auto"/>
        </w:rPr>
        <w:t>Section 2.15</w:t>
      </w:r>
      <w:r>
        <w:rPr>
          <w:rFonts w:ascii="Arial" w:cs="Arial" w:eastAsia="Arial" w:hAnsi="Arial"/>
          <w:sz w:val="17"/>
          <w:szCs w:val="17"/>
          <w:color w:val="auto"/>
        </w:rPr>
        <w:t>, with its Applicable Percentage a Letter of Credit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for each Letter of Credit equal to the Applicable Rate for Revolving Loans that are Eurodollar Rate Loans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Letter of Credit Fees shall be (i) due and payable on the first Business Day after the end of each March, June, September and December, commencing with the first such date to occur after the issuance of such Letter of Credit, on the Maturity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or at any time the Default Rate is in effect, all Letter of Credit Fees shall accrue at the Default Rate.</w:t>
      </w:r>
    </w:p>
    <w:p>
      <w:pPr>
        <w:spacing w:after="0" w:line="177" w:lineRule="exact"/>
        <w:rPr>
          <w:rFonts w:ascii="Arial" w:cs="Arial" w:eastAsia="Arial" w:hAnsi="Arial"/>
          <w:sz w:val="17"/>
          <w:szCs w:val="17"/>
          <w:color w:val="auto"/>
        </w:rPr>
      </w:pPr>
    </w:p>
    <w:p>
      <w:pPr>
        <w:ind w:right="60" w:firstLine="464"/>
        <w:spacing w:after="0" w:line="255" w:lineRule="auto"/>
        <w:tabs>
          <w:tab w:leader="none" w:pos="67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L/C Issuer</w:t>
      </w:r>
      <w:r>
        <w:rPr>
          <w:rFonts w:ascii="Arial" w:cs="Arial" w:eastAsia="Arial" w:hAnsi="Arial"/>
          <w:sz w:val="18"/>
          <w:szCs w:val="18"/>
          <w:color w:val="auto"/>
        </w:rPr>
        <w:t>. The Borrower shall pay directly to the L/C Issuer for its own account a fronting fee with respect to each Letter of Credit, at the rate per annum specified in the Fee Letter,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150" w:name="page151"/>
    <w:bookmarkEnd w:id="150"/>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Letter of Credit, the amount of such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187" w:lineRule="exact"/>
        <w:rPr>
          <w:sz w:val="20"/>
          <w:szCs w:val="20"/>
          <w:color w:val="auto"/>
        </w:rPr>
      </w:pPr>
    </w:p>
    <w:p>
      <w:pPr>
        <w:ind w:left="680" w:hanging="216"/>
        <w:spacing w:after="0"/>
        <w:tabs>
          <w:tab w:leader="none" w:pos="68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Conflict with Issuer Documents</w:t>
      </w:r>
      <w:r>
        <w:rPr>
          <w:rFonts w:ascii="Arial" w:cs="Arial" w:eastAsia="Arial" w:hAnsi="Arial"/>
          <w:sz w:val="16"/>
          <w:szCs w:val="16"/>
          <w:color w:val="auto"/>
        </w:rPr>
        <w:t>. In the event of any conflict between the terms hereof and the terms of any Issuer Document, the terms hereof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control.</w:t>
      </w:r>
    </w:p>
    <w:p>
      <w:pPr>
        <w:spacing w:after="0" w:line="210" w:lineRule="exact"/>
        <w:rPr>
          <w:rFonts w:ascii="Arial" w:cs="Arial" w:eastAsia="Arial" w:hAnsi="Arial"/>
          <w:sz w:val="16"/>
          <w:szCs w:val="16"/>
          <w:color w:val="auto"/>
        </w:rPr>
      </w:pPr>
    </w:p>
    <w:p>
      <w:pPr>
        <w:ind w:firstLine="464"/>
        <w:spacing w:after="0" w:line="259" w:lineRule="auto"/>
        <w:tabs>
          <w:tab w:leader="none" w:pos="71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Letters of Credit Issued for Subsidiaries</w:t>
      </w:r>
      <w:r>
        <w:rPr>
          <w:rFonts w:ascii="Arial" w:cs="Arial" w:eastAsia="Arial" w:hAnsi="Arial"/>
          <w:sz w:val="18"/>
          <w:szCs w:val="18"/>
          <w:color w:val="auto"/>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2.04 </w:t>
      </w:r>
      <w:r>
        <w:rPr>
          <w:rFonts w:ascii="Arial" w:cs="Arial" w:eastAsia="Arial" w:hAnsi="Arial"/>
          <w:sz w:val="18"/>
          <w:szCs w:val="18"/>
          <w:u w:val="single" w:color="auto"/>
          <w:color w:val="auto"/>
        </w:rPr>
        <w:t>Swing Line Loans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6" w:lineRule="auto"/>
        <w:tabs>
          <w:tab w:leader="none" w:pos="701"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Swing Line Facility</w:t>
      </w:r>
      <w:r>
        <w:rPr>
          <w:rFonts w:ascii="Arial" w:cs="Arial" w:eastAsia="Arial" w:hAnsi="Arial"/>
          <w:sz w:val="16"/>
          <w:szCs w:val="16"/>
          <w:color w:val="auto"/>
        </w:rPr>
        <w:t xml:space="preserve">. Subject to the terms and conditions set forth herein, the Swing Line Lender, in reliance upon the agreements of the other Lenders set forth in this </w:t>
      </w:r>
      <w:r>
        <w:rPr>
          <w:rFonts w:ascii="Arial" w:cs="Arial" w:eastAsia="Arial" w:hAnsi="Arial"/>
          <w:sz w:val="16"/>
          <w:szCs w:val="16"/>
          <w:u w:val="single" w:color="auto"/>
          <w:color w:val="auto"/>
        </w:rPr>
        <w:t>Section 2.04</w:t>
      </w:r>
      <w:r>
        <w:rPr>
          <w:rFonts w:ascii="Arial" w:cs="Arial" w:eastAsia="Arial" w:hAnsi="Arial"/>
          <w:sz w:val="16"/>
          <w:szCs w:val="16"/>
          <w:color w:val="auto"/>
        </w:rPr>
        <w:t>, may in its sole discretion make loans (each such loan, a “</w:t>
      </w:r>
      <w:r>
        <w:rPr>
          <w:rFonts w:ascii="Arial" w:cs="Arial" w:eastAsia="Arial" w:hAnsi="Arial"/>
          <w:sz w:val="16"/>
          <w:szCs w:val="16"/>
          <w:u w:val="single" w:color="auto"/>
          <w:color w:val="auto"/>
        </w:rPr>
        <w:t>Swing Line Loan</w:t>
      </w:r>
      <w:r>
        <w:rPr>
          <w:rFonts w:ascii="Arial" w:cs="Arial" w:eastAsia="Arial" w:hAnsi="Arial"/>
          <w:sz w:val="16"/>
          <w:szCs w:val="16"/>
          <w:color w:val="auto"/>
        </w:rPr>
        <w:t xml:space="preserve">”) to the Borrower in Dollars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Revolving Loans and L/C Obligations of the Lender acting as Swing Line Lender, may exceed the amount of such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after giving effect to any Swing Line Loan, (A) the Total Revolving Outstandings shall not exceed the Aggregate Revolving Commitments and (B) the Revolving Credit Exposure of any Lender shall not exceed such Lender’s Revolving Commitment, (ii) the Borrower shall not use the proceeds of any Swing Line Loan to refinance any outstanding Swing Line Loan and (iii)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174" w:lineRule="exact"/>
        <w:rPr>
          <w:rFonts w:ascii="Arial" w:cs="Arial" w:eastAsia="Arial" w:hAnsi="Arial"/>
          <w:sz w:val="16"/>
          <w:szCs w:val="16"/>
          <w:color w:val="auto"/>
        </w:rPr>
      </w:pPr>
    </w:p>
    <w:p>
      <w:pPr>
        <w:ind w:right="100" w:firstLine="464"/>
        <w:spacing w:after="0" w:line="290" w:lineRule="auto"/>
        <w:tabs>
          <w:tab w:leader="none" w:pos="711"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Each Borrowing of Swing Line Loans shall be made upon the Borrower’s irrevocable notice to the Swing Line Lender and the Administrative Agent, which may be given by telephone. Each such notice must be received by the Swing Line Lender and the Administrative Agent not later than 12:00 noon on the requested borrowing date, and shall specify (i) the amount to be borrowed, which shall be a minimum principal amount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Borrower.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151" w:name="page152"/>
    <w:bookmarkEnd w:id="151"/>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notice (by telephone or in writing) from the Administrative Agent (including at the request of any Lender) prior to 1:00 p.m. on the date of the proposed Borrowing of Swing Line Loans (A) directing the Swing Line Lender not to make such Swing Line Loan as a result of the limitations set forth in the first proviso to the first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is not then satisfied, then, subject to the terms and conditions hereof, the Swing Line Lender will, not later than 2:00 p.m. on the borrowing date specified in such Swing Line Loan Notice, make the amount of its Swing Line Loan available to the Borrower.</w:t>
      </w:r>
    </w:p>
    <w:p>
      <w:pPr>
        <w:spacing w:after="0" w:line="188" w:lineRule="exact"/>
        <w:rPr>
          <w:sz w:val="20"/>
          <w:szCs w:val="20"/>
          <w:color w:val="auto"/>
        </w:rPr>
      </w:pPr>
    </w:p>
    <w:p>
      <w:pPr>
        <w:ind w:left="700" w:hanging="236"/>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43"/>
        <w:spacing w:after="0" w:line="269" w:lineRule="auto"/>
        <w:tabs>
          <w:tab w:leader="none" w:pos="1113" w:val="left"/>
        </w:tabs>
        <w:numPr>
          <w:ilvl w:val="1"/>
          <w:numId w:val="93"/>
        </w:numPr>
        <w:rPr>
          <w:rFonts w:ascii="Arial" w:cs="Arial" w:eastAsia="Arial" w:hAnsi="Arial"/>
          <w:sz w:val="17"/>
          <w:szCs w:val="17"/>
          <w:color w:val="auto"/>
        </w:rPr>
      </w:pPr>
      <w:r>
        <w:rPr>
          <w:rFonts w:ascii="Arial" w:cs="Arial" w:eastAsia="Arial" w:hAnsi="Arial"/>
          <w:sz w:val="17"/>
          <w:szCs w:val="17"/>
          <w:color w:val="auto"/>
        </w:rPr>
        <w:t xml:space="preserve">The Swing Line Lender at any time in its sole discretion may request, on behalf of the Borrower (which hereby irrevocably authorizes the Swing Line Lender to so request on its behalf), that each Lender make a Revolving Loan that is a Base Rate Loan in an amount equal to such Lender’s Applicable Percentage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The Swing Line Lender shall furnish the Borrower with a copy of the applicable Loan Notice promptly after delivering such notice to the Administrative Agent. Each Lender shall make an amount equal to its Applicable Percentage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2:00 p.m. on the day specified in such Loan Notice, whereupon, subject to </w:t>
      </w:r>
      <w:r>
        <w:rPr>
          <w:rFonts w:ascii="Arial" w:cs="Arial" w:eastAsia="Arial" w:hAnsi="Arial"/>
          <w:sz w:val="17"/>
          <w:szCs w:val="17"/>
          <w:u w:val="single" w:color="auto"/>
          <w:color w:val="auto"/>
        </w:rPr>
        <w:t>Section 2.04(c)(ii)</w:t>
      </w:r>
      <w:r>
        <w:rPr>
          <w:rFonts w:ascii="Arial" w:cs="Arial" w:eastAsia="Arial" w:hAnsi="Arial"/>
          <w:sz w:val="17"/>
          <w:szCs w:val="17"/>
          <w:color w:val="auto"/>
        </w:rPr>
        <w:t>, each Lender that so makes funds available shall be deemed to have made a Revolving Loan that is a Base Rate Loan to the Borrower in such amount. The Administrative Agent shall remit the funds so received to the Swing Line Lender.</w:t>
      </w:r>
    </w:p>
    <w:p>
      <w:pPr>
        <w:spacing w:after="0" w:line="71" w:lineRule="exact"/>
        <w:rPr>
          <w:rFonts w:ascii="Arial" w:cs="Arial" w:eastAsia="Arial" w:hAnsi="Arial"/>
          <w:sz w:val="17"/>
          <w:szCs w:val="17"/>
          <w:color w:val="auto"/>
        </w:rPr>
      </w:pPr>
    </w:p>
    <w:p>
      <w:pPr>
        <w:ind w:left="460" w:firstLine="443"/>
        <w:spacing w:after="0" w:line="302" w:lineRule="auto"/>
        <w:tabs>
          <w:tab w:leader="none" w:pos="1163"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Borrowing of Revolving Loans in accordance with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the request for Revolving Loans that are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6"/>
          <w:szCs w:val="16"/>
          <w:u w:val="single" w:color="auto"/>
          <w:color w:val="auto"/>
        </w:rPr>
        <w:t>Section 2.04(c)(i)</w:t>
      </w:r>
      <w:r>
        <w:rPr>
          <w:rFonts w:ascii="Arial" w:cs="Arial" w:eastAsia="Arial" w:hAnsi="Arial"/>
          <w:sz w:val="16"/>
          <w:szCs w:val="16"/>
          <w:color w:val="auto"/>
        </w:rPr>
        <w:t xml:space="preserve"> shall be deemed payment in respect of such participation.</w:t>
      </w:r>
    </w:p>
    <w:p>
      <w:pPr>
        <w:spacing w:after="0" w:line="46" w:lineRule="exact"/>
        <w:rPr>
          <w:rFonts w:ascii="Arial" w:cs="Arial" w:eastAsia="Arial" w:hAnsi="Arial"/>
          <w:sz w:val="16"/>
          <w:szCs w:val="16"/>
          <w:color w:val="auto"/>
        </w:rPr>
      </w:pPr>
    </w:p>
    <w:p>
      <w:pPr>
        <w:ind w:left="460" w:right="140" w:firstLine="443"/>
        <w:spacing w:after="0" w:line="289" w:lineRule="auto"/>
        <w:tabs>
          <w:tab w:leader="none" w:pos="1213"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2.04(c)(i)</w:t>
      </w:r>
      <w:r>
        <w:rPr>
          <w:rFonts w:ascii="Arial" w:cs="Arial" w:eastAsia="Arial" w:hAnsi="Arial"/>
          <w:sz w:val="16"/>
          <w:szCs w:val="16"/>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152" w:name="page153"/>
    <w:bookmarkEnd w:id="152"/>
    <w:p>
      <w:pPr>
        <w:ind w:left="440" w:firstLine="443"/>
        <w:spacing w:after="0" w:line="255" w:lineRule="auto"/>
        <w:tabs>
          <w:tab w:leader="none" w:pos="1183" w:val="left"/>
        </w:tabs>
        <w:numPr>
          <w:ilvl w:val="1"/>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Each Lender’s obligation to make Revolving Loans or to purchase and fund risk participations in Swing 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that such Lender may have against the Swing Line Lender, the Borrower, any Subsidiary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Revolving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No such funding of risk participations shall relieve or otherwise impair the obligation of the Borrower to repay Swing Line Loans, together with interest as provided herein.</w:t>
      </w:r>
    </w:p>
    <w:p>
      <w:pPr>
        <w:spacing w:after="0" w:line="189" w:lineRule="exact"/>
        <w:rPr>
          <w:rFonts w:ascii="Arial" w:cs="Arial" w:eastAsia="Arial" w:hAnsi="Arial"/>
          <w:sz w:val="18"/>
          <w:szCs w:val="18"/>
          <w:color w:val="auto"/>
        </w:rPr>
      </w:pPr>
    </w:p>
    <w:p>
      <w:pPr>
        <w:ind w:left="700" w:hanging="256"/>
        <w:spacing w:after="0"/>
        <w:tabs>
          <w:tab w:leader="none" w:pos="70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right="420" w:firstLine="443"/>
        <w:spacing w:after="0" w:line="264" w:lineRule="auto"/>
        <w:tabs>
          <w:tab w:leader="none" w:pos="1093" w:val="left"/>
        </w:tabs>
        <w:numPr>
          <w:ilvl w:val="1"/>
          <w:numId w:val="95"/>
        </w:numPr>
        <w:rPr>
          <w:rFonts w:ascii="Arial" w:cs="Arial" w:eastAsia="Arial" w:hAnsi="Arial"/>
          <w:sz w:val="18"/>
          <w:szCs w:val="18"/>
          <w:color w:val="auto"/>
        </w:rPr>
      </w:pPr>
      <w:r>
        <w:rPr>
          <w:rFonts w:ascii="Arial" w:cs="Arial" w:eastAsia="Arial" w:hAnsi="Arial"/>
          <w:sz w:val="18"/>
          <w:szCs w:val="18"/>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spacing w:after="0" w:line="73" w:lineRule="exact"/>
        <w:rPr>
          <w:rFonts w:ascii="Arial" w:cs="Arial" w:eastAsia="Arial" w:hAnsi="Arial"/>
          <w:sz w:val="18"/>
          <w:szCs w:val="18"/>
          <w:color w:val="auto"/>
        </w:rPr>
      </w:pPr>
    </w:p>
    <w:p>
      <w:pPr>
        <w:ind w:left="440" w:firstLine="443"/>
        <w:spacing w:after="0" w:line="273" w:lineRule="auto"/>
        <w:tabs>
          <w:tab w:leader="none" w:pos="1143"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178" w:lineRule="exact"/>
        <w:rPr>
          <w:rFonts w:ascii="Arial" w:cs="Arial" w:eastAsia="Arial" w:hAnsi="Arial"/>
          <w:sz w:val="17"/>
          <w:szCs w:val="17"/>
          <w:color w:val="auto"/>
        </w:rPr>
      </w:pPr>
    </w:p>
    <w:p>
      <w:pPr>
        <w:ind w:left="-20" w:right="180" w:firstLine="464"/>
        <w:spacing w:after="0" w:line="312" w:lineRule="auto"/>
        <w:tabs>
          <w:tab w:leader="none" w:pos="68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Interest for Account of Swing Line Lender</w:t>
      </w:r>
      <w:r>
        <w:rPr>
          <w:rFonts w:ascii="Arial" w:cs="Arial" w:eastAsia="Arial" w:hAnsi="Arial"/>
          <w:sz w:val="16"/>
          <w:szCs w:val="16"/>
          <w:color w:val="auto"/>
        </w:rPr>
        <w:t xml:space="preserve">. The Swing Line Lender shall be responsible for invoicing the Borrower for interest on the Swing Line Loans. Until each Lender funds its Revolving Loans that are Base Rate Loans or risk participation pursuant to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to refinance such Lender’s Applicable Percentage of any Swing Line Loan, interest in respect of such Applicable Percentage shall be solely for the account of the Swing Line Lender.</w:t>
      </w:r>
    </w:p>
    <w:p>
      <w:pPr>
        <w:spacing w:after="0" w:line="146" w:lineRule="exact"/>
        <w:rPr>
          <w:rFonts w:ascii="Arial" w:cs="Arial" w:eastAsia="Arial" w:hAnsi="Arial"/>
          <w:sz w:val="16"/>
          <w:szCs w:val="16"/>
          <w:color w:val="auto"/>
        </w:rPr>
      </w:pPr>
    </w:p>
    <w:p>
      <w:pPr>
        <w:ind w:left="-20" w:right="560" w:firstLine="464"/>
        <w:spacing w:after="0" w:line="277" w:lineRule="auto"/>
        <w:tabs>
          <w:tab w:leader="none" w:pos="66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Borrower shall make all payments of principal and interest in respect of the Swing Line Loans directly to the Swing Line Lender.</w:t>
      </w:r>
    </w:p>
    <w:p>
      <w:pPr>
        <w:spacing w:after="0" w:line="170" w:lineRule="exact"/>
        <w:rPr>
          <w:rFonts w:ascii="Arial" w:cs="Arial" w:eastAsia="Arial" w:hAnsi="Arial"/>
          <w:sz w:val="18"/>
          <w:szCs w:val="18"/>
          <w:color w:val="auto"/>
        </w:rPr>
      </w:pPr>
    </w:p>
    <w:p>
      <w:pPr>
        <w:ind w:left="-20" w:right="20" w:firstLine="464"/>
        <w:spacing w:after="0" w:line="290" w:lineRule="auto"/>
        <w:tabs>
          <w:tab w:leader="none" w:pos="69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Auto Borrow Arrangement</w:t>
      </w:r>
      <w:r>
        <w:rPr>
          <w:rFonts w:ascii="Arial" w:cs="Arial" w:eastAsia="Arial" w:hAnsi="Arial"/>
          <w:sz w:val="16"/>
          <w:szCs w:val="16"/>
          <w:color w:val="auto"/>
        </w:rPr>
        <w:t>. In order to facilitate the borrowing of Swing Line Loans, the Borrower and the Swing Line Lender may mutually agree to, and are hereby authorized to, enter into an auto borrow agreement in form and substance reasonably satisfactory to the Swing Line Lender and the Administrative Agent (the “</w:t>
      </w:r>
      <w:r>
        <w:rPr>
          <w:rFonts w:ascii="Arial" w:cs="Arial" w:eastAsia="Arial" w:hAnsi="Arial"/>
          <w:sz w:val="16"/>
          <w:szCs w:val="16"/>
          <w:u w:val="single" w:color="auto"/>
          <w:color w:val="auto"/>
        </w:rPr>
        <w:t>Auto Borrow Agreement</w:t>
      </w:r>
      <w:r>
        <w:rPr>
          <w:rFonts w:ascii="Arial" w:cs="Arial" w:eastAsia="Arial" w:hAnsi="Arial"/>
          <w:sz w:val="16"/>
          <w:szCs w:val="16"/>
          <w:color w:val="auto"/>
        </w:rPr>
        <w:t>”) providing for the automatic advance by the Swing Line Lender of Swing Line Loans under the conditions set forth in the Auto Borrow Agreement, subject to the conditions set forth herein. At any time an Auto Borrow Agreement is in effect, advances under the Auto Borrow Agreement shall be deemed Swing Line Loans for all purposes hereof, except that Borrowings of Swing Line Loans under the Auto Borrow Agreement shall be made in accordance with the Auto Borrow Agreement. For purposes of determining the Total Revolving Outstandings at any time during which an Auto Borrow Agreement is in effect, the Outstanding Amount of all Swing Line Loans shall be deemed to be the sum of the Outstanding Amount of Swing Line Loans at such time plus the maximum amount available to be borrowed under such Auto Borrow Agreement at such time.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60" w:top="274"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2.05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Voluntary Prepayments of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86" w:lineRule="auto"/>
        <w:tabs>
          <w:tab w:leader="none" w:pos="1113"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Revolving Loans and Term Loan</w:t>
      </w:r>
      <w:r>
        <w:rPr>
          <w:rFonts w:ascii="Arial" w:cs="Arial" w:eastAsia="Arial" w:hAnsi="Arial"/>
          <w:sz w:val="16"/>
          <w:szCs w:val="16"/>
          <w:color w:val="auto"/>
        </w:rPr>
        <w:t xml:space="preserve">. The Borrower may, upon notice to the Administrative Agent from the Borrower pursuant to delivery to the Administrative Agent of a Notice of Loan Prepayment, at any time or from time to time voluntarily prepay Revolving Loans and the Term Loan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in a form reasonably acceptable to the Administrative Agent and be received by the Administrative Agent not later than 12:00 noon (1) three Business Days prior to any date of prepayment of Eurodollar Rate Loans and</w:t>
      </w:r>
    </w:p>
    <w:p>
      <w:pPr>
        <w:spacing w:after="0" w:line="1" w:lineRule="exact"/>
        <w:rPr>
          <w:rFonts w:ascii="Arial" w:cs="Arial" w:eastAsia="Arial" w:hAnsi="Arial"/>
          <w:sz w:val="16"/>
          <w:szCs w:val="16"/>
          <w:color w:val="auto"/>
        </w:rPr>
      </w:pPr>
    </w:p>
    <w:p>
      <w:pPr>
        <w:ind w:left="460" w:right="2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(2) on the date of prepayment of Base Rate Loans; (B) any such prepayment of Eurodollar Rate Loans shall be in a principal amount of $5,000,000 or a whole multiple of $1,000,000 in excess thereof (or, if less, the entire principal amount thereof then outstanding); (C) any prepayment of Base Rate Loans shall be in a principal amount of $500,000 or a whole multiple of $100,000 in excess thereof (or, if less, the entire principal amount thereof then outstanding); and (D) any prepayment of the Term Loan shall be applied to the remaining principal amortization payments in inverse order of maturity. Each such notice shall specify the date and amount of such prepayment and the Type(s) of Loans to be prepaid and, if Eurodollar Rate Loans are to be prepaid, the Interest Period(s) of such Loans. The 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2.15</w:t>
      </w:r>
      <w:r>
        <w:rPr>
          <w:rFonts w:ascii="Arial" w:cs="Arial" w:eastAsia="Arial" w:hAnsi="Arial"/>
          <w:sz w:val="16"/>
          <w:szCs w:val="16"/>
          <w:color w:val="auto"/>
        </w:rPr>
        <w:t>, each such prepayment shall be applied to the Loans of the Lenders in accordance with their respective Applicable Percentages.</w:t>
      </w:r>
    </w:p>
    <w:p>
      <w:pPr>
        <w:spacing w:after="0" w:line="62" w:lineRule="exact"/>
        <w:rPr>
          <w:rFonts w:ascii="Arial" w:cs="Arial" w:eastAsia="Arial" w:hAnsi="Arial"/>
          <w:sz w:val="16"/>
          <w:szCs w:val="16"/>
          <w:color w:val="auto"/>
        </w:rPr>
      </w:pPr>
    </w:p>
    <w:p>
      <w:pPr>
        <w:ind w:left="460" w:right="20" w:firstLine="443"/>
        <w:spacing w:after="0" w:line="293" w:lineRule="auto"/>
        <w:tabs>
          <w:tab w:leader="none" w:pos="1163" w:val="left"/>
        </w:tabs>
        <w:numPr>
          <w:ilvl w:val="1"/>
          <w:numId w:val="96"/>
        </w:numPr>
        <w:rPr>
          <w:rFonts w:ascii="Arial" w:cs="Arial" w:eastAsia="Arial" w:hAnsi="Arial"/>
          <w:sz w:val="16"/>
          <w:szCs w:val="16"/>
          <w:color w:val="auto"/>
        </w:rPr>
      </w:pPr>
      <w:r>
        <w:rPr>
          <w:rFonts w:ascii="Arial" w:cs="Arial" w:eastAsia="Arial" w:hAnsi="Arial"/>
          <w:sz w:val="16"/>
          <w:szCs w:val="16"/>
          <w:u w:val="single" w:color="auto"/>
          <w:color w:val="auto"/>
        </w:rPr>
        <w:t>Swing Line Loans</w:t>
      </w:r>
      <w:r>
        <w:rPr>
          <w:rFonts w:ascii="Arial" w:cs="Arial" w:eastAsia="Arial" w:hAnsi="Arial"/>
          <w:sz w:val="16"/>
          <w:szCs w:val="16"/>
          <w:color w:val="auto"/>
        </w:rPr>
        <w:t xml:space="preserve">. The Borrower may, upon notice to the Swing Line Lender pursuant to delivery to the Swingline Lender of a Notice of Loan Prepayment (with a copy to the Administrative Agent), at any time or from time to time, voluntarily prepay Swing Line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notice must be received by the Swing Line Lender and the Administrative Agent not later than 12:00 noon on the date of the prepayment, and (ii) any such prepayment shall be in a minimum principal amount of $100,000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64" w:lineRule="exact"/>
        <w:rPr>
          <w:rFonts w:ascii="Arial" w:cs="Arial" w:eastAsia="Arial" w:hAnsi="Arial"/>
          <w:sz w:val="16"/>
          <w:szCs w:val="16"/>
          <w:color w:val="auto"/>
        </w:rPr>
      </w:pPr>
    </w:p>
    <w:p>
      <w:pPr>
        <w:ind w:left="720" w:hanging="256"/>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Mandatory Prepayments of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43"/>
        <w:spacing w:after="0" w:line="257" w:lineRule="auto"/>
        <w:tabs>
          <w:tab w:leader="none" w:pos="1113"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Revolving Commitments</w:t>
      </w:r>
      <w:r>
        <w:rPr>
          <w:rFonts w:ascii="Arial" w:cs="Arial" w:eastAsia="Arial" w:hAnsi="Arial"/>
          <w:sz w:val="18"/>
          <w:szCs w:val="18"/>
          <w:color w:val="auto"/>
        </w:rPr>
        <w:t xml:space="preserve">. If for any reason the Total Revolving Outstandings at any time exceed the Aggregate Revolving Commitments then in effect, the Borrower shall immediately prepay Revolving Loans and/or Swing Line Loans and/or Cash Collateralize the L/C Obligations in an aggregate amount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shall not be required to Cash Collateralize the L/C Obligations pursuant to this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unless after the prepayment in full of the Revolving Loans and Swing Line Loans the Total Revolving Outstandings exceed the Aggregate Revolving Commitments then in effect.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154" w:name="page155"/>
    <w:bookmarkEnd w:id="154"/>
    <w:p>
      <w:pPr>
        <w:ind w:left="460" w:firstLine="443"/>
        <w:spacing w:after="0" w:line="286" w:lineRule="auto"/>
        <w:tabs>
          <w:tab w:leader="none" w:pos="1163"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Dispositions and Recovery Events</w:t>
      </w:r>
      <w:r>
        <w:rPr>
          <w:rFonts w:ascii="Arial" w:cs="Arial" w:eastAsia="Arial" w:hAnsi="Arial"/>
          <w:sz w:val="16"/>
          <w:szCs w:val="16"/>
          <w:color w:val="auto"/>
        </w:rPr>
        <w:t xml:space="preserve">. The Borrower shall prepay the Term Loan as hereafter provided in an aggregate amount equal to 100% of the Net Cash Proceeds of any Disposition (other than a Disposition of Excluded Fixed Assets) or Recovery Event (other than a Recovery Event with respect to Excluded Fixed Assets) that are not, within 365 days following receipt of such Net Cash Proceeds, committed to be reinvested pursuant to a legally binding commitment and, within 545 days following receipt of such Net Cash Proceeds, actually reinvested, in each case in property that is useful to the business of the Borrower and its Subsidiaries, which investment may include, in the case of a Recovery Event, the repair, restoration or replacement of the applicable property (it being understood that the Borrower shall prepay the Term Loan as hereafter provided in an amount equal to the amount of any Net Cash Proceeds not so committed to be reinvested during such 365 day period or actually reinvested during such 545 day period immediately upon the expiration of the applicable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aggregate amount of all such Net Cash Proceeds that may be reinvested in property other than Eligible Property is $5 million in any fiscal year and $10 million during the term of this Agreement and (B) if the aggregate amount of Net Cash Proceeds of all such Recovery Events received by the Borrower or any Subsidiary in any fiscal year exceeds the Threshold Amount, then the Borrower shall (1) deposit such excess amount of Net Cash Proceeds in a deposit account maintained with the Administrative Agent, (2) withdraw funds from such deposit account only to reinvest such Net Cash Proceeds in applicable property and (3) cause such deposit account to be subject at all times to first priority, perfected Liens in favor of the Administrative Agent, for the benefit of the holders of the Obligations, to secure the Obligations pursuant to documentation in form and substance satisfactory to the Administrative Agent.</w:t>
      </w:r>
    </w:p>
    <w:p>
      <w:pPr>
        <w:spacing w:after="0" w:line="63" w:lineRule="exact"/>
        <w:rPr>
          <w:rFonts w:ascii="Arial" w:cs="Arial" w:eastAsia="Arial" w:hAnsi="Arial"/>
          <w:sz w:val="16"/>
          <w:szCs w:val="16"/>
          <w:color w:val="auto"/>
        </w:rPr>
      </w:pPr>
    </w:p>
    <w:p>
      <w:pPr>
        <w:ind w:left="460" w:right="440" w:firstLine="443"/>
        <w:spacing w:after="0" w:line="342" w:lineRule="auto"/>
        <w:tabs>
          <w:tab w:leader="none" w:pos="1213"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Debt Issuances</w:t>
      </w:r>
      <w:r>
        <w:rPr>
          <w:rFonts w:ascii="Arial" w:cs="Arial" w:eastAsia="Arial" w:hAnsi="Arial"/>
          <w:sz w:val="16"/>
          <w:szCs w:val="16"/>
          <w:color w:val="auto"/>
        </w:rPr>
        <w:t>. Within three (3) Business Days of the receipt by the Borrower or any Subsidiary of the Net Cash Proceeds of any Debt Issuance, the Borrower shall prepay the Term Loan as hereafter provided in an aggregate amount equal to 100% of such Net Cash Proceeds.</w:t>
      </w:r>
    </w:p>
    <w:p>
      <w:pPr>
        <w:spacing w:after="0" w:line="15" w:lineRule="exact"/>
        <w:rPr>
          <w:rFonts w:ascii="Arial" w:cs="Arial" w:eastAsia="Arial" w:hAnsi="Arial"/>
          <w:sz w:val="16"/>
          <w:szCs w:val="16"/>
          <w:color w:val="auto"/>
        </w:rPr>
      </w:pPr>
    </w:p>
    <w:p>
      <w:pPr>
        <w:ind w:left="1200" w:hanging="297"/>
        <w:spacing w:after="0"/>
        <w:tabs>
          <w:tab w:leader="none" w:pos="1200" w:val="left"/>
        </w:tabs>
        <w:numPr>
          <w:ilvl w:val="0"/>
          <w:numId w:val="97"/>
        </w:numPr>
        <w:rPr>
          <w:rFonts w:ascii="Arial" w:cs="Arial" w:eastAsia="Arial" w:hAnsi="Arial"/>
          <w:sz w:val="17"/>
          <w:szCs w:val="17"/>
          <w:color w:val="auto"/>
        </w:rPr>
      </w:pPr>
      <w:r>
        <w:rPr>
          <w:rFonts w:ascii="Arial" w:cs="Arial" w:eastAsia="Arial" w:hAnsi="Arial"/>
          <w:sz w:val="17"/>
          <w:szCs w:val="17"/>
          <w:u w:val="single" w:color="auto"/>
          <w:color w:val="auto"/>
        </w:rPr>
        <w:t>Application of Mandatory Prepayments</w:t>
      </w:r>
      <w:r>
        <w:rPr>
          <w:rFonts w:ascii="Arial" w:cs="Arial" w:eastAsia="Arial" w:hAnsi="Arial"/>
          <w:sz w:val="17"/>
          <w:szCs w:val="17"/>
          <w:color w:val="auto"/>
        </w:rPr>
        <w:t xml:space="preserve">. All amounts required to be paid pursuant to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shall be applied as follows:</w:t>
      </w:r>
    </w:p>
    <w:p>
      <w:pPr>
        <w:spacing w:after="0" w:line="128" w:lineRule="exact"/>
        <w:rPr>
          <w:rFonts w:ascii="Arial" w:cs="Arial" w:eastAsia="Arial" w:hAnsi="Arial"/>
          <w:sz w:val="17"/>
          <w:szCs w:val="17"/>
          <w:color w:val="auto"/>
        </w:rPr>
      </w:pPr>
    </w:p>
    <w:p>
      <w:pPr>
        <w:ind w:left="920" w:right="420" w:firstLine="421"/>
        <w:spacing w:after="0" w:line="277" w:lineRule="auto"/>
        <w:tabs>
          <w:tab w:leader="none" w:pos="1635"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with respect to all amounts prepaid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ratably to the L/C Borrowings and the Swing Line Loans,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outstanding Revolving Loans, and, </w:t>
      </w:r>
      <w:r>
        <w:rPr>
          <w:rFonts w:ascii="Arial" w:cs="Arial" w:eastAsia="Arial" w:hAnsi="Arial"/>
          <w:sz w:val="18"/>
          <w:szCs w:val="18"/>
          <w:u w:val="single" w:color="auto"/>
          <w:color w:val="auto"/>
        </w:rPr>
        <w:t>third</w:t>
      </w:r>
      <w:r>
        <w:rPr>
          <w:rFonts w:ascii="Arial" w:cs="Arial" w:eastAsia="Arial" w:hAnsi="Arial"/>
          <w:sz w:val="18"/>
          <w:szCs w:val="18"/>
          <w:color w:val="auto"/>
        </w:rPr>
        <w:t>, to Cash Collateralize the remaining L/C Obligations; and</w:t>
      </w:r>
    </w:p>
    <w:p>
      <w:pPr>
        <w:spacing w:after="0" w:line="62" w:lineRule="exact"/>
        <w:rPr>
          <w:rFonts w:ascii="Arial" w:cs="Arial" w:eastAsia="Arial" w:hAnsi="Arial"/>
          <w:sz w:val="18"/>
          <w:szCs w:val="18"/>
          <w:color w:val="auto"/>
        </w:rPr>
      </w:pPr>
    </w:p>
    <w:p>
      <w:pPr>
        <w:ind w:left="920" w:right="60" w:firstLine="421"/>
        <w:spacing w:after="0" w:line="277" w:lineRule="auto"/>
        <w:tabs>
          <w:tab w:leader="none" w:pos="1625" w:val="left"/>
        </w:tabs>
        <w:numPr>
          <w:ilvl w:val="1"/>
          <w:numId w:val="97"/>
        </w:numPr>
        <w:rPr>
          <w:rFonts w:ascii="Arial" w:cs="Arial" w:eastAsia="Arial" w:hAnsi="Arial"/>
          <w:sz w:val="18"/>
          <w:szCs w:val="18"/>
          <w:color w:val="auto"/>
        </w:rPr>
      </w:pPr>
      <w:r>
        <w:rPr>
          <w:rFonts w:ascii="Arial" w:cs="Arial" w:eastAsia="Arial" w:hAnsi="Arial"/>
          <w:sz w:val="18"/>
          <w:szCs w:val="18"/>
          <w:color w:val="auto"/>
        </w:rPr>
        <w:t xml:space="preserve">with respect to all amounts prepaid pursuant to </w:t>
      </w:r>
      <w:r>
        <w:rPr>
          <w:rFonts w:ascii="Arial" w:cs="Arial" w:eastAsia="Arial" w:hAnsi="Arial"/>
          <w:sz w:val="18"/>
          <w:szCs w:val="18"/>
          <w:u w:val="single" w:color="auto"/>
          <w:color w:val="auto"/>
        </w:rPr>
        <w:t>Sections 2.05(b)(ii)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to the Term Loan (to the remaining principal amortization payments in inverse order of maturity).</w:t>
      </w:r>
    </w:p>
    <w:p>
      <w:pPr>
        <w:spacing w:after="0" w:line="62" w:lineRule="exact"/>
        <w:rPr>
          <w:sz w:val="20"/>
          <w:szCs w:val="20"/>
          <w:color w:val="auto"/>
        </w:rPr>
      </w:pPr>
    </w:p>
    <w:p>
      <w:pPr>
        <w:jc w:val="both"/>
        <w:ind w:left="920" w:right="340"/>
        <w:spacing w:after="0" w:line="312" w:lineRule="auto"/>
        <w:rPr>
          <w:sz w:val="20"/>
          <w:szCs w:val="20"/>
          <w:color w:val="auto"/>
        </w:rPr>
      </w:pPr>
      <w:r>
        <w:rPr>
          <w:rFonts w:ascii="Arial" w:cs="Arial" w:eastAsia="Arial" w:hAnsi="Arial"/>
          <w:sz w:val="16"/>
          <w:szCs w:val="16"/>
          <w:color w:val="auto"/>
        </w:rPr>
        <w:t xml:space="preserve">Within the parameters of the applications set forth above, prepayments shall be applied first to Base Rate Loans and then to Eurodollar Rate Loans in direct order of Interest Period maturities. All prepayments under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shall be subject to </w:t>
      </w:r>
      <w:r>
        <w:rPr>
          <w:rFonts w:ascii="Arial" w:cs="Arial" w:eastAsia="Arial" w:hAnsi="Arial"/>
          <w:sz w:val="16"/>
          <w:szCs w:val="16"/>
          <w:u w:val="single" w:color="auto"/>
          <w:color w:val="auto"/>
        </w:rPr>
        <w:t>Section 3.05</w:t>
      </w:r>
      <w:r>
        <w:rPr>
          <w:rFonts w:ascii="Arial" w:cs="Arial" w:eastAsia="Arial" w:hAnsi="Arial"/>
          <w:sz w:val="16"/>
          <w:szCs w:val="16"/>
          <w:color w:val="auto"/>
        </w:rPr>
        <w:t>, but otherwise without premium or penalty, and shall be accompanied by interest on the principal amount prepaid through the date of prepayment.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2.06 </w:t>
      </w:r>
      <w:r>
        <w:rPr>
          <w:rFonts w:ascii="Arial" w:cs="Arial" w:eastAsia="Arial" w:hAnsi="Arial"/>
          <w:sz w:val="18"/>
          <w:szCs w:val="18"/>
          <w:u w:val="single" w:color="auto"/>
          <w:color w:val="auto"/>
        </w:rPr>
        <w:t>Termination or Reduction of Aggregate Revolving Commitments</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 xml:space="preserve">The Borrower may, upon notice to the Administrative Agent, terminate, in whole or in part, the Aggregate Revolving Commitments, or from time to time permanently reduce the Aggregate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such notice shall be received by the Administrative Agent not later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74" w:right="279" w:bottom="1440" w:gutter="0" w:footer="0" w:header="0"/>
        </w:sectPr>
      </w:pPr>
    </w:p>
    <w:bookmarkStart w:id="155" w:name="page156"/>
    <w:bookmarkEnd w:id="155"/>
    <w:p>
      <w:pPr>
        <w:jc w:val="both"/>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12:00 noon five Business Days prior to the date of termination or reduction, (ii) any such partial reduction shall be in an aggregate amount of $5,000,000 or any whole multiple of $1,000,000 in excess thereof, (iii) the Borrower shall not terminate or reduce the Aggregate Revolving Commitments if, after giving effect thereto and to any concurrent prepayments hereunder, the Total Revolving Outstandings would exceed the Aggregate Revolving Commitments and</w:t>
      </w:r>
    </w:p>
    <w:p>
      <w:pPr>
        <w:ind w:right="40" w:firstLine="8"/>
        <w:spacing w:after="0" w:line="252" w:lineRule="auto"/>
        <w:tabs>
          <w:tab w:leader="none" w:pos="305"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if, after giving effect to any reduction of the Aggregate Revolving Commitments, the Letter of Credit Sublimit or the Swing Line Sublimit exceeds the amount of the Aggregate Revolving Commitments, such sublimit shall be automatically reduced by the amount of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that any notice so given to the Administrative Agent in connection with a refinancing of all Obligations (other than contingent indemnification obligations not yet due and payable) may be conditional on the effectiveness of the replacement credit agreement or other similar document and may be revoked by the Borrower if such condition is not satisfied. The Administrative Agent will promptly notify the Lenders of any such notice of termination or reduction of the Aggregate Revolving Commitments. Any reduction of the Aggregate Revolving Commitments shall be applied to the Revolving Commitment of each Lender according to its Applicable Percentage. All fees accrued until the effective date of any termination of the Aggregate Revolving Commitments shall be paid on the effective date of such termination.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2.07 </w:t>
      </w:r>
      <w:r>
        <w:rPr>
          <w:rFonts w:ascii="Arial" w:cs="Arial" w:eastAsia="Arial" w:hAnsi="Arial"/>
          <w:sz w:val="18"/>
          <w:szCs w:val="18"/>
          <w:u w:val="single" w:color="auto"/>
          <w:color w:val="auto"/>
        </w:rPr>
        <w:t>Repayment of Loans</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77" w:lineRule="auto"/>
        <w:tabs>
          <w:tab w:leader="none" w:pos="70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The Borrower shall repay to the Lenders on the Maturity Date the aggregate principal amount of all Revolving Loans outstanding on such date.</w:t>
      </w:r>
    </w:p>
    <w:p>
      <w:pPr>
        <w:spacing w:after="0" w:line="170"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The Borrower shall repay each Swing Line Loan on the earlier to occur of (i) the date ten Business Days after such Swing Line Loan is made and (ii) the Maturity Date.</w:t>
      </w:r>
    </w:p>
    <w:p>
      <w:pPr>
        <w:spacing w:after="0" w:line="170" w:lineRule="exact"/>
        <w:rPr>
          <w:rFonts w:ascii="Arial" w:cs="Arial" w:eastAsia="Arial" w:hAnsi="Arial"/>
          <w:sz w:val="18"/>
          <w:szCs w:val="18"/>
          <w:color w:val="auto"/>
        </w:rPr>
      </w:pPr>
    </w:p>
    <w:p>
      <w:pPr>
        <w:ind w:right="20" w:firstLine="464"/>
        <w:spacing w:after="0" w:line="279" w:lineRule="auto"/>
        <w:tabs>
          <w:tab w:leader="none" w:pos="701"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Term Loan</w:t>
      </w:r>
      <w:r>
        <w:rPr>
          <w:rFonts w:ascii="Arial" w:cs="Arial" w:eastAsia="Arial" w:hAnsi="Arial"/>
          <w:sz w:val="17"/>
          <w:szCs w:val="17"/>
          <w:color w:val="auto"/>
        </w:rPr>
        <w:t xml:space="preserve">. The Borrower shall repay the outstanding principal amount of the Term Loan as follows (as such installments may hereafter be adjusted as a result of prepayments made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unless accelerated sooner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 (i) on the first day of each calendar month, commencing on the first such day occurring after the Closing Date, the Borrower shall repay the principal amount of the Term Loan in the amount of $555,556 and (ii) on the Maturity Date the Borrower shall repay in full the Outstanding Amount of the Term Loan.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2.08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17" w:lineRule="exact"/>
        <w:rPr>
          <w:sz w:val="20"/>
          <w:szCs w:val="20"/>
          <w:color w:val="auto"/>
        </w:rPr>
      </w:pPr>
    </w:p>
    <w:p>
      <w:pPr>
        <w:ind w:left="460" w:firstLine="4"/>
        <w:spacing w:after="0" w:line="276" w:lineRule="auto"/>
        <w:tabs>
          <w:tab w:leader="none" w:pos="70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(i) Subject to the provisions of subsections (a)(ii) and (b) below, (A) each Eurodollar Rate Loan shall bear interest on the outstanding principal amount thereof for each Interest Period at a rate per annum equal to the Eurodollar Rate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(B) each Base Rate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and (C) each Swing Line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w:t>
      </w:r>
    </w:p>
    <w:p>
      <w:pPr>
        <w:spacing w:after="0" w:line="64" w:lineRule="exact"/>
        <w:rPr>
          <w:rFonts w:ascii="Arial" w:cs="Arial" w:eastAsia="Arial" w:hAnsi="Arial"/>
          <w:sz w:val="17"/>
          <w:szCs w:val="17"/>
          <w:color w:val="auto"/>
        </w:rPr>
      </w:pPr>
    </w:p>
    <w:p>
      <w:pPr>
        <w:ind w:left="460" w:firstLine="443"/>
        <w:spacing w:after="0" w:line="255" w:lineRule="auto"/>
        <w:tabs>
          <w:tab w:leader="none" w:pos="1163"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Subject to the provisions of subsection (b) below, for the period from the Closing Date to the first Business Day of January 2013, the Term Loan shall bear interest as follows: (A) $19,541,527.73 of the Term Loan will bear interest on the outstanding principal amount thereof for each day during such period a rate per annum equal the Eurodollar Rate that would have been applicable to an Interest Period of one month commencing on December 3, 2012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and (b) the balance of the Term Loan will bear interest on the outstanding principal amount thereof for each day during such period a rate per annum equal to the Eurodollar Rate that would be applicable to an Interest Period of one month commencing on the Closing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156" w:name="page157"/>
    <w:bookmarkEnd w:id="156"/>
    <w:p>
      <w:pPr>
        <w:ind w:left="460" w:right="140" w:firstLine="4"/>
        <w:spacing w:after="0" w:line="264" w:lineRule="auto"/>
        <w:tabs>
          <w:tab w:leader="none" w:pos="715" w:val="left"/>
        </w:tabs>
        <w:numPr>
          <w:ilvl w:val="0"/>
          <w:numId w:val="1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460" w:right="80" w:firstLine="443"/>
        <w:spacing w:after="0" w:line="259" w:lineRule="auto"/>
        <w:tabs>
          <w:tab w:leader="none" w:pos="116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78" w:lineRule="exact"/>
        <w:rPr>
          <w:rFonts w:ascii="Arial" w:cs="Arial" w:eastAsia="Arial" w:hAnsi="Arial"/>
          <w:sz w:val="18"/>
          <w:szCs w:val="18"/>
          <w:color w:val="auto"/>
        </w:rPr>
      </w:pPr>
    </w:p>
    <w:p>
      <w:pPr>
        <w:ind w:left="460" w:firstLine="443"/>
        <w:spacing w:after="0" w:line="264" w:lineRule="auto"/>
        <w:tabs>
          <w:tab w:leader="none" w:pos="1213" w:val="left"/>
        </w:tabs>
        <w:numPr>
          <w:ilvl w:val="1"/>
          <w:numId w:val="101"/>
        </w:numPr>
        <w:rPr>
          <w:rFonts w:ascii="Arial" w:cs="Arial" w:eastAsia="Arial" w:hAnsi="Arial"/>
          <w:sz w:val="18"/>
          <w:szCs w:val="18"/>
          <w:color w:val="auto"/>
        </w:rPr>
      </w:pPr>
      <w:r>
        <w:rPr>
          <w:rFonts w:ascii="Arial" w:cs="Arial" w:eastAsia="Arial" w:hAnsi="Arial"/>
          <w:sz w:val="18"/>
          <w:szCs w:val="18"/>
          <w:color w:val="auto"/>
        </w:rPr>
        <w:t>Upon the request of the Required Lenders, while any Event of Default exists (other than as set forth in clauses (b)(i) and (b)(ii) above), the Borrower shall pay interest on the principal amount of all outstanding Obligations hereunder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1200" w:hanging="297"/>
        <w:spacing w:after="0"/>
        <w:tabs>
          <w:tab w:leader="none" w:pos="120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 demand.</w:t>
      </w:r>
    </w:p>
    <w:p>
      <w:pPr>
        <w:spacing w:after="0" w:line="236" w:lineRule="exact"/>
        <w:rPr>
          <w:rFonts w:ascii="Arial" w:cs="Arial" w:eastAsia="Arial" w:hAnsi="Arial"/>
          <w:sz w:val="17"/>
          <w:szCs w:val="17"/>
          <w:color w:val="auto"/>
        </w:rPr>
      </w:pPr>
    </w:p>
    <w:p>
      <w:pPr>
        <w:ind w:right="20" w:firstLine="464"/>
        <w:spacing w:after="0" w:line="264" w:lineRule="auto"/>
        <w:tabs>
          <w:tab w:leader="none" w:pos="70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In addition to certain fees described in subsections (h) and (i) of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17" w:lineRule="exact"/>
        <w:rPr>
          <w:sz w:val="20"/>
          <w:szCs w:val="20"/>
          <w:color w:val="auto"/>
        </w:rPr>
      </w:pPr>
    </w:p>
    <w:p>
      <w:pPr>
        <w:ind w:left="460" w:right="20" w:firstLine="443"/>
        <w:spacing w:after="0" w:line="253" w:lineRule="auto"/>
        <w:tabs>
          <w:tab w:leader="none" w:pos="1143"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The Borrower shall pay to the Administrative Agent, for the account of each Lender in accordance with its Applicable Percentage, a commitment fee (the “</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equal to the product of (i) twenty-five basis points (0.25%)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(ii) the actual daily amount by which the Aggregate Revolving Commitments exceed the sum of (A) the Outstanding Amount of Revolving Loans and (B) the Outstanding Amount of L/C Obligations,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For the avoidance of doubt, the Outstanding Amount of Swing Line Loans shall not be counted towards or considered usage of the Aggregate Revolving Commitments for purposes of determining the Commitment Fee. The Commitment Fee shall accrue at all times during the Availability Period, including at any time during which one or more of the conditions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w:t>
      </w:r>
    </w:p>
    <w:p>
      <w:pPr>
        <w:spacing w:after="0" w:line="89" w:lineRule="exact"/>
        <w:rPr>
          <w:rFonts w:ascii="Arial" w:cs="Arial" w:eastAsia="Arial" w:hAnsi="Arial"/>
          <w:sz w:val="18"/>
          <w:szCs w:val="18"/>
          <w:color w:val="auto"/>
        </w:rPr>
      </w:pPr>
    </w:p>
    <w:p>
      <w:pPr>
        <w:ind w:left="1160" w:hanging="257"/>
        <w:spacing w:after="0"/>
        <w:tabs>
          <w:tab w:leader="none" w:pos="116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220" w:firstLine="421"/>
        <w:spacing w:after="0" w:line="342" w:lineRule="auto"/>
        <w:tabs>
          <w:tab w:leader="none" w:pos="1555"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Borrower shall pay to the Arranger and the Administrative Agent for their own respective accounts fees in the amounts and at the times specified in the Fee Letter. Such fees shall be fully earned when paid and shall not be refundable for any reason whatsoever.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157" w:name="page158"/>
    <w:bookmarkEnd w:id="157"/>
    <w:p>
      <w:pPr>
        <w:ind w:left="920" w:right="20" w:firstLine="421"/>
        <w:spacing w:after="0" w:line="277" w:lineRule="auto"/>
        <w:tabs>
          <w:tab w:leader="none" w:pos="1605"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w:t>
      </w:r>
    </w:p>
    <w:p>
      <w:pPr>
        <w:spacing w:after="0" w:line="225" w:lineRule="exact"/>
        <w:rPr>
          <w:sz w:val="20"/>
          <w:szCs w:val="20"/>
          <w:color w:val="auto"/>
        </w:rPr>
      </w:pPr>
    </w:p>
    <w:p>
      <w:pPr>
        <w:jc w:val="both"/>
        <w:ind w:right="340" w:firstLine="456"/>
        <w:spacing w:after="0" w:line="288" w:lineRule="auto"/>
        <w:rPr>
          <w:sz w:val="20"/>
          <w:szCs w:val="20"/>
          <w:color w:val="auto"/>
        </w:rPr>
      </w:pPr>
      <w:r>
        <w:rPr>
          <w:rFonts w:ascii="Arial" w:cs="Arial" w:eastAsia="Arial" w:hAnsi="Arial"/>
          <w:sz w:val="16"/>
          <w:szCs w:val="16"/>
          <w:color w:val="auto"/>
        </w:rPr>
        <w:t>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w:t>
      </w:r>
    </w:p>
    <w:p>
      <w:pPr>
        <w:ind w:right="120"/>
        <w:spacing w:after="0" w:line="254" w:lineRule="auto"/>
        <w:rPr>
          <w:sz w:val="20"/>
          <w:szCs w:val="20"/>
          <w:color w:val="auto"/>
        </w:rPr>
      </w:pPr>
      <w:r>
        <w:rPr>
          <w:rFonts w:ascii="Arial" w:cs="Arial" w:eastAsia="Arial" w:hAnsi="Arial"/>
          <w:sz w:val="18"/>
          <w:szCs w:val="18"/>
          <w:color w:val="auto"/>
        </w:rPr>
        <w:t xml:space="preserve">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0" w:lineRule="auto"/>
        <w:tabs>
          <w:tab w:leader="none" w:pos="70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promissory note, which shall evidence such Lender’s Loans in addition to such accounts or records. Each such promissory note shall be in the form of </w:t>
      </w:r>
      <w:r>
        <w:rPr>
          <w:rFonts w:ascii="Arial" w:cs="Arial" w:eastAsia="Arial" w:hAnsi="Arial"/>
          <w:sz w:val="17"/>
          <w:szCs w:val="17"/>
          <w:u w:val="single" w:color="auto"/>
          <w:color w:val="auto"/>
        </w:rPr>
        <w:t>Exhibit</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 “</w:t>
      </w:r>
      <w:r>
        <w:rPr>
          <w:rFonts w:ascii="Arial" w:cs="Arial" w:eastAsia="Arial" w:hAnsi="Arial"/>
          <w:sz w:val="17"/>
          <w:szCs w:val="17"/>
          <w:u w:val="single" w:color="auto"/>
          <w:color w:val="auto"/>
        </w:rPr>
        <w:t>Note</w:t>
      </w:r>
      <w:r>
        <w:rPr>
          <w:rFonts w:ascii="Arial" w:cs="Arial" w:eastAsia="Arial" w:hAnsi="Arial"/>
          <w:sz w:val="17"/>
          <w:szCs w:val="17"/>
          <w:color w:val="auto"/>
        </w:rPr>
        <w:t>”). Each Lender may attach schedules to its Note and endorse thereon the date, Type (if applicable), amount and maturity of its Loans and payments with respect thereto.</w:t>
      </w:r>
    </w:p>
    <w:p>
      <w:pPr>
        <w:spacing w:after="0" w:line="177" w:lineRule="exact"/>
        <w:rPr>
          <w:rFonts w:ascii="Arial" w:cs="Arial" w:eastAsia="Arial" w:hAnsi="Arial"/>
          <w:sz w:val="17"/>
          <w:szCs w:val="17"/>
          <w:color w:val="auto"/>
        </w:rPr>
      </w:pPr>
    </w:p>
    <w:p>
      <w:pPr>
        <w:jc w:val="both"/>
        <w:ind w:right="120" w:firstLine="464"/>
        <w:spacing w:after="0" w:line="279" w:lineRule="auto"/>
        <w:tabs>
          <w:tab w:leader="none" w:pos="71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 addition to the accounts and records referred to in subsection (a) above,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5" w:lineRule="auto"/>
        <w:tabs>
          <w:tab w:leader="none" w:pos="701"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158" w:name="page159"/>
    <w:bookmarkEnd w:id="158"/>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2:00 p.m. shall be deemed received on the next succeeding Business Day and any applicable interest or fee shall continue to accrue.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81" w:lineRule="exact"/>
        <w:rPr>
          <w:sz w:val="20"/>
          <w:szCs w:val="20"/>
          <w:color w:val="auto"/>
        </w:rPr>
      </w:pPr>
    </w:p>
    <w:p>
      <w:pPr>
        <w:ind w:firstLine="464"/>
        <w:spacing w:after="0" w:line="268" w:lineRule="auto"/>
        <w:tabs>
          <w:tab w:leader="none" w:pos="711"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Funding by Lenders; Presumption by Administrative Agent</w:t>
      </w:r>
      <w:r>
        <w:rPr>
          <w:rFonts w:ascii="Arial" w:cs="Arial" w:eastAsia="Arial" w:hAnsi="Arial"/>
          <w:sz w:val="17"/>
          <w:szCs w:val="17"/>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Borrowing of Base Rate Loans, that such Lender has made such share available in accordance with and at the time required by </w:t>
      </w:r>
      <w:r>
        <w:rPr>
          <w:rFonts w:ascii="Arial" w:cs="Arial" w:eastAsia="Arial" w:hAnsi="Arial"/>
          <w:sz w:val="17"/>
          <w:szCs w:val="17"/>
          <w:u w:val="single" w:color="auto"/>
          <w:color w:val="auto"/>
        </w:rPr>
        <w:t>Section 2.02</w:t>
      </w:r>
      <w:r>
        <w:rPr>
          <w:rFonts w:ascii="Arial" w:cs="Arial" w:eastAsia="Arial" w:hAnsi="Arial"/>
          <w:sz w:val="17"/>
          <w:szCs w:val="17"/>
          <w:color w:val="auto"/>
        </w:rPr>
        <w:t>)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72" w:lineRule="exact"/>
        <w:rPr>
          <w:rFonts w:ascii="Arial" w:cs="Arial" w:eastAsia="Arial" w:hAnsi="Arial"/>
          <w:sz w:val="17"/>
          <w:szCs w:val="17"/>
          <w:color w:val="auto"/>
        </w:rPr>
      </w:pPr>
    </w:p>
    <w:p>
      <w:pPr>
        <w:ind w:left="460" w:right="60" w:firstLine="443"/>
        <w:spacing w:after="0" w:line="253" w:lineRule="auto"/>
        <w:tabs>
          <w:tab w:leader="none" w:pos="1163" w:val="left"/>
        </w:tabs>
        <w:numPr>
          <w:ilvl w:val="1"/>
          <w:numId w:val="106"/>
        </w:numPr>
        <w:rPr>
          <w:rFonts w:ascii="Arial" w:cs="Arial" w:eastAsia="Arial" w:hAnsi="Arial"/>
          <w:sz w:val="18"/>
          <w:szCs w:val="18"/>
          <w:color w:val="auto"/>
        </w:rPr>
      </w:pPr>
      <w:r>
        <w:rPr>
          <w:rFonts w:ascii="Arial" w:cs="Arial" w:eastAsia="Arial" w:hAnsi="Arial"/>
          <w:sz w:val="18"/>
          <w:szCs w:val="18"/>
          <w:u w:val="single" w:color="auto"/>
          <w:color w:val="auto"/>
        </w:rPr>
        <w:t>Payments by Borrower; Presumptions by Administrative Agent</w:t>
      </w:r>
      <w:r>
        <w:rPr>
          <w:rFonts w:ascii="Arial" w:cs="Arial" w:eastAsia="Arial" w:hAnsi="Arial"/>
          <w:sz w:val="18"/>
          <w:szCs w:val="18"/>
          <w:color w:val="auto"/>
        </w:rPr>
        <w:t>. Unless the Administrative Agent shall have received notice from the Borrower prior to the time at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 In such event, if the Borrower has not in fact made such payment, then each of the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89" w:lineRule="exact"/>
        <w:rPr>
          <w:sz w:val="20"/>
          <w:szCs w:val="20"/>
          <w:color w:val="auto"/>
        </w:rPr>
      </w:pPr>
    </w:p>
    <w:p>
      <w:pPr>
        <w:ind w:left="460" w:right="680" w:firstLine="438"/>
        <w:spacing w:after="0" w:line="277" w:lineRule="auto"/>
        <w:rPr>
          <w:sz w:val="20"/>
          <w:szCs w:val="20"/>
          <w:color w:val="auto"/>
        </w:rPr>
      </w:pPr>
      <w:r>
        <w:rPr>
          <w:rFonts w:ascii="Arial" w:cs="Arial" w:eastAsia="Arial" w:hAnsi="Arial"/>
          <w:sz w:val="18"/>
          <w:szCs w:val="18"/>
          <w:color w:val="auto"/>
        </w:rPr>
        <w:t>A notice of the Administrative Agent to any Lender or the Borrower with respect to any amount owing under this subsection (b) shall be conclusive, absent manifest error.</w:t>
      </w:r>
    </w:p>
    <w:p>
      <w:pPr>
        <w:spacing w:after="0" w:line="170" w:lineRule="exact"/>
        <w:rPr>
          <w:sz w:val="20"/>
          <w:szCs w:val="20"/>
          <w:color w:val="auto"/>
        </w:rPr>
      </w:pPr>
    </w:p>
    <w:p>
      <w:pPr>
        <w:ind w:right="120" w:firstLine="464"/>
        <w:spacing w:after="0" w:line="279" w:lineRule="auto"/>
        <w:tabs>
          <w:tab w:leader="none" w:pos="701"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Failure to Satisfy Conditions Precedent</w:t>
      </w:r>
      <w:r>
        <w:rPr>
          <w:rFonts w:ascii="Arial" w:cs="Arial" w:eastAsia="Arial" w:hAnsi="Arial"/>
          <w:sz w:val="17"/>
          <w:szCs w:val="17"/>
          <w:color w:val="auto"/>
        </w:rPr>
        <w:t xml:space="preserve">. If any Lender makes available to the Administrative Agent funds for any Loan to be made by such Lender as provided in the foregoing provisions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and such funds are not made available to the Borrower by the Administrative Agent because the conditions to the applicable Credit Extension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are not satisfied or waived in accordance with the terms hereof, the Administrative Agent shall return such funds (in like funds as received from such Lender) to such Lender, without interest.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159" w:name="page160"/>
    <w:bookmarkEnd w:id="159"/>
    <w:p>
      <w:pPr>
        <w:ind w:firstLine="464"/>
        <w:spacing w:after="0" w:line="257" w:lineRule="auto"/>
        <w:tabs>
          <w:tab w:leader="none" w:pos="711"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of Lenders Several</w:t>
      </w:r>
      <w:r>
        <w:rPr>
          <w:rFonts w:ascii="Arial" w:cs="Arial" w:eastAsia="Arial" w:hAnsi="Arial"/>
          <w:sz w:val="18"/>
          <w:szCs w:val="18"/>
          <w:color w:val="auto"/>
        </w:rPr>
        <w:t xml:space="preserve">. The obligations of the Lenders hereunder to make Loans, to fund participations in Letters of Credit and Swing Line Loans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320" w:firstLine="464"/>
        <w:spacing w:after="0" w:line="308" w:lineRule="auto"/>
        <w:tabs>
          <w:tab w:leader="none" w:pos="701"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Funding Source</w:t>
      </w:r>
      <w:r>
        <w:rPr>
          <w:rFonts w:ascii="Arial" w:cs="Arial" w:eastAsia="Arial" w:hAnsi="Arial"/>
          <w:sz w:val="17"/>
          <w:szCs w:val="17"/>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Sharing of Payments by Lenders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70" w:lineRule="exact"/>
        <w:rPr>
          <w:sz w:val="20"/>
          <w:szCs w:val="20"/>
          <w:color w:val="auto"/>
        </w:rPr>
      </w:pPr>
    </w:p>
    <w:p>
      <w:pPr>
        <w:ind w:left="460" w:right="540" w:firstLine="443"/>
        <w:spacing w:after="0" w:line="342" w:lineRule="auto"/>
        <w:tabs>
          <w:tab w:leader="none" w:pos="111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 w:lineRule="exact"/>
        <w:rPr>
          <w:rFonts w:ascii="Arial" w:cs="Arial" w:eastAsia="Arial" w:hAnsi="Arial"/>
          <w:sz w:val="16"/>
          <w:szCs w:val="16"/>
          <w:color w:val="auto"/>
        </w:rPr>
      </w:pPr>
    </w:p>
    <w:p>
      <w:pPr>
        <w:ind w:left="460" w:firstLine="443"/>
        <w:spacing w:after="0" w:line="276" w:lineRule="auto"/>
        <w:tabs>
          <w:tab w:leader="none" w:pos="116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(C) any payment obtained by a Lender as consideration for the assignment of or sale of a participation in any of its Loans or subparticipations in L/C Obligations or Swing Line Loans to any assignee or participant, other than an assignment to the Borrower or any Subsidiary (as to which the provisions of this Section shall apply).</w:t>
      </w:r>
    </w:p>
    <w:p>
      <w:pPr>
        <w:spacing w:after="0" w:line="173"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Cash Collateral</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77" w:lineRule="auto"/>
        <w:tabs>
          <w:tab w:leader="none" w:pos="701"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If (i) the L/C Issuer has honored any full or partial drawing request under any Letter of Credit and such drawing has resulted in an L/C Borrowing, (ii) as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160" w:name="page161"/>
    <w:bookmarkEnd w:id="160"/>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Maturity Date, any L/C Obligation for any reason remains outstanding, (iii) the Borrower shall be required to provide Cash Collateral pursuant to </w:t>
      </w:r>
      <w:r>
        <w:rPr>
          <w:rFonts w:ascii="Arial" w:cs="Arial" w:eastAsia="Arial" w:hAnsi="Arial"/>
          <w:sz w:val="18"/>
          <w:szCs w:val="18"/>
          <w:u w:val="single" w:color="auto"/>
          <w:color w:val="auto"/>
        </w:rPr>
        <w:t>Section 9.02(c)</w:t>
      </w:r>
      <w:r>
        <w:rPr>
          <w:rFonts w:ascii="Arial" w:cs="Arial" w:eastAsia="Arial" w:hAnsi="Arial"/>
          <w:sz w:val="18"/>
          <w:szCs w:val="18"/>
          <w:color w:val="auto"/>
        </w:rPr>
        <w:t xml:space="preserve"> or (iv) there shall exist a Defaulting Lender, the Borrower shall immediately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above) or within one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after giving effect to </w:t>
      </w:r>
      <w:r>
        <w:rPr>
          <w:rFonts w:ascii="Arial" w:cs="Arial" w:eastAsia="Arial" w:hAnsi="Arial"/>
          <w:sz w:val="18"/>
          <w:szCs w:val="18"/>
          <w:u w:val="single" w:color="auto"/>
          <w:color w:val="auto"/>
        </w:rPr>
        <w:t>Section 2.15(b)</w:t>
      </w:r>
      <w:r>
        <w:rPr>
          <w:rFonts w:ascii="Arial" w:cs="Arial" w:eastAsia="Arial" w:hAnsi="Arial"/>
          <w:sz w:val="18"/>
          <w:szCs w:val="18"/>
          <w:color w:val="auto"/>
        </w:rPr>
        <w:t xml:space="preserve"> and any Cash Collateral provided by the Defaulting Lender).</w:t>
      </w:r>
    </w:p>
    <w:p>
      <w:pPr>
        <w:spacing w:after="0" w:line="188" w:lineRule="exact"/>
        <w:rPr>
          <w:sz w:val="20"/>
          <w:szCs w:val="20"/>
          <w:color w:val="auto"/>
        </w:rPr>
      </w:pPr>
    </w:p>
    <w:p>
      <w:pPr>
        <w:ind w:right="40" w:firstLine="464"/>
        <w:spacing w:after="0" w:line="288" w:lineRule="auto"/>
        <w:tabs>
          <w:tab w:leader="none" w:pos="711"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2.14(c)</w:t>
      </w:r>
      <w:r>
        <w:rPr>
          <w:rFonts w:ascii="Arial" w:cs="Arial" w:eastAsia="Arial" w:hAnsi="Arial"/>
          <w:sz w:val="16"/>
          <w:szCs w:val="16"/>
          <w:color w:val="auto"/>
        </w:rPr>
        <w:t xml:space="preserve">. If at any time the Administrative Agent determines that Cash Collateral is subject to any right or claim of any Person other than the Administrative Agent or the L/C Issuer as herein provided (other than Liens permitted under </w:t>
      </w:r>
      <w:r>
        <w:rPr>
          <w:rFonts w:ascii="Arial" w:cs="Arial" w:eastAsia="Arial" w:hAnsi="Arial"/>
          <w:sz w:val="16"/>
          <w:szCs w:val="16"/>
          <w:u w:val="single" w:color="auto"/>
          <w:color w:val="auto"/>
        </w:rPr>
        <w:t>Section 8.01(m)</w:t>
      </w:r>
      <w:r>
        <w:rPr>
          <w:rFonts w:ascii="Arial" w:cs="Arial" w:eastAsia="Arial" w:hAnsi="Arial"/>
          <w:sz w:val="16"/>
          <w:szCs w:val="16"/>
          <w:color w:val="auto"/>
        </w:rPr>
        <w:t>),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69" w:lineRule="exact"/>
        <w:rPr>
          <w:rFonts w:ascii="Arial" w:cs="Arial" w:eastAsia="Arial" w:hAnsi="Arial"/>
          <w:sz w:val="16"/>
          <w:szCs w:val="16"/>
          <w:color w:val="auto"/>
        </w:rPr>
      </w:pPr>
    </w:p>
    <w:p>
      <w:pPr>
        <w:ind w:right="40" w:firstLine="464"/>
        <w:spacing w:after="0" w:line="279" w:lineRule="auto"/>
        <w:tabs>
          <w:tab w:leader="none" w:pos="701"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xml:space="preserve">. Notwithstanding anything to the contrary contained in this Agreement, Cash Collateral provided under any of this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Sections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2.05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9.02</w:t>
      </w:r>
      <w:r>
        <w:rPr>
          <w:rFonts w:ascii="Arial" w:cs="Arial" w:eastAsia="Arial" w:hAnsi="Arial"/>
          <w:sz w:val="17"/>
          <w:szCs w:val="17"/>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1" w:lineRule="exact"/>
        <w:rPr>
          <w:rFonts w:ascii="Arial" w:cs="Arial" w:eastAsia="Arial" w:hAnsi="Arial"/>
          <w:sz w:val="17"/>
          <w:szCs w:val="17"/>
          <w:color w:val="auto"/>
        </w:rPr>
      </w:pPr>
    </w:p>
    <w:p>
      <w:pPr>
        <w:ind w:firstLine="464"/>
        <w:spacing w:after="0" w:line="272" w:lineRule="auto"/>
        <w:tabs>
          <w:tab w:leader="none" w:pos="711" w:val="left"/>
        </w:tabs>
        <w:numPr>
          <w:ilvl w:val="0"/>
          <w:numId w:val="111"/>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7"/>
          <w:szCs w:val="17"/>
          <w:u w:val="single" w:color="auto"/>
          <w:color w:val="auto"/>
        </w:rPr>
        <w:t>Section 11.06(b)(vi)</w:t>
      </w:r>
      <w:r>
        <w:rPr>
          <w:rFonts w:ascii="Arial" w:cs="Arial" w:eastAsia="Arial" w:hAnsi="Arial"/>
          <w:sz w:val="17"/>
          <w:szCs w:val="17"/>
          <w:color w:val="auto"/>
        </w:rPr>
        <w:t xml:space="preserve">)) or (ii) the good faith determination by the Administrative Agent and the L/C Issuer that there exists excess Cash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25" w:lineRule="exact"/>
        <w:rPr>
          <w:sz w:val="20"/>
          <w:szCs w:val="20"/>
          <w:color w:val="auto"/>
        </w:rPr>
      </w:pPr>
    </w:p>
    <w:p>
      <w:pPr>
        <w:ind w:right="240" w:firstLine="464"/>
        <w:spacing w:after="0" w:line="277" w:lineRule="auto"/>
        <w:tabs>
          <w:tab w:leader="none" w:pos="701"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161" w:name="page162"/>
    <w:bookmarkEnd w:id="161"/>
    <w:p>
      <w:pPr>
        <w:ind w:right="260" w:firstLine="443"/>
        <w:spacing w:after="0" w:line="277" w:lineRule="auto"/>
        <w:tabs>
          <w:tab w:leader="none" w:pos="653"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firstLine="443"/>
        <w:spacing w:after="0" w:line="284" w:lineRule="auto"/>
        <w:tabs>
          <w:tab w:leader="none" w:pos="703"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pro rata basis of any amounts owing by such Defaulting Lender to the L/C Issuer or Swing Line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Cash Collateralize the L/C Issuer’s Fronting Exposure with respect to such Defaulting Lender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6"/>
          <w:szCs w:val="16"/>
          <w:u w:val="single" w:color="auto"/>
          <w:color w:val="auto"/>
        </w:rPr>
        <w:t>Section 2.15(b)</w:t>
      </w:r>
      <w:r>
        <w:rPr>
          <w:rFonts w:ascii="Arial" w:cs="Arial" w:eastAsia="Arial" w:hAnsi="Arial"/>
          <w:sz w:val="16"/>
          <w:szCs w:val="16"/>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6"/>
          <w:szCs w:val="16"/>
          <w:u w:val="single" w:color="auto"/>
          <w:color w:val="auto"/>
        </w:rPr>
        <w:t>Section 2.15(a)(ii)</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286" w:lineRule="exact"/>
        <w:rPr>
          <w:rFonts w:ascii="Arial" w:cs="Arial" w:eastAsia="Arial" w:hAnsi="Arial"/>
          <w:sz w:val="16"/>
          <w:szCs w:val="16"/>
          <w:color w:val="auto"/>
        </w:rPr>
      </w:pPr>
    </w:p>
    <w:p>
      <w:pPr>
        <w:ind w:left="760" w:hanging="317"/>
        <w:spacing w:after="0"/>
        <w:tabs>
          <w:tab w:leader="none" w:pos="760"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80" w:firstLine="421"/>
        <w:spacing w:after="0" w:line="264" w:lineRule="auto"/>
        <w:tabs>
          <w:tab w:leader="none" w:pos="117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Borrower shall not be required to pay any such fee that otherwise would have been required to have been paid to that Defaulting Lender)</w:t>
      </w:r>
      <w:r>
        <w:rPr>
          <w:rFonts w:ascii="Arial" w:cs="Arial" w:eastAsia="Arial" w:hAnsi="Arial"/>
          <w:sz w:val="18"/>
          <w:szCs w:val="18"/>
          <w:b w:val="1"/>
          <w:bCs w:val="1"/>
          <w:color w:val="auto"/>
        </w:rPr>
        <w:t>.</w:t>
      </w:r>
    </w:p>
    <w:p>
      <w:pPr>
        <w:spacing w:after="0" w:line="73" w:lineRule="exact"/>
        <w:rPr>
          <w:rFonts w:ascii="Arial" w:cs="Arial" w:eastAsia="Arial" w:hAnsi="Arial"/>
          <w:sz w:val="18"/>
          <w:szCs w:val="18"/>
          <w:color w:val="auto"/>
        </w:rPr>
      </w:pPr>
    </w:p>
    <w:p>
      <w:pPr>
        <w:ind w:left="460" w:right="560" w:firstLine="421"/>
        <w:spacing w:after="0" w:line="264" w:lineRule="auto"/>
        <w:tabs>
          <w:tab w:leader="none" w:pos="1165"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700" w:top="274" w:right="239" w:bottom="1440" w:gutter="0" w:footer="0" w:header="0"/>
        </w:sectPr>
      </w:pPr>
    </w:p>
    <w:bookmarkStart w:id="162" w:name="page163"/>
    <w:bookmarkEnd w:id="162"/>
    <w:p>
      <w:pPr>
        <w:ind w:left="900" w:right="40" w:firstLine="421"/>
        <w:spacing w:after="0" w:line="273" w:lineRule="auto"/>
        <w:tabs>
          <w:tab w:leader="none" w:pos="1605" w:val="left"/>
        </w:tabs>
        <w:numPr>
          <w:ilvl w:val="1"/>
          <w:numId w:val="1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any fee payable under </w:t>
      </w:r>
      <w:r>
        <w:rPr>
          <w:rFonts w:ascii="Arial" w:cs="Arial" w:eastAsia="Arial" w:hAnsi="Arial"/>
          <w:sz w:val="17"/>
          <w:szCs w:val="17"/>
          <w:u w:val="single" w:color="auto"/>
          <w:color w:val="auto"/>
        </w:rPr>
        <w:t>Section 2.09(a)</w:t>
      </w:r>
      <w:r>
        <w:rPr>
          <w:rFonts w:ascii="Arial" w:cs="Arial" w:eastAsia="Arial" w:hAnsi="Arial"/>
          <w:sz w:val="17"/>
          <w:szCs w:val="17"/>
          <w:color w:val="auto"/>
        </w:rPr>
        <w:t xml:space="preserve"> or any Letter of Credit Fee not required to be paid to any Defaulting Lender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7"/>
          <w:szCs w:val="17"/>
          <w:u w:val="single" w:color="auto"/>
          <w:color w:val="auto"/>
        </w:rPr>
        <w:t>Section 2.15(b)</w:t>
      </w:r>
      <w:r>
        <w:rPr>
          <w:rFonts w:ascii="Arial" w:cs="Arial" w:eastAsia="Arial" w:hAnsi="Arial"/>
          <w:sz w:val="17"/>
          <w:szCs w:val="17"/>
          <w:color w:val="auto"/>
        </w:rPr>
        <w:t xml:space="preserve"> below, (y) pay to the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78" w:lineRule="exact"/>
        <w:rPr>
          <w:rFonts w:ascii="Arial" w:cs="Arial" w:eastAsia="Arial" w:hAnsi="Arial"/>
          <w:sz w:val="17"/>
          <w:szCs w:val="17"/>
          <w:color w:val="auto"/>
        </w:rPr>
      </w:pPr>
    </w:p>
    <w:p>
      <w:pPr>
        <w:ind w:left="-20" w:firstLine="464"/>
        <w:spacing w:after="0" w:line="273" w:lineRule="auto"/>
        <w:tabs>
          <w:tab w:leader="none" w:pos="691" w:val="left"/>
        </w:tabs>
        <w:numPr>
          <w:ilvl w:val="0"/>
          <w:numId w:val="115"/>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Percentages to Reduce Fronting Exposure</w:t>
      </w:r>
      <w:r>
        <w:rPr>
          <w:rFonts w:ascii="Arial" w:cs="Arial" w:eastAsia="Arial" w:hAnsi="Arial"/>
          <w:sz w:val="17"/>
          <w:szCs w:val="17"/>
          <w:color w:val="auto"/>
        </w:rPr>
        <w:t>.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78" w:lineRule="exact"/>
        <w:rPr>
          <w:rFonts w:ascii="Arial" w:cs="Arial" w:eastAsia="Arial" w:hAnsi="Arial"/>
          <w:sz w:val="17"/>
          <w:szCs w:val="17"/>
          <w:color w:val="auto"/>
        </w:rPr>
      </w:pPr>
    </w:p>
    <w:p>
      <w:pPr>
        <w:ind w:left="-20" w:right="200" w:firstLine="464"/>
        <w:spacing w:after="0" w:line="259" w:lineRule="auto"/>
        <w:tabs>
          <w:tab w:leader="none" w:pos="681"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Section 2.15(b)</w:t>
      </w:r>
      <w:r>
        <w:rPr>
          <w:rFonts w:ascii="Arial" w:cs="Arial" w:eastAsia="Arial" w:hAnsi="Arial"/>
          <w:sz w:val="18"/>
          <w:szCs w:val="18"/>
          <w:color w:val="auto"/>
        </w:rPr>
        <w:t xml:space="preserve"> above cannot, or can only partially, be effected, the Borrower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20" w:right="60" w:firstLine="464"/>
        <w:spacing w:after="0" w:line="289" w:lineRule="auto"/>
        <w:tabs>
          <w:tab w:leader="none" w:pos="691"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Defaulting Lender Cure</w:t>
      </w:r>
      <w:r>
        <w:rPr>
          <w:rFonts w:ascii="Arial" w:cs="Arial" w:eastAsia="Arial" w:hAnsi="Arial"/>
          <w:sz w:val="16"/>
          <w:szCs w:val="16"/>
          <w:color w:val="auto"/>
        </w:rPr>
        <w:t xml:space="preserve">. If the Borrower, the Administrative Agent,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6"/>
          <w:szCs w:val="16"/>
          <w:u w:val="single" w:color="auto"/>
          <w:color w:val="auto"/>
        </w:rPr>
        <w:t>Section 2.15(b)</w:t>
      </w:r>
      <w:r>
        <w:rPr>
          <w:rFonts w:ascii="Arial" w:cs="Arial" w:eastAsia="Arial" w:hAnsi="Arial"/>
          <w:sz w:val="16"/>
          <w:szCs w:val="16"/>
          <w:color w:val="auto"/>
        </w:rPr>
        <w:t xml:space="preserve">), whereupon such Lender will cease to be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60" w:top="274" w:right="259" w:bottom="1440" w:gutter="0" w:footer="0" w:header="0"/>
        </w:sectPr>
      </w:pPr>
    </w:p>
    <w:bookmarkStart w:id="163" w:name="page164"/>
    <w:bookmarkEnd w:id="163"/>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TAXES, YIELD PROTECTION AND ILLEGALITY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57" w:lineRule="auto"/>
        <w:tabs>
          <w:tab w:leader="none" w:pos="111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w:t>
      </w:r>
    </w:p>
    <w:p>
      <w:pPr>
        <w:spacing w:after="0" w:line="80" w:lineRule="exact"/>
        <w:rPr>
          <w:rFonts w:ascii="Arial" w:cs="Arial" w:eastAsia="Arial" w:hAnsi="Arial"/>
          <w:sz w:val="18"/>
          <w:szCs w:val="18"/>
          <w:color w:val="auto"/>
        </w:rPr>
      </w:pPr>
    </w:p>
    <w:p>
      <w:pPr>
        <w:ind w:left="460" w:right="60" w:firstLine="443"/>
        <w:spacing w:after="0" w:line="271" w:lineRule="auto"/>
        <w:tabs>
          <w:tab w:leader="none" w:pos="116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If any Loan Party or the Administrative Agent shall be required by the Internal Revenue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(B) the Administrative Agent shall timely pay the full amount withheld or deducted to the relevant Governmental Authority in accordance with the Internal Revenue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70" w:lineRule="exact"/>
        <w:rPr>
          <w:rFonts w:ascii="Arial" w:cs="Arial" w:eastAsia="Arial" w:hAnsi="Arial"/>
          <w:sz w:val="17"/>
          <w:szCs w:val="17"/>
          <w:color w:val="auto"/>
        </w:rPr>
      </w:pPr>
    </w:p>
    <w:p>
      <w:pPr>
        <w:ind w:left="460" w:right="40" w:firstLine="443"/>
        <w:spacing w:after="0" w:line="288" w:lineRule="auto"/>
        <w:tabs>
          <w:tab w:leader="none" w:pos="1213"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w:t>
      </w:r>
    </w:p>
    <w:p>
      <w:pPr>
        <w:ind w:left="460" w:right="14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78" w:lineRule="exact"/>
        <w:rPr>
          <w:rFonts w:ascii="Arial" w:cs="Arial" w:eastAsia="Arial" w:hAnsi="Arial"/>
          <w:sz w:val="16"/>
          <w:szCs w:val="16"/>
          <w:color w:val="auto"/>
        </w:rPr>
      </w:pPr>
    </w:p>
    <w:p>
      <w:pPr>
        <w:ind w:right="100" w:firstLine="464"/>
        <w:spacing w:after="0" w:line="264" w:lineRule="auto"/>
        <w:tabs>
          <w:tab w:leader="none" w:pos="711"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the Loan Parties shall timely pay to the relevant Governmental Authority in accordance with applicable Law, or at the option of the Administrative Agent timely reimburse it for the payment of, any Other Taxes.</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220" w:firstLine="443"/>
        <w:spacing w:after="0" w:line="276" w:lineRule="auto"/>
        <w:tabs>
          <w:tab w:leader="none" w:pos="111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Each of the Loan Parties shall, and does hereby, jointly and severally indemnify each Recipient, and shall make payment in respect thereof within ten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274" w:right="279" w:bottom="1440" w:gutter="0" w:footer="0" w:header="0"/>
        </w:sectPr>
      </w:pPr>
    </w:p>
    <w:bookmarkStart w:id="164" w:name="page165"/>
    <w:bookmarkEnd w:id="164"/>
    <w:p>
      <w:pPr>
        <w:ind w:left="4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Each of the Loan Parties shall, and does hereby, jointly and severally indemnify the Administrative Agent, and shall make payment in respect thereof within ten days after demand therefor, for any amount which a Lender or the L/C Issuer for any reason fails to pay indefeasibly to the Administrative Agent as required pursuant to </w:t>
      </w:r>
      <w:r>
        <w:rPr>
          <w:rFonts w:ascii="Arial" w:cs="Arial" w:eastAsia="Arial" w:hAnsi="Arial"/>
          <w:sz w:val="18"/>
          <w:szCs w:val="18"/>
          <w:u w:val="single" w:color="auto"/>
          <w:color w:val="auto"/>
        </w:rPr>
        <w:t>Section 3.01(c)(ii)</w:t>
      </w:r>
      <w:r>
        <w:rPr>
          <w:rFonts w:ascii="Arial" w:cs="Arial" w:eastAsia="Arial" w:hAnsi="Arial"/>
          <w:sz w:val="18"/>
          <w:szCs w:val="18"/>
          <w:color w:val="auto"/>
        </w:rPr>
        <w:t xml:space="preserve"> below.</w:t>
      </w:r>
    </w:p>
    <w:p>
      <w:pPr>
        <w:spacing w:after="0" w:line="80" w:lineRule="exact"/>
        <w:rPr>
          <w:sz w:val="20"/>
          <w:szCs w:val="20"/>
          <w:color w:val="auto"/>
        </w:rPr>
      </w:pPr>
    </w:p>
    <w:p>
      <w:pPr>
        <w:ind w:left="420" w:right="20" w:firstLine="443"/>
        <w:spacing w:after="0" w:line="287" w:lineRule="auto"/>
        <w:tabs>
          <w:tab w:leader="none" w:pos="1123"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Each Lender and the L/C Issuer shall, and does hereby, severally indemnify, and shall make payment in respect thereof within ten days after demand therefor, (A)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Arial" w:cs="Arial" w:eastAsia="Arial" w:hAnsi="Arial"/>
          <w:sz w:val="16"/>
          <w:szCs w:val="16"/>
          <w:u w:val="single" w:color="auto"/>
          <w:color w:val="auto"/>
        </w:rPr>
        <w:t>Section 11.06(d)</w:t>
      </w:r>
      <w:r>
        <w:rPr>
          <w:rFonts w:ascii="Arial" w:cs="Arial" w:eastAsia="Arial" w:hAnsi="Arial"/>
          <w:sz w:val="16"/>
          <w:szCs w:val="16"/>
          <w:color w:val="auto"/>
        </w:rPr>
        <w:t xml:space="preserve"> relating to the maintenance of a Participant Register and (C) the Administrative Agent and the Loan Parties,as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ind w:left="-40" w:firstLine="464"/>
        <w:spacing w:after="0" w:line="257" w:lineRule="auto"/>
        <w:tabs>
          <w:tab w:leader="none" w:pos="671"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8" w:lineRule="exact"/>
        <w:rPr>
          <w:rFonts w:ascii="Arial" w:cs="Arial" w:eastAsia="Arial" w:hAnsi="Arial"/>
          <w:sz w:val="18"/>
          <w:szCs w:val="18"/>
          <w:color w:val="auto"/>
        </w:rPr>
      </w:pPr>
    </w:p>
    <w:p>
      <w:pPr>
        <w:ind w:left="660" w:hanging="236"/>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443"/>
        <w:spacing w:after="0" w:line="270" w:lineRule="auto"/>
        <w:tabs>
          <w:tab w:leader="none" w:pos="1073" w:val="left"/>
        </w:tabs>
        <w:numPr>
          <w:ilvl w:val="1"/>
          <w:numId w:val="118"/>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3.01(e)(ii)(A)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40"/>
          </w:cols>
          <w:pgMar w:left="280" w:top="274" w:right="279" w:bottom="1440" w:gutter="0" w:footer="0" w:header="0"/>
        </w:sectPr>
      </w:pPr>
    </w:p>
    <w:bookmarkStart w:id="165" w:name="page166"/>
    <w:bookmarkEnd w:id="165"/>
    <w:p>
      <w:pPr>
        <w:ind w:left="257" w:hanging="257"/>
        <w:spacing w:after="0"/>
        <w:tabs>
          <w:tab w:leader="none" w:pos="257" w:val="left"/>
        </w:tabs>
        <w:numPr>
          <w:ilvl w:val="0"/>
          <w:numId w:val="1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17" w:right="300" w:firstLine="421"/>
        <w:spacing w:after="0" w:line="312" w:lineRule="auto"/>
        <w:tabs>
          <w:tab w:leader="none" w:pos="732"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spacing w:after="0" w:line="38" w:lineRule="exact"/>
        <w:rPr>
          <w:rFonts w:ascii="Arial" w:cs="Arial" w:eastAsia="Arial" w:hAnsi="Arial"/>
          <w:sz w:val="16"/>
          <w:szCs w:val="16"/>
          <w:color w:val="auto"/>
        </w:rPr>
      </w:pPr>
    </w:p>
    <w:p>
      <w:pPr>
        <w:ind w:left="17" w:right="360" w:firstLine="421"/>
        <w:spacing w:after="0" w:line="259" w:lineRule="auto"/>
        <w:tabs>
          <w:tab w:leader="none" w:pos="722"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color w:val="auto"/>
        </w:rPr>
      </w:pPr>
    </w:p>
    <w:p>
      <w:pPr>
        <w:ind w:left="597" w:right="20" w:firstLine="389"/>
        <w:spacing w:after="0" w:line="257" w:lineRule="auto"/>
        <w:tabs>
          <w:tab w:leader="none" w:pos="1249" w:val="left"/>
        </w:tabs>
        <w:numPr>
          <w:ilvl w:val="2"/>
          <w:numId w:val="119"/>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an income tax treaty to which the United States is a party (x) with respect to payments of interest under any Loan Document, executed originals of IRS Form W-8BEN establishing an exemption from, or reduction of, U.S. federal withholding Tax pursuant to the “interest” article of such tax treaty and (y) with respect to any other applicable payments under any Loan Document, IRS Form W-8BEN establishing an exemption from, or reduction of, U.S. federal withholding Tax pursuant to the “business profits” or “other income” article of such tax treaty;</w:t>
      </w:r>
    </w:p>
    <w:p>
      <w:pPr>
        <w:spacing w:after="0" w:line="80" w:lineRule="exact"/>
        <w:rPr>
          <w:rFonts w:ascii="Arial" w:cs="Arial" w:eastAsia="Arial" w:hAnsi="Arial"/>
          <w:sz w:val="18"/>
          <w:szCs w:val="18"/>
          <w:color w:val="auto"/>
        </w:rPr>
      </w:pPr>
    </w:p>
    <w:p>
      <w:pPr>
        <w:ind w:left="1237" w:hanging="251"/>
        <w:spacing w:after="0"/>
        <w:tabs>
          <w:tab w:leader="none" w:pos="1237" w:val="left"/>
        </w:tabs>
        <w:numPr>
          <w:ilvl w:val="2"/>
          <w:numId w:val="119"/>
        </w:numPr>
        <w:rPr>
          <w:rFonts w:ascii="Arial" w:cs="Arial" w:eastAsia="Arial" w:hAnsi="Arial"/>
          <w:sz w:val="18"/>
          <w:szCs w:val="18"/>
          <w:color w:val="auto"/>
        </w:rPr>
      </w:pPr>
      <w:r>
        <w:rPr>
          <w:rFonts w:ascii="Arial" w:cs="Arial" w:eastAsia="Arial" w:hAnsi="Arial"/>
          <w:sz w:val="18"/>
          <w:szCs w:val="18"/>
          <w:color w:val="auto"/>
        </w:rPr>
        <w:t>executed originals of IRS Form W-8ECI;</w:t>
      </w:r>
    </w:p>
    <w:p>
      <w:pPr>
        <w:spacing w:after="0" w:line="117" w:lineRule="exact"/>
        <w:rPr>
          <w:rFonts w:ascii="Arial" w:cs="Arial" w:eastAsia="Arial" w:hAnsi="Arial"/>
          <w:sz w:val="18"/>
          <w:szCs w:val="18"/>
          <w:color w:val="auto"/>
        </w:rPr>
      </w:pPr>
    </w:p>
    <w:p>
      <w:pPr>
        <w:jc w:val="both"/>
        <w:ind w:left="597" w:right="60" w:firstLine="389"/>
        <w:spacing w:after="0" w:line="297" w:lineRule="auto"/>
        <w:tabs>
          <w:tab w:leader="none" w:pos="1249" w:val="left"/>
        </w:tabs>
        <w:numPr>
          <w:ilvl w:val="2"/>
          <w:numId w:val="119"/>
        </w:numPr>
        <w:rPr>
          <w:rFonts w:ascii="Arial" w:cs="Arial" w:eastAsia="Arial" w:hAnsi="Arial"/>
          <w:sz w:val="16"/>
          <w:szCs w:val="16"/>
          <w:color w:val="auto"/>
        </w:rPr>
      </w:pPr>
      <w:r>
        <w:rPr>
          <w:rFonts w:ascii="Arial" w:cs="Arial" w:eastAsia="Arial" w:hAnsi="Arial"/>
          <w:sz w:val="16"/>
          <w:szCs w:val="16"/>
          <w:color w:val="auto"/>
        </w:rPr>
        <w:t xml:space="preserve">in the case of a Foreign Lender claiming the benefits of the exemption for portfolio interest under Section 881(c) of the Internal Revenue Code, (x) a certificate substantially in the form of </w:t>
      </w:r>
      <w:r>
        <w:rPr>
          <w:rFonts w:ascii="Arial" w:cs="Arial" w:eastAsia="Arial" w:hAnsi="Arial"/>
          <w:sz w:val="16"/>
          <w:szCs w:val="16"/>
          <w:u w:val="single" w:color="auto"/>
          <w:color w:val="auto"/>
        </w:rPr>
        <w:t>Exhibit H-1</w:t>
      </w:r>
      <w:r>
        <w:rPr>
          <w:rFonts w:ascii="Arial" w:cs="Arial" w:eastAsia="Arial" w:hAnsi="Arial"/>
          <w:sz w:val="16"/>
          <w:szCs w:val="16"/>
          <w:color w:val="auto"/>
        </w:rPr>
        <w:t xml:space="preserve">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881(c)(3)(C) of the Internal Revenue Code (a “</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and (y) executed originals of IRS Form W-8BEN; or</w:t>
      </w:r>
    </w:p>
    <w:p>
      <w:pPr>
        <w:spacing w:after="0" w:line="50" w:lineRule="exact"/>
        <w:rPr>
          <w:rFonts w:ascii="Arial" w:cs="Arial" w:eastAsia="Arial" w:hAnsi="Arial"/>
          <w:sz w:val="16"/>
          <w:szCs w:val="16"/>
          <w:color w:val="auto"/>
        </w:rPr>
      </w:pPr>
    </w:p>
    <w:p>
      <w:pPr>
        <w:ind w:left="597" w:firstLine="389"/>
        <w:spacing w:after="0" w:line="297" w:lineRule="auto"/>
        <w:tabs>
          <w:tab w:leader="none" w:pos="1249" w:val="left"/>
        </w:tabs>
        <w:numPr>
          <w:ilvl w:val="2"/>
          <w:numId w:val="119"/>
        </w:numPr>
        <w:rPr>
          <w:rFonts w:ascii="Arial" w:cs="Arial" w:eastAsia="Arial" w:hAnsi="Arial"/>
          <w:sz w:val="16"/>
          <w:szCs w:val="16"/>
          <w:color w:val="auto"/>
        </w:rPr>
      </w:pPr>
      <w:r>
        <w:rPr>
          <w:rFonts w:ascii="Arial" w:cs="Arial" w:eastAsia="Arial" w:hAnsi="Arial"/>
          <w:sz w:val="16"/>
          <w:szCs w:val="16"/>
          <w:color w:val="auto"/>
        </w:rPr>
        <w:t xml:space="preserve">to the extent a Foreign Lender is not the beneficial owner, executed originals of IRS Form W-8IMY, accompanied by IRS Form W-8ECI, IRS Form W-8BEN, a U.S. Tax Compliance Certificate substantially in the form of </w:t>
      </w:r>
      <w:r>
        <w:rPr>
          <w:rFonts w:ascii="Arial" w:cs="Arial" w:eastAsia="Arial" w:hAnsi="Arial"/>
          <w:sz w:val="16"/>
          <w:szCs w:val="16"/>
          <w:u w:val="single" w:color="auto"/>
          <w:color w:val="auto"/>
        </w:rPr>
        <w:t>Exhibit H-2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H-3</w:t>
      </w:r>
      <w:r>
        <w:rPr>
          <w:rFonts w:ascii="Arial" w:cs="Arial" w:eastAsia="Arial" w:hAnsi="Arial"/>
          <w:sz w:val="16"/>
          <w:szCs w:val="16"/>
          <w:color w:val="auto"/>
        </w:rPr>
        <w:t xml:space="preserve">, IRS Form W-9, and/or other certification documents from each beneficial owner,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6"/>
          <w:szCs w:val="16"/>
          <w:u w:val="single" w:color="auto"/>
          <w:color w:val="auto"/>
        </w:rPr>
        <w:t>Exhibit H-4</w:t>
      </w:r>
      <w:r>
        <w:rPr>
          <w:rFonts w:ascii="Arial" w:cs="Arial" w:eastAsia="Arial" w:hAnsi="Arial"/>
          <w:sz w:val="16"/>
          <w:szCs w:val="16"/>
          <w:color w:val="auto"/>
        </w:rPr>
        <w:t xml:space="preserve"> on behalf of each such direct and indirect partner;</w:t>
      </w:r>
    </w:p>
    <w:p>
      <w:pPr>
        <w:spacing w:after="0" w:line="91" w:lineRule="exact"/>
        <w:rPr>
          <w:sz w:val="20"/>
          <w:szCs w:val="20"/>
          <w:color w:val="auto"/>
        </w:rPr>
      </w:pPr>
    </w:p>
    <w:p>
      <w:pPr>
        <w:ind w:left="4717"/>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477"/>
          </w:cols>
          <w:pgMar w:left="1143" w:top="274" w:right="279" w:bottom="1440" w:gutter="0" w:footer="0" w:header="0"/>
        </w:sectPr>
      </w:pPr>
    </w:p>
    <w:bookmarkStart w:id="166" w:name="page167"/>
    <w:bookmarkEnd w:id="166"/>
    <w:p>
      <w:pPr>
        <w:ind w:left="900" w:right="20" w:firstLine="421"/>
        <w:spacing w:after="0" w:line="255" w:lineRule="auto"/>
        <w:tabs>
          <w:tab w:leader="none" w:pos="1605" w:val="left"/>
        </w:tabs>
        <w:numPr>
          <w:ilvl w:val="2"/>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5" w:lineRule="exact"/>
        <w:rPr>
          <w:rFonts w:ascii="Arial" w:cs="Arial" w:eastAsia="Arial" w:hAnsi="Arial"/>
          <w:sz w:val="18"/>
          <w:szCs w:val="18"/>
          <w:color w:val="auto"/>
        </w:rPr>
      </w:pPr>
    </w:p>
    <w:p>
      <w:pPr>
        <w:ind w:left="900" w:firstLine="421"/>
        <w:spacing w:after="0" w:line="270" w:lineRule="auto"/>
        <w:tabs>
          <w:tab w:leader="none" w:pos="1615" w:val="left"/>
        </w:tabs>
        <w:numPr>
          <w:ilvl w:val="2"/>
          <w:numId w:val="120"/>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73" w:lineRule="exact"/>
        <w:rPr>
          <w:rFonts w:ascii="Arial" w:cs="Arial" w:eastAsia="Arial" w:hAnsi="Arial"/>
          <w:sz w:val="17"/>
          <w:szCs w:val="17"/>
          <w:color w:val="auto"/>
        </w:rPr>
      </w:pPr>
    </w:p>
    <w:p>
      <w:pPr>
        <w:ind w:left="440" w:right="80" w:firstLine="443"/>
        <w:spacing w:after="0" w:line="264" w:lineRule="auto"/>
        <w:tabs>
          <w:tab w:leader="none" w:pos="1193"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81" w:lineRule="exact"/>
        <w:rPr>
          <w:rFonts w:ascii="Arial" w:cs="Arial" w:eastAsia="Arial" w:hAnsi="Arial"/>
          <w:sz w:val="18"/>
          <w:szCs w:val="18"/>
          <w:color w:val="auto"/>
        </w:rPr>
      </w:pPr>
    </w:p>
    <w:p>
      <w:pPr>
        <w:ind w:left="-20" w:right="20" w:firstLine="464"/>
        <w:spacing w:after="0" w:line="286" w:lineRule="auto"/>
        <w:tabs>
          <w:tab w:leader="none" w:pos="661"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the Loan Party an amount equal to such refund (but only to the extent of indemnity payments made, or additional amounts paid, by a Loan Party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60" w:top="274" w:right="239" w:bottom="1440" w:gutter="0" w:footer="0" w:header="0"/>
        </w:sectPr>
      </w:pPr>
    </w:p>
    <w:bookmarkStart w:id="167" w:name="page168"/>
    <w:bookmarkEnd w:id="167"/>
    <w:p>
      <w:pPr>
        <w:ind w:right="400" w:firstLine="464"/>
        <w:spacing w:after="0" w:line="264" w:lineRule="auto"/>
        <w:tabs>
          <w:tab w:leader="none" w:pos="711"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3.02 </w:t>
      </w:r>
      <w:r>
        <w:rPr>
          <w:rFonts w:ascii="Arial" w:cs="Arial" w:eastAsia="Arial" w:hAnsi="Arial"/>
          <w:sz w:val="18"/>
          <w:szCs w:val="18"/>
          <w:u w:val="single" w:color="auto"/>
          <w:color w:val="auto"/>
        </w:rPr>
        <w:t>Illegality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any Lender determines that any Law has made it unlawful, or that any Governmental Authority has asserted that it is unlawful, for any Lender or its Lending Office to perform any of its obligations hereunder or make, maintain or fund or charge interest with respect to any Credit Extensions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(a) any obligation of such Lender to issue, make, maintain, fund or charge interest with respect to any such Credit Extension or continue Eurodollar Rate Loans or to convert Base Rate Loans to Eurodollar Rate Loans shall be suspended and (b)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 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3.03 </w:t>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71" w:lineRule="auto"/>
        <w:tabs>
          <w:tab w:leader="none" w:pos="701"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in connection with any request for a Eurodollar Rate Loan or a conversion to or continuation thereof, (i) the Administrative Agent reasonably determines that (A) Dollar deposits are not being offered to banks in the London interbank eurodollar market for the applicable amount and Interest Period of such Eurodollar Rate Loan, or (B) adequate and reasonable means do not exist for determining the Eurodollar Rate for any requested Interest Period with respect to a proposed Eurodollar Rate Loan or in connection with an existing or proposed Base Rate Loan (in each case with respect to clause (i), “</w:t>
      </w:r>
      <w:r>
        <w:rPr>
          <w:rFonts w:ascii="Arial" w:cs="Arial" w:eastAsia="Arial" w:hAnsi="Arial"/>
          <w:sz w:val="17"/>
          <w:szCs w:val="17"/>
          <w:u w:val="single" w:color="auto"/>
          <w:color w:val="auto"/>
        </w:rPr>
        <w:t>Impacted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Loans</w:t>
      </w:r>
      <w:r>
        <w:rPr>
          <w:rFonts w:ascii="Arial" w:cs="Arial" w:eastAsia="Arial" w:hAnsi="Arial"/>
          <w:sz w:val="17"/>
          <w:szCs w:val="17"/>
          <w:color w:val="auto"/>
        </w:rPr>
        <w:t>”), or (ii) the Administrative Agent or the Required Lenders reasonably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168" w:name="page169"/>
    <w:bookmarkEnd w:id="168"/>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58" w:lineRule="exact"/>
        <w:rPr>
          <w:sz w:val="20"/>
          <w:szCs w:val="20"/>
          <w:color w:val="auto"/>
        </w:rPr>
      </w:pPr>
    </w:p>
    <w:p>
      <w:pPr>
        <w:ind w:right="40" w:firstLine="464"/>
        <w:spacing w:after="0" w:line="270" w:lineRule="auto"/>
        <w:tabs>
          <w:tab w:leader="none" w:pos="71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Notwithstanding the foregoing, if the Administrative Agent has made the determination described in clause (a)(i)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(a)(i) of this Section, (2) the Administrative Agent or the Required Lenders notify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Increased Costs; Reserves on Eurodollar Rate Loans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60" w:right="220" w:firstLine="443"/>
        <w:spacing w:after="0" w:line="291" w:lineRule="auto"/>
        <w:tabs>
          <w:tab w:leader="none" w:pos="1113" w:val="left"/>
        </w:tabs>
        <w:numPr>
          <w:ilvl w:val="1"/>
          <w:numId w:val="126"/>
        </w:numPr>
        <w:rPr>
          <w:rFonts w:ascii="Arial" w:cs="Arial" w:eastAsia="Arial" w:hAnsi="Arial"/>
          <w:sz w:val="16"/>
          <w:szCs w:val="16"/>
          <w:color w:val="auto"/>
        </w:rPr>
      </w:pPr>
      <w:r>
        <w:rPr>
          <w:rFonts w:ascii="Arial" w:cs="Arial" w:eastAsia="Arial" w:hAnsi="Arial"/>
          <w:sz w:val="16"/>
          <w:szCs w:val="16"/>
          <w:color w:val="auto"/>
        </w:rPr>
        <w:t>impose, modify or deem applicable any reserve, special deposit, compulsory loan, insurance charge or similar requirement against assets of, deposits with or for the account of, or credit extended or participated in by, any Lender (except any reserve requirement contemplated by</w:t>
      </w:r>
    </w:p>
    <w:p>
      <w:pPr>
        <w:ind w:left="460"/>
        <w:spacing w:after="0"/>
        <w:rPr>
          <w:rFonts w:ascii="Arial" w:cs="Arial" w:eastAsia="Arial" w:hAnsi="Arial"/>
          <w:sz w:val="16"/>
          <w:szCs w:val="16"/>
          <w:color w:val="auto"/>
        </w:rPr>
      </w:pPr>
      <w:r>
        <w:rPr>
          <w:rFonts w:ascii="Arial" w:cs="Arial" w:eastAsia="Arial" w:hAnsi="Arial"/>
          <w:sz w:val="18"/>
          <w:szCs w:val="18"/>
          <w:u w:val="single" w:color="auto"/>
          <w:color w:val="auto"/>
        </w:rPr>
        <w:t>Section 3.04(e)</w:t>
      </w:r>
      <w:r>
        <w:rPr>
          <w:rFonts w:ascii="Arial" w:cs="Arial" w:eastAsia="Arial" w:hAnsi="Arial"/>
          <w:sz w:val="18"/>
          <w:szCs w:val="18"/>
          <w:color w:val="auto"/>
        </w:rPr>
        <w:t>) or the L/C Issuer;</w:t>
      </w:r>
    </w:p>
    <w:p>
      <w:pPr>
        <w:spacing w:after="0" w:line="102" w:lineRule="exact"/>
        <w:rPr>
          <w:rFonts w:ascii="Arial" w:cs="Arial" w:eastAsia="Arial" w:hAnsi="Arial"/>
          <w:sz w:val="16"/>
          <w:szCs w:val="16"/>
          <w:color w:val="auto"/>
        </w:rPr>
      </w:pPr>
    </w:p>
    <w:p>
      <w:pPr>
        <w:jc w:val="both"/>
        <w:ind w:left="460" w:right="400" w:firstLine="443"/>
        <w:spacing w:after="0" w:line="264" w:lineRule="auto"/>
        <w:tabs>
          <w:tab w:leader="none" w:pos="116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73" w:lineRule="exact"/>
        <w:rPr>
          <w:rFonts w:ascii="Arial" w:cs="Arial" w:eastAsia="Arial" w:hAnsi="Arial"/>
          <w:sz w:val="18"/>
          <w:szCs w:val="18"/>
          <w:color w:val="auto"/>
        </w:rPr>
      </w:pPr>
    </w:p>
    <w:p>
      <w:pPr>
        <w:ind w:left="460" w:right="340" w:firstLine="443"/>
        <w:spacing w:after="0" w:line="277" w:lineRule="auto"/>
        <w:tabs>
          <w:tab w:leader="none" w:pos="1213" w:val="left"/>
        </w:tabs>
        <w:numPr>
          <w:ilvl w:val="1"/>
          <w:numId w:val="126"/>
        </w:numPr>
        <w:rPr>
          <w:rFonts w:ascii="Arial" w:cs="Arial" w:eastAsia="Arial" w:hAnsi="Arial"/>
          <w:sz w:val="18"/>
          <w:szCs w:val="18"/>
          <w:color w:val="auto"/>
        </w:rPr>
      </w:pPr>
      <w:r>
        <w:rPr>
          <w:rFonts w:ascii="Arial" w:cs="Arial" w:eastAsia="Arial" w:hAnsi="Arial"/>
          <w:sz w:val="18"/>
          <w:szCs w:val="18"/>
          <w:color w:val="auto"/>
        </w:rPr>
        <w:t>impose on any Lender or the L/C Issuer or the London interbank market any other condition, cost or expense affecting this Agreement or Eurodollar Rate Loans made by such Lender or any Letter of Credit or participation therein;</w:t>
      </w:r>
    </w:p>
    <w:p>
      <w:pPr>
        <w:spacing w:after="0" w:line="62"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and the result of any of the foregoing shall be to increase the cost to such Lender of making, converting to, continuing or maintaining any Loan the interest on which is determined by reference to the Eurodollar Rate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169" w:name="page170"/>
    <w:bookmarkEnd w:id="169"/>
    <w:p>
      <w:pPr>
        <w:ind w:firstLine="464"/>
        <w:spacing w:after="0" w:line="270" w:lineRule="auto"/>
        <w:tabs>
          <w:tab w:leader="none" w:pos="711"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Requirements</w:t>
      </w:r>
      <w:r>
        <w:rPr>
          <w:rFonts w:ascii="Arial" w:cs="Arial" w:eastAsia="Arial" w:hAnsi="Arial"/>
          <w:sz w:val="17"/>
          <w:szCs w:val="17"/>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81" w:lineRule="exact"/>
        <w:rPr>
          <w:rFonts w:ascii="Arial" w:cs="Arial" w:eastAsia="Arial" w:hAnsi="Arial"/>
          <w:sz w:val="17"/>
          <w:szCs w:val="17"/>
          <w:color w:val="auto"/>
        </w:rPr>
      </w:pPr>
    </w:p>
    <w:p>
      <w:pPr>
        <w:ind w:firstLine="464"/>
        <w:spacing w:after="0" w:line="259" w:lineRule="auto"/>
        <w:tabs>
          <w:tab w:leader="none" w:pos="70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A certificate of a Lender or the L/C Issuer setting forth the amount or amounts necessary to compensate such Lender or the L/C Issuer or its holding company, as the case may be, as specified in subsection (a) or (b) of this Section and delivered to the Borrower shall be conclusive absent manifest error. The Borrower shall pay such Lender or the L/C Issuer, as the case may be, the amount shown as due on any such certificate within ten days after receipt thereof.</w:t>
      </w:r>
    </w:p>
    <w:p>
      <w:pPr>
        <w:spacing w:after="0" w:line="186" w:lineRule="exact"/>
        <w:rPr>
          <w:rFonts w:ascii="Arial" w:cs="Arial" w:eastAsia="Arial" w:hAnsi="Arial"/>
          <w:sz w:val="18"/>
          <w:szCs w:val="18"/>
          <w:color w:val="auto"/>
        </w:rPr>
      </w:pPr>
    </w:p>
    <w:p>
      <w:pPr>
        <w:ind w:firstLine="464"/>
        <w:spacing w:after="0" w:line="255" w:lineRule="auto"/>
        <w:tabs>
          <w:tab w:leader="none" w:pos="71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Delay in Requests</w:t>
      </w:r>
      <w:r>
        <w:rPr>
          <w:rFonts w:ascii="Arial" w:cs="Arial" w:eastAsia="Arial" w:hAnsi="Arial"/>
          <w:sz w:val="18"/>
          <w:szCs w:val="18"/>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not be required to compensate a Lender or the L/C Issuer pursuant to the foregoing provisions of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89" w:lineRule="exact"/>
        <w:rPr>
          <w:rFonts w:ascii="Arial" w:cs="Arial" w:eastAsia="Arial" w:hAnsi="Arial"/>
          <w:sz w:val="18"/>
          <w:szCs w:val="18"/>
          <w:color w:val="auto"/>
        </w:rPr>
      </w:pPr>
    </w:p>
    <w:p>
      <w:pPr>
        <w:ind w:right="80" w:firstLine="464"/>
        <w:spacing w:after="0" w:line="272" w:lineRule="auto"/>
        <w:tabs>
          <w:tab w:leader="none" w:pos="701"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Reserves on Eurodollar Rate Loans</w:t>
      </w:r>
      <w:r>
        <w:rPr>
          <w:rFonts w:ascii="Arial" w:cs="Arial" w:eastAsia="Arial" w:hAnsi="Arial"/>
          <w:sz w:val="17"/>
          <w:szCs w:val="17"/>
          <w:color w:val="auto"/>
        </w:rPr>
        <w:t>.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provided the Borrower shall have received at least ten (10) days’ prior notice (with a copy to the Administrative Agent) of such additional interest or costs from such Lender. If a Lender fails to give notice ten (10) days prior to the relevant Interest Payment Date, such additional interest shall be due and payable ten (10) days from receipt of such notice.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3.05 </w:t>
      </w:r>
      <w:r>
        <w:rPr>
          <w:rFonts w:ascii="Arial" w:cs="Arial" w:eastAsia="Arial" w:hAnsi="Arial"/>
          <w:sz w:val="18"/>
          <w:szCs w:val="18"/>
          <w:u w:val="single" w:color="auto"/>
          <w:color w:val="auto"/>
        </w:rPr>
        <w:t>Compensation for Losses</w:t>
      </w:r>
      <w:r>
        <w:rPr>
          <w:rFonts w:ascii="Arial" w:cs="Arial" w:eastAsia="Arial" w:hAnsi="Arial"/>
          <w:sz w:val="18"/>
          <w:szCs w:val="18"/>
          <w:color w:val="auto"/>
        </w:rPr>
        <w:t>.</w:t>
      </w:r>
    </w:p>
    <w:p>
      <w:pPr>
        <w:spacing w:after="0" w:line="22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170" w:name="page171"/>
    <w:bookmarkEnd w:id="170"/>
    <w:p>
      <w:pPr>
        <w:ind w:left="460" w:right="160" w:firstLine="443"/>
        <w:spacing w:after="0" w:line="277" w:lineRule="auto"/>
        <w:tabs>
          <w:tab w:leader="none" w:pos="1143"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continuation, conversion, payment or prepayment of any Eurodollar Rate Loan on a day other than the last day of the Interest Period for such Loan (whether voluntary, mandatory, automatic, by reason of acceleration, or otherwise);</w:t>
      </w:r>
    </w:p>
    <w:p>
      <w:pPr>
        <w:spacing w:after="0" w:line="62" w:lineRule="exact"/>
        <w:rPr>
          <w:rFonts w:ascii="Arial" w:cs="Arial" w:eastAsia="Arial" w:hAnsi="Arial"/>
          <w:sz w:val="18"/>
          <w:szCs w:val="18"/>
          <w:color w:val="auto"/>
        </w:rPr>
      </w:pPr>
    </w:p>
    <w:p>
      <w:pPr>
        <w:ind w:left="460" w:right="300" w:firstLine="443"/>
        <w:spacing w:after="0" w:line="277" w:lineRule="auto"/>
        <w:tabs>
          <w:tab w:leader="none" w:pos="115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Eurodollar Rate Loan on the date or in the amount notified by the Borrower; or</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14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any assignment of a Eurodollar Rate Loan on a day other than the last day of the Interest Period therefor as a result of a request by the Borrower pursuant to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Loan or from fees payable to terminate the deposits from which such funds were obtained but excluding any loss of anticipated profits. The Borrower shall also pay any customary administrative fees charged by such Lender in connection with the foregoing.</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For purposes of calculating amounts payable by the Borrower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Eurodollar Rate Loan made by it at the Eurodollar Rate used in determining the Eurodollar Rate for such Loan by a matching deposit or other borrowing in the London interbank eurodollar market for a comparable amount and for a comparable period, whether or not such Eurodollar Rate Loan was in fact so funded.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3.06 </w:t>
      </w:r>
      <w:r>
        <w:rPr>
          <w:rFonts w:ascii="Arial" w:cs="Arial" w:eastAsia="Arial" w:hAnsi="Arial"/>
          <w:sz w:val="18"/>
          <w:szCs w:val="18"/>
          <w:u w:val="single" w:color="auto"/>
          <w:color w:val="auto"/>
        </w:rPr>
        <w:t>Mitigation of Obligations; Replacement of Lenders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9" w:lineRule="auto"/>
        <w:tabs>
          <w:tab w:leader="none" w:pos="701"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Each Lender may make any Credit Extension to the Borrower through any Lending Office, provided that the exercise of this option shall not affect the obligation of the Borrower to repay the Credit Extension in accordance with the terms of this Agreement.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the Borrower is required to pay any Indemnified Taxes or additional amounts to any Lender, the L/C Issuer, or any Governmental Authority for the account of any Lender or the L/C Issuer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at the request of the Borrower such Lender or the L/C Issuer, as applicable, shall use reasonable efforts to designate a different Lending Office for funding or booking its Loans hereunder or to assign its rights and obligations hereunder to another of its offices, branches or affiliates, if, in the judgment of such Lender or the L/C Issuer, as applicable,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82" w:lineRule="exact"/>
        <w:rPr>
          <w:rFonts w:ascii="Arial" w:cs="Arial" w:eastAsia="Arial" w:hAnsi="Arial"/>
          <w:sz w:val="17"/>
          <w:szCs w:val="17"/>
          <w:color w:val="auto"/>
        </w:rPr>
      </w:pPr>
    </w:p>
    <w:p>
      <w:pPr>
        <w:jc w:val="both"/>
        <w:ind w:right="160" w:firstLine="464"/>
        <w:spacing w:after="0" w:line="259" w:lineRule="auto"/>
        <w:tabs>
          <w:tab w:leader="none" w:pos="711"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74" w:right="2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All of the Loan Parties’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Revolving Commitments, repayment of all other Obligations hereunder and resignation of the Administrative Agent.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GUARANTY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The Guaranty</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of the Guarantors hereby jointly and severally guarantees to the Administrative Agent, each Lender and each other holder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is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6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Notwithstanding any provision to the contrary contained herein or in any other of the Loan Documents or the other documents relating to the Obligations, the obligations of each Guarantor under this Agreement and the other Loan Documents shall not exceed an aggregate amount equal to the largest amount that would not render such obligations subject to avoidance under applicable Debtor Relief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Obligations Unconditional</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The obligations of the Guarantors under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joint and several, absolute and unconditional, irrespective of the value, genuineness, validity, regularity or enforceability of any of the Loan Documents or other documents relating to the Obligations, or any substitution, release, impairment or exchange of any other guarantee of or security for any of the Obligations, and, to the fullest extent permitted by applicable Law, irrespective of any other circumstance whatsoever which might otherwise constitute a legal or equitable discharge or defense of a surety or guarantor (other than payment in full of the Obligations in cash and termination or expiration of the Commitments), it being the intent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until such time as the Obligations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70" w:lineRule="exact"/>
        <w:rPr>
          <w:sz w:val="20"/>
          <w:szCs w:val="20"/>
          <w:color w:val="auto"/>
        </w:rPr>
      </w:pPr>
    </w:p>
    <w:p>
      <w:pPr>
        <w:ind w:left="460" w:right="120" w:firstLine="443"/>
        <w:spacing w:after="0" w:line="277" w:lineRule="auto"/>
        <w:tabs>
          <w:tab w:leader="none" w:pos="114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any Guarantor, the time for any performance of or compliance with any of the Obligations shall be extended, or such performance or compliance shall be waived;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172" w:name="page173"/>
    <w:bookmarkEnd w:id="172"/>
    <w:p>
      <w:pPr>
        <w:ind w:left="460" w:right="180" w:firstLine="443"/>
        <w:spacing w:after="0" w:line="277" w:lineRule="auto"/>
        <w:tabs>
          <w:tab w:leader="none" w:pos="11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the acts mentioned in any of the provisions of any of the Loan Documents or any other document relating to the Obligations shall be done or omitted;</w:t>
      </w:r>
    </w:p>
    <w:p>
      <w:pPr>
        <w:spacing w:after="0" w:line="62" w:lineRule="exact"/>
        <w:rPr>
          <w:rFonts w:ascii="Arial" w:cs="Arial" w:eastAsia="Arial" w:hAnsi="Arial"/>
          <w:sz w:val="18"/>
          <w:szCs w:val="18"/>
          <w:color w:val="auto"/>
        </w:rPr>
      </w:pPr>
    </w:p>
    <w:p>
      <w:pPr>
        <w:ind w:left="460" w:right="60" w:firstLine="443"/>
        <w:spacing w:after="0" w:line="286" w:lineRule="auto"/>
        <w:tabs>
          <w:tab w:leader="none" w:pos="1143"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maturity of any of the Obligations shall be accelerated, or any of the Obligations shall be modified, supplemented or amended in any respect, or any right under any of the Loan Documents or any other document relating to the Obligations shall be waived or any other guarantee of any of the Obligations or any security therefor shall be released, impaired or exchanged in whole or in part or otherwise dealt with;</w:t>
      </w:r>
    </w:p>
    <w:p>
      <w:pPr>
        <w:spacing w:after="0" w:line="57" w:lineRule="exact"/>
        <w:rPr>
          <w:rFonts w:ascii="Arial" w:cs="Arial" w:eastAsia="Arial" w:hAnsi="Arial"/>
          <w:sz w:val="17"/>
          <w:szCs w:val="17"/>
          <w:color w:val="auto"/>
        </w:rPr>
      </w:pPr>
    </w:p>
    <w:p>
      <w:pPr>
        <w:ind w:left="460" w:firstLine="443"/>
        <w:spacing w:after="0" w:line="277" w:lineRule="auto"/>
        <w:tabs>
          <w:tab w:leader="none" w:pos="115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Lien granted to, or in favor of, the Administrative Agent or any other holder of the Obligations as security for any of the Obligations shall fail to attach or be perfected; or</w:t>
      </w:r>
    </w:p>
    <w:p>
      <w:pPr>
        <w:spacing w:after="0" w:line="62" w:lineRule="exact"/>
        <w:rPr>
          <w:rFonts w:ascii="Arial" w:cs="Arial" w:eastAsia="Arial" w:hAnsi="Arial"/>
          <w:sz w:val="18"/>
          <w:szCs w:val="18"/>
          <w:color w:val="auto"/>
        </w:rPr>
      </w:pPr>
    </w:p>
    <w:p>
      <w:pPr>
        <w:ind w:left="460" w:right="460" w:firstLine="443"/>
        <w:spacing w:after="0" w:line="277" w:lineRule="auto"/>
        <w:tabs>
          <w:tab w:leader="none" w:pos="114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of the Obligations shall be determined to be void or voidable (including for the benefit of any creditor of any Guarantor) or shall be subordinated to the claims of any Person (including any creditor of any Guarantor).</w:t>
      </w:r>
    </w:p>
    <w:p>
      <w:pPr>
        <w:spacing w:after="0" w:line="17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With respect to its obligations hereunder, each Guarantor hereby expressly waives diligence, presentment, demand of payment, protest and all notices whatsoever and any requirement that the Administrative Agent or any other holder of the Obligations exhaust any right, power or remedy or proceed against any Person under any of the Loan Documents or any other document relating to the Obligations or against any other Person under any other guarantee of, or security for, any of the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4.03 </w:t>
      </w:r>
      <w:r>
        <w:rPr>
          <w:rFonts w:ascii="Arial" w:cs="Arial" w:eastAsia="Arial" w:hAnsi="Arial"/>
          <w:sz w:val="18"/>
          <w:szCs w:val="18"/>
          <w:u w:val="single" w:color="auto"/>
          <w:color w:val="auto"/>
        </w:rPr>
        <w:t>Reinstatement</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 xml:space="preserve">The obligations of each Guarantor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other holder of the Obligations on demand for all reasonable costs and expenses (including the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4.04 </w:t>
      </w:r>
      <w:r>
        <w:rPr>
          <w:rFonts w:ascii="Arial" w:cs="Arial" w:eastAsia="Arial" w:hAnsi="Arial"/>
          <w:sz w:val="18"/>
          <w:szCs w:val="18"/>
          <w:u w:val="single" w:color="auto"/>
          <w:color w:val="auto"/>
        </w:rPr>
        <w:t>Certain Additional Waivers</w:t>
      </w:r>
      <w:r>
        <w:rPr>
          <w:rFonts w:ascii="Arial" w:cs="Arial" w:eastAsia="Arial" w:hAnsi="Arial"/>
          <w:sz w:val="18"/>
          <w:szCs w:val="18"/>
          <w:color w:val="auto"/>
        </w:rPr>
        <w:t>.</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Each Guarantor agrees that such Guarantor shall have no right of recourse to security for the Obligations, except through the exercise of rights of subrogation pursuant to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through the exercise of rights of contribution pursuant to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4.05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The Guarantors agree that, to the fullest extent permitted by Law, as between the Guarantors, on the one hand, and the Administrative Agent and the other holders of the Obligations, on the other hand, the Obligations may be declared to be forthwith due and payable as specified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shall be deemed to have become automatically due and payable in the circumstances specified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for purposes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274" w:right="279" w:bottom="1440" w:gutter="0" w:footer="0" w:header="0"/>
        </w:sectPr>
      </w:pPr>
    </w:p>
    <w:bookmarkStart w:id="173" w:name="page174"/>
    <w:bookmarkEnd w:id="173"/>
    <w:p>
      <w:pPr>
        <w:ind w:right="6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shall forthwith become due and payable by the Guarantors for purposes of </w:t>
      </w:r>
      <w:r>
        <w:rPr>
          <w:rFonts w:ascii="Arial" w:cs="Arial" w:eastAsia="Arial" w:hAnsi="Arial"/>
          <w:sz w:val="18"/>
          <w:szCs w:val="18"/>
          <w:u w:val="single" w:color="auto"/>
          <w:color w:val="auto"/>
        </w:rPr>
        <w:t>Section 4.01</w:t>
      </w:r>
      <w:r>
        <w:rPr>
          <w:rFonts w:ascii="Arial" w:cs="Arial" w:eastAsia="Arial" w:hAnsi="Arial"/>
          <w:sz w:val="18"/>
          <w:szCs w:val="18"/>
          <w:color w:val="auto"/>
        </w:rPr>
        <w:t>. The Guarantors acknowledge and agree that their obligations hereunder are secured in accordance with the terms of the Collateral Documents and that the holders of the Obligations may exercise their remedies thereunder in accordance with the terms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4.06 </w:t>
      </w:r>
      <w:r>
        <w:rPr>
          <w:rFonts w:ascii="Arial" w:cs="Arial" w:eastAsia="Arial" w:hAnsi="Arial"/>
          <w:sz w:val="18"/>
          <w:szCs w:val="18"/>
          <w:u w:val="single" w:color="auto"/>
          <w:color w:val="auto"/>
        </w:rPr>
        <w:t>Rights of Contribution</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the Obligations have been paid in full and the Commitments have terminated.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4.07 </w:t>
      </w:r>
      <w:r>
        <w:rPr>
          <w:rFonts w:ascii="Arial" w:cs="Arial" w:eastAsia="Arial" w:hAnsi="Arial"/>
          <w:sz w:val="18"/>
          <w:szCs w:val="18"/>
          <w:u w:val="single" w:color="auto"/>
          <w:color w:val="auto"/>
        </w:rPr>
        <w:t>Guarantee of Payment; Continuing Guarantee</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The guarantee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a guaranty of payment and not of collection, is a continuing guarantee, and shall apply to the Obligations whenever arising.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4.08 </w:t>
      </w:r>
      <w:r>
        <w:rPr>
          <w:rFonts w:ascii="Arial" w:cs="Arial" w:eastAsia="Arial" w:hAnsi="Arial"/>
          <w:sz w:val="18"/>
          <w:szCs w:val="18"/>
          <w:u w:val="single" w:color="auto"/>
          <w:color w:val="auto"/>
        </w:rPr>
        <w:t>Keepwell</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Each Loan Party that is a Qualified ECP Guarantor at the time the Guaranty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by any Loan Party that is not then an “eligible contract participant” under the Commodity Exchange Act (a “</w:t>
      </w:r>
      <w:r>
        <w:rPr>
          <w:rFonts w:ascii="Arial" w:cs="Arial" w:eastAsia="Arial" w:hAnsi="Arial"/>
          <w:sz w:val="17"/>
          <w:szCs w:val="17"/>
          <w:u w:val="single" w:color="auto"/>
          <w:color w:val="auto"/>
        </w:rPr>
        <w:t>Specified Loan Party</w:t>
      </w:r>
      <w:r>
        <w:rPr>
          <w:rFonts w:ascii="Arial" w:cs="Arial" w:eastAsia="Arial" w:hAnsi="Arial"/>
          <w:sz w:val="17"/>
          <w:szCs w:val="17"/>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voidable under applicable Debtor Relief Laws, and not for any greater amount). The obligations and undertakings of each Qualified ECP Guarantor under this Section shall remain in full force and effect until the Obligations have been indefeasibly paid and performed in full. Each Loan Party intends this Section to constitute, and this Section shall be deemed to constitute, a “keepwell, support, or other agreement” for the benefit of each Specified Loan Party for all purposes of the Commodity Exchange Act.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 TO CREDIT EXTENSIONS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Conditions of Effectiveness</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This Agreement shall be effective upon satisfaction of the following conditions precedent in each case in a manner satisfactory to the Administrative Agent and each Lender:</w:t>
      </w:r>
    </w:p>
    <w:p>
      <w:pPr>
        <w:spacing w:after="0" w:line="62" w:lineRule="exact"/>
        <w:rPr>
          <w:sz w:val="20"/>
          <w:szCs w:val="20"/>
          <w:color w:val="auto"/>
        </w:rPr>
      </w:pPr>
    </w:p>
    <w:p>
      <w:pPr>
        <w:ind w:left="460" w:right="440" w:firstLine="443"/>
        <w:spacing w:after="0" w:line="308" w:lineRule="auto"/>
        <w:tabs>
          <w:tab w:leader="none" w:pos="1143"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Loan Documents</w:t>
      </w:r>
      <w:r>
        <w:rPr>
          <w:rFonts w:ascii="Arial" w:cs="Arial" w:eastAsia="Arial" w:hAnsi="Arial"/>
          <w:sz w:val="17"/>
          <w:szCs w:val="17"/>
          <w:color w:val="auto"/>
        </w:rPr>
        <w:t>. Receipt by the Administrative Agent of executed counterparts of this Agreement and the other Loan Documents, each properly executed by a Responsible Officer of the signing Loan Party and, in the case of this Agreement, by each Lender.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274" w:right="259" w:bottom="1440" w:gutter="0" w:footer="0" w:header="0"/>
        </w:sectPr>
      </w:pPr>
    </w:p>
    <w:bookmarkStart w:id="174" w:name="page175"/>
    <w:bookmarkEnd w:id="174"/>
    <w:p>
      <w:pPr>
        <w:ind w:left="700" w:hanging="257"/>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to Value Ratio</w:t>
      </w:r>
      <w:r>
        <w:rPr>
          <w:rFonts w:ascii="Arial" w:cs="Arial" w:eastAsia="Arial" w:hAnsi="Arial"/>
          <w:sz w:val="18"/>
          <w:szCs w:val="18"/>
          <w:color w:val="auto"/>
        </w:rPr>
        <w:t>. The Loan to Value Ratio shall not exceed 80% on the Closing Date.</w:t>
      </w:r>
    </w:p>
    <w:p>
      <w:pPr>
        <w:spacing w:after="0" w:line="117" w:lineRule="exact"/>
        <w:rPr>
          <w:rFonts w:ascii="Arial" w:cs="Arial" w:eastAsia="Arial" w:hAnsi="Arial"/>
          <w:sz w:val="18"/>
          <w:szCs w:val="18"/>
          <w:color w:val="auto"/>
        </w:rPr>
      </w:pPr>
    </w:p>
    <w:p>
      <w:pPr>
        <w:ind w:right="460" w:firstLine="443"/>
        <w:spacing w:after="0" w:line="277" w:lineRule="auto"/>
        <w:tabs>
          <w:tab w:leader="none" w:pos="683"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Opinions of Counsel</w:t>
      </w:r>
      <w:r>
        <w:rPr>
          <w:rFonts w:ascii="Arial" w:cs="Arial" w:eastAsia="Arial" w:hAnsi="Arial"/>
          <w:sz w:val="18"/>
          <w:szCs w:val="18"/>
          <w:color w:val="auto"/>
        </w:rPr>
        <w:t>. Receipt by the Administrative Agent of favorable opinions of legal counsel to the Loan Parties, addressed to the Administrative Agent and each Lender, dated as of the Closing Date.</w:t>
      </w:r>
    </w:p>
    <w:p>
      <w:pPr>
        <w:spacing w:after="0" w:line="62" w:lineRule="exact"/>
        <w:rPr>
          <w:rFonts w:ascii="Arial" w:cs="Arial" w:eastAsia="Arial" w:hAnsi="Arial"/>
          <w:sz w:val="18"/>
          <w:szCs w:val="18"/>
          <w:color w:val="auto"/>
        </w:rPr>
      </w:pPr>
    </w:p>
    <w:p>
      <w:pPr>
        <w:ind w:left="700" w:hanging="257"/>
        <w:spacing w:after="0"/>
        <w:tabs>
          <w:tab w:leader="none" w:pos="70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Organization Documents, Resolutions, Etc</w:t>
      </w:r>
      <w:r>
        <w:rPr>
          <w:rFonts w:ascii="Arial" w:cs="Arial" w:eastAsia="Arial" w:hAnsi="Arial"/>
          <w:sz w:val="18"/>
          <w:szCs w:val="18"/>
          <w:color w:val="auto"/>
        </w:rPr>
        <w:t>. Receipt by the Administrative Agent of the following:</w:t>
      </w:r>
    </w:p>
    <w:p>
      <w:pPr>
        <w:spacing w:after="0" w:line="117" w:lineRule="exact"/>
        <w:rPr>
          <w:rFonts w:ascii="Arial" w:cs="Arial" w:eastAsia="Arial" w:hAnsi="Arial"/>
          <w:sz w:val="18"/>
          <w:szCs w:val="18"/>
          <w:color w:val="auto"/>
        </w:rPr>
      </w:pPr>
    </w:p>
    <w:p>
      <w:pPr>
        <w:ind w:left="460" w:right="140" w:firstLine="421"/>
        <w:spacing w:after="0" w:line="264" w:lineRule="auto"/>
        <w:tabs>
          <w:tab w:leader="none" w:pos="109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spacing w:after="0" w:line="73" w:lineRule="exact"/>
        <w:rPr>
          <w:rFonts w:ascii="Arial" w:cs="Arial" w:eastAsia="Arial" w:hAnsi="Arial"/>
          <w:sz w:val="18"/>
          <w:szCs w:val="18"/>
          <w:color w:val="auto"/>
        </w:rPr>
      </w:pPr>
    </w:p>
    <w:p>
      <w:pPr>
        <w:ind w:left="460" w:firstLine="421"/>
        <w:spacing w:after="0" w:line="312" w:lineRule="auto"/>
        <w:tabs>
          <w:tab w:leader="none" w:pos="114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w:t>
      </w:r>
    </w:p>
    <w:p>
      <w:pPr>
        <w:spacing w:after="0" w:line="38" w:lineRule="exact"/>
        <w:rPr>
          <w:rFonts w:ascii="Arial" w:cs="Arial" w:eastAsia="Arial" w:hAnsi="Arial"/>
          <w:sz w:val="16"/>
          <w:szCs w:val="16"/>
          <w:color w:val="auto"/>
        </w:rPr>
      </w:pPr>
    </w:p>
    <w:p>
      <w:pPr>
        <w:ind w:left="460" w:right="300" w:firstLine="421"/>
        <w:spacing w:after="0" w:line="342" w:lineRule="auto"/>
        <w:tabs>
          <w:tab w:leader="none" w:pos="1195" w:val="left"/>
        </w:tabs>
        <w:numPr>
          <w:ilvl w:val="1"/>
          <w:numId w:val="133"/>
        </w:numPr>
        <w:rPr>
          <w:rFonts w:ascii="Arial" w:cs="Arial" w:eastAsia="Arial" w:hAnsi="Arial"/>
          <w:sz w:val="16"/>
          <w:szCs w:val="16"/>
          <w:color w:val="auto"/>
        </w:rPr>
      </w:pPr>
      <w:r>
        <w:rPr>
          <w:rFonts w:ascii="Arial" w:cs="Arial" w:eastAsia="Arial" w:hAnsi="Arial"/>
          <w:sz w:val="16"/>
          <w:szCs w:val="16"/>
          <w:color w:val="auto"/>
        </w:rPr>
        <w:t>such documents and certifications as the Administrative Agent may require to evidence that each Loan Party is duly organized or formed, and is validly existing, in good standing and qualified to engage in business in its state of organization or formation.</w:t>
      </w:r>
    </w:p>
    <w:p>
      <w:pPr>
        <w:spacing w:after="0" w:line="15" w:lineRule="exact"/>
        <w:rPr>
          <w:rFonts w:ascii="Arial" w:cs="Arial" w:eastAsia="Arial" w:hAnsi="Arial"/>
          <w:sz w:val="16"/>
          <w:szCs w:val="16"/>
          <w:color w:val="auto"/>
        </w:rPr>
      </w:pPr>
    </w:p>
    <w:p>
      <w:pPr>
        <w:ind w:left="680" w:hanging="237"/>
        <w:spacing w:after="0"/>
        <w:tabs>
          <w:tab w:leader="none" w:pos="68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Personal Property Collateral</w:t>
      </w:r>
      <w:r>
        <w:rPr>
          <w:rFonts w:ascii="Arial" w:cs="Arial" w:eastAsia="Arial" w:hAnsi="Arial"/>
          <w:sz w:val="18"/>
          <w:szCs w:val="18"/>
          <w:color w:val="auto"/>
        </w:rPr>
        <w:t>. Receipt by the Administrative Agent of the following:</w:t>
      </w:r>
    </w:p>
    <w:p>
      <w:pPr>
        <w:spacing w:after="0" w:line="117" w:lineRule="exact"/>
        <w:rPr>
          <w:rFonts w:ascii="Arial" w:cs="Arial" w:eastAsia="Arial" w:hAnsi="Arial"/>
          <w:sz w:val="18"/>
          <w:szCs w:val="18"/>
          <w:color w:val="auto"/>
        </w:rPr>
      </w:pPr>
    </w:p>
    <w:p>
      <w:pPr>
        <w:ind w:left="460" w:right="140" w:firstLine="421"/>
        <w:spacing w:after="0" w:line="277" w:lineRule="auto"/>
        <w:tabs>
          <w:tab w:leader="none" w:pos="109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searches of Uniform Commercial Code filings in the jurisdiction of formation of each Loan Party and each other jurisdiction deemed appropriate by the Administrative Agent;</w:t>
      </w:r>
    </w:p>
    <w:p>
      <w:pPr>
        <w:spacing w:after="0" w:line="62" w:lineRule="exact"/>
        <w:rPr>
          <w:rFonts w:ascii="Arial" w:cs="Arial" w:eastAsia="Arial" w:hAnsi="Arial"/>
          <w:sz w:val="18"/>
          <w:szCs w:val="18"/>
          <w:color w:val="auto"/>
        </w:rPr>
      </w:pPr>
    </w:p>
    <w:p>
      <w:pPr>
        <w:ind w:left="460" w:right="280" w:firstLine="421"/>
        <w:spacing w:after="0" w:line="277" w:lineRule="auto"/>
        <w:tabs>
          <w:tab w:leader="none" w:pos="114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UCC financing statements for each appropriate jurisdiction as is necessary, in the Administrative Agent’s discretion, to perfect the Administrative Agent’s security interest in the Collateral;</w:t>
      </w:r>
    </w:p>
    <w:p>
      <w:pPr>
        <w:spacing w:after="0" w:line="62" w:lineRule="exact"/>
        <w:rPr>
          <w:rFonts w:ascii="Arial" w:cs="Arial" w:eastAsia="Arial" w:hAnsi="Arial"/>
          <w:sz w:val="18"/>
          <w:szCs w:val="18"/>
          <w:color w:val="auto"/>
        </w:rPr>
      </w:pPr>
    </w:p>
    <w:p>
      <w:pPr>
        <w:ind w:left="460" w:firstLine="421"/>
        <w:spacing w:after="0" w:line="259" w:lineRule="auto"/>
        <w:tabs>
          <w:tab w:leader="none" w:pos="119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certificates evidencing any certificated Equity Interests pledged to the Administrative Agent pursuant to the Security Agreement, together with duly executed in blank, undated stock powers attached thereto (unless, with respect to the pledged Equity Interests of any Foreign Subsidiary, such stock powers are deemed unnecessary by the Administrative Agent in its discretion under the law of the jurisdiction of organization of such Person);</w:t>
      </w:r>
    </w:p>
    <w:p>
      <w:pPr>
        <w:spacing w:after="0" w:line="78" w:lineRule="exact"/>
        <w:rPr>
          <w:rFonts w:ascii="Arial" w:cs="Arial" w:eastAsia="Arial" w:hAnsi="Arial"/>
          <w:sz w:val="18"/>
          <w:szCs w:val="18"/>
          <w:color w:val="auto"/>
        </w:rPr>
      </w:pPr>
    </w:p>
    <w:p>
      <w:pPr>
        <w:ind w:left="460" w:right="760" w:firstLine="421"/>
        <w:spacing w:after="0" w:line="277" w:lineRule="auto"/>
        <w:tabs>
          <w:tab w:leader="none" w:pos="118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searches of ownership of, and Liens on, United States registered intellectual property of each Loan Party in the appropriate governmental offices; and</w:t>
      </w:r>
    </w:p>
    <w:p>
      <w:pPr>
        <w:spacing w:after="0" w:line="62" w:lineRule="exact"/>
        <w:rPr>
          <w:rFonts w:ascii="Arial" w:cs="Arial" w:eastAsia="Arial" w:hAnsi="Arial"/>
          <w:sz w:val="18"/>
          <w:szCs w:val="18"/>
          <w:color w:val="auto"/>
        </w:rPr>
      </w:pPr>
    </w:p>
    <w:p>
      <w:pPr>
        <w:ind w:left="460" w:right="40" w:firstLine="421"/>
        <w:spacing w:after="0" w:line="264" w:lineRule="auto"/>
        <w:tabs>
          <w:tab w:leader="none" w:pos="1135"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duly executed notices of grant of security interest in the form required by the Security Agreement as are necessary, in the Administrative Agent’s discretion, to perfect the Administrative Agent’s security interest in the United States registered intellectual property of the Loan Parties.</w:t>
      </w:r>
    </w:p>
    <w:p>
      <w:pPr>
        <w:spacing w:after="0" w:line="114"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800"/>
          </w:cols>
          <w:pgMar w:left="700" w:top="274" w:right="399" w:bottom="1440" w:gutter="0" w:footer="0" w:header="0"/>
        </w:sectPr>
      </w:pPr>
    </w:p>
    <w:bookmarkStart w:id="175" w:name="page176"/>
    <w:bookmarkEnd w:id="175"/>
    <w:p>
      <w:pPr>
        <w:ind w:right="140" w:firstLine="443"/>
        <w:spacing w:after="0" w:line="277" w:lineRule="auto"/>
        <w:tabs>
          <w:tab w:leader="none" w:pos="663"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Real Property Collateral</w:t>
      </w:r>
      <w:r>
        <w:rPr>
          <w:rFonts w:ascii="Arial" w:cs="Arial" w:eastAsia="Arial" w:hAnsi="Arial"/>
          <w:sz w:val="18"/>
          <w:szCs w:val="18"/>
          <w:color w:val="auto"/>
        </w:rPr>
        <w:t>. Receipt by the Administrative Agent of each of the following (the “</w:t>
      </w:r>
      <w:r>
        <w:rPr>
          <w:rFonts w:ascii="Arial" w:cs="Arial" w:eastAsia="Arial" w:hAnsi="Arial"/>
          <w:sz w:val="18"/>
          <w:szCs w:val="18"/>
          <w:u w:val="single" w:color="auto"/>
          <w:color w:val="auto"/>
        </w:rPr>
        <w:t>Real Property Deliverables</w:t>
      </w:r>
      <w:r>
        <w:rPr>
          <w:rFonts w:ascii="Arial" w:cs="Arial" w:eastAsia="Arial" w:hAnsi="Arial"/>
          <w:sz w:val="18"/>
          <w:szCs w:val="18"/>
          <w:color w:val="auto"/>
        </w:rPr>
        <w:t>”) with respect to all real property of the Loan Parties (other than Excluded Real Property):</w:t>
      </w:r>
    </w:p>
    <w:p>
      <w:pPr>
        <w:spacing w:after="0" w:line="62" w:lineRule="exact"/>
        <w:rPr>
          <w:rFonts w:ascii="Arial" w:cs="Arial" w:eastAsia="Arial" w:hAnsi="Arial"/>
          <w:sz w:val="18"/>
          <w:szCs w:val="18"/>
          <w:color w:val="auto"/>
        </w:rPr>
      </w:pPr>
    </w:p>
    <w:p>
      <w:pPr>
        <w:ind w:left="1100" w:hanging="219"/>
        <w:spacing w:after="0"/>
        <w:tabs>
          <w:tab w:leader="none" w:pos="11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 Appraisal of such real property;</w:t>
      </w:r>
    </w:p>
    <w:p>
      <w:pPr>
        <w:spacing w:after="0" w:line="117" w:lineRule="exact"/>
        <w:rPr>
          <w:rFonts w:ascii="Arial" w:cs="Arial" w:eastAsia="Arial" w:hAnsi="Arial"/>
          <w:sz w:val="18"/>
          <w:szCs w:val="18"/>
          <w:color w:val="auto"/>
        </w:rPr>
      </w:pPr>
    </w:p>
    <w:p>
      <w:pPr>
        <w:ind w:left="1140" w:hanging="259"/>
        <w:spacing w:after="0"/>
        <w:tabs>
          <w:tab w:leader="none" w:pos="11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fully executed and notarized Mortgage encumbering such real property;</w:t>
      </w:r>
    </w:p>
    <w:p>
      <w:pPr>
        <w:spacing w:after="0" w:line="117" w:lineRule="exact"/>
        <w:rPr>
          <w:rFonts w:ascii="Arial" w:cs="Arial" w:eastAsia="Arial" w:hAnsi="Arial"/>
          <w:sz w:val="18"/>
          <w:szCs w:val="18"/>
          <w:color w:val="auto"/>
        </w:rPr>
      </w:pPr>
    </w:p>
    <w:p>
      <w:pPr>
        <w:ind w:left="460" w:right="40" w:firstLine="421"/>
        <w:spacing w:after="0" w:line="268" w:lineRule="auto"/>
        <w:tabs>
          <w:tab w:leader="none" w:pos="1195" w:val="left"/>
        </w:tabs>
        <w:numPr>
          <w:ilvl w:val="1"/>
          <w:numId w:val="134"/>
        </w:numPr>
        <w:rPr>
          <w:rFonts w:ascii="Arial" w:cs="Arial" w:eastAsia="Arial" w:hAnsi="Arial"/>
          <w:sz w:val="17"/>
          <w:szCs w:val="17"/>
          <w:color w:val="auto"/>
        </w:rPr>
      </w:pPr>
      <w:r>
        <w:rPr>
          <w:rFonts w:ascii="Arial" w:cs="Arial" w:eastAsia="Arial" w:hAnsi="Arial"/>
          <w:sz w:val="17"/>
          <w:szCs w:val="17"/>
          <w:color w:val="auto"/>
        </w:rPr>
        <w:t>if requested by the Administrative Agent in its sole discretion, either (A) maps or plats of an as-built survey of the sites of such real property certified to the Administrative Agent and the title insurance company issuing the policies referred to in the following clause (iv) in a manner satisfactory to each of the Administrative Agent and such title insurance company, dated a date satisfactory to each of the Administrative Agent and such title insurance company by an independent professional licensed land surveyor, which maps or plats and the surveys on which they are based shall be sufficient to delete any standard printed survey exception contained in the applicable title policy and be made in accordance with the Minimum Standard Detail Requirements for Land Title Surveys jointly established and adopted by the American Land Title Association and the American Congress on Surveying and Mapping in 2011 with items 2, 3, 4, 6(b), 7(a), 7(b)(1), 7(c), 8, 9, 10, 11(a), 13, 14, 16,17, 18 and 19 on Table A thereof completed or (B) aerial surveys/zip maps of the sites of such real property satisfactory to each of the Administrative Agent and the title insurance company issuing the policies referred to in the following clause (iv), dated a date satisfactory to each of the Administrative Agent and such title insurance company, which aerial surveys/zip maps shall be sufficient to delete any standard printed survey exception contained in the applicable title policy and to allow such title insurance company to issue an endorsement to the applicable title policy insuring that the Mortgage to be insured under such title policy encumbers the property shown on such aerial surveys/zip maps;</w:t>
      </w:r>
    </w:p>
    <w:p>
      <w:pPr>
        <w:spacing w:after="0" w:line="79" w:lineRule="exact"/>
        <w:rPr>
          <w:rFonts w:ascii="Arial" w:cs="Arial" w:eastAsia="Arial" w:hAnsi="Arial"/>
          <w:sz w:val="17"/>
          <w:szCs w:val="17"/>
          <w:color w:val="auto"/>
        </w:rPr>
      </w:pPr>
    </w:p>
    <w:p>
      <w:pPr>
        <w:ind w:left="460" w:right="100" w:firstLine="421"/>
        <w:spacing w:after="0" w:line="257" w:lineRule="auto"/>
        <w:tabs>
          <w:tab w:leader="none" w:pos="118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ALTA mortgagee title insurance policies issued by a title insurance company acceptable to the Administrative Agent with respect to such real property, assuring the Administrative Agent that the Mortgage covering such real property creates a valid and enforceable first priority mortgage lien on such real property, free and clear of all defects and encumbrances except Permitted Liens, which title insurance policies shall otherwise be in form and substance satisfactory to the Administrative Agent and shall include such endorsements as are requested by the Administrative Agent;</w:t>
      </w:r>
    </w:p>
    <w:p>
      <w:pPr>
        <w:spacing w:after="0" w:line="80" w:lineRule="exact"/>
        <w:rPr>
          <w:rFonts w:ascii="Arial" w:cs="Arial" w:eastAsia="Arial" w:hAnsi="Arial"/>
          <w:sz w:val="18"/>
          <w:szCs w:val="18"/>
          <w:color w:val="auto"/>
        </w:rPr>
      </w:pPr>
    </w:p>
    <w:p>
      <w:pPr>
        <w:ind w:left="460" w:firstLine="421"/>
        <w:spacing w:after="0" w:line="254" w:lineRule="auto"/>
        <w:tabs>
          <w:tab w:leader="none" w:pos="113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evidence as to (A) whether such real property is in an area designated by the Federal Emergency Management Agency as having special flood or mud slide hazards (a “</w:t>
      </w:r>
      <w:r>
        <w:rPr>
          <w:rFonts w:ascii="Arial" w:cs="Arial" w:eastAsia="Arial" w:hAnsi="Arial"/>
          <w:sz w:val="18"/>
          <w:szCs w:val="18"/>
          <w:u w:val="single" w:color="auto"/>
          <w:color w:val="auto"/>
        </w:rPr>
        <w:t>Flood Hazard Property</w:t>
      </w:r>
      <w:r>
        <w:rPr>
          <w:rFonts w:ascii="Arial" w:cs="Arial" w:eastAsia="Arial" w:hAnsi="Arial"/>
          <w:sz w:val="18"/>
          <w:szCs w:val="18"/>
          <w:color w:val="auto"/>
        </w:rPr>
        <w:t>”) and (B) if such real property is a Flood Hazard Property, (1) whether the community in which such real property is located is participating in the National Flood Insurance Program, (2) the applicable Loan Party’s written acknowledgment of receipt of written notification from the Administrative Agent (x) as to the fact that such real property is a Flood Hazard Property and (y) as to whether the community in which each such Flood Hazard Property is located is participating in the National Flood Insurance Program and (3) copies of insurance policies or certificates of insurance of the Borrower and its Subsidiaries evidencing flood insurance satisfactory to the Administrative Agent and naming the Administrative Agent and its successors and/or assigns as sole loss payee on behalf of the Lenders;</w:t>
      </w:r>
    </w:p>
    <w:p>
      <w:pPr>
        <w:spacing w:after="0" w:line="1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40"/>
          </w:cols>
          <w:pgMar w:left="700" w:top="274" w:right="259" w:bottom="1440" w:gutter="0" w:footer="0" w:header="0"/>
        </w:sectPr>
      </w:pPr>
    </w:p>
    <w:bookmarkStart w:id="176" w:name="page177"/>
    <w:bookmarkEnd w:id="176"/>
    <w:p>
      <w:pPr>
        <w:ind w:left="920" w:right="440" w:firstLine="421"/>
        <w:spacing w:after="0" w:line="277" w:lineRule="auto"/>
        <w:tabs>
          <w:tab w:leader="none" w:pos="1645" w:val="left"/>
        </w:tabs>
        <w:numPr>
          <w:ilvl w:val="1"/>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environmental assessment report, as to such real property, in form and substance and from professional firms acceptable to the Administrative Agent; and</w:t>
      </w:r>
    </w:p>
    <w:p>
      <w:pPr>
        <w:spacing w:after="0" w:line="62" w:lineRule="exact"/>
        <w:rPr>
          <w:rFonts w:ascii="Arial" w:cs="Arial" w:eastAsia="Arial" w:hAnsi="Arial"/>
          <w:sz w:val="18"/>
          <w:szCs w:val="18"/>
          <w:color w:val="auto"/>
        </w:rPr>
      </w:pPr>
    </w:p>
    <w:p>
      <w:pPr>
        <w:ind w:left="920" w:right="180" w:firstLine="421"/>
        <w:spacing w:after="0" w:line="259" w:lineRule="auto"/>
        <w:tabs>
          <w:tab w:leader="none" w:pos="169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evidence reasonably satisfactory to the Administrative Agent that such real property, and the uses of such real property, are in compliance in all material respects with all applicable zoning laws (the evidence submitted as to which should include the zoning designation made for such real property, the permitted uses of such real property under such zoning designation and, if available, zoning requirements as to parking, lot size, ingress, egress and building setbacks).</w:t>
      </w:r>
    </w:p>
    <w:p>
      <w:pPr>
        <w:spacing w:after="0" w:line="78" w:lineRule="exact"/>
        <w:rPr>
          <w:rFonts w:ascii="Arial" w:cs="Arial" w:eastAsia="Arial" w:hAnsi="Arial"/>
          <w:sz w:val="18"/>
          <w:szCs w:val="18"/>
          <w:color w:val="auto"/>
        </w:rPr>
      </w:pPr>
    </w:p>
    <w:p>
      <w:pPr>
        <w:ind w:left="460" w:right="300" w:firstLine="443"/>
        <w:spacing w:after="0" w:line="277"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Receipt by the Administrative Agent of copies of insurance policies or certificates of insurance of the Loan Parties evidencing liability and casualty insurance meeting the requirements set forth in the Loan Documents.</w:t>
      </w:r>
    </w:p>
    <w:p>
      <w:pPr>
        <w:spacing w:after="0" w:line="62" w:lineRule="exact"/>
        <w:rPr>
          <w:rFonts w:ascii="Arial" w:cs="Arial" w:eastAsia="Arial" w:hAnsi="Arial"/>
          <w:sz w:val="18"/>
          <w:szCs w:val="18"/>
          <w:color w:val="auto"/>
        </w:rPr>
      </w:pPr>
    </w:p>
    <w:p>
      <w:pPr>
        <w:ind w:left="460" w:right="200" w:firstLine="443"/>
        <w:spacing w:after="0" w:line="264" w:lineRule="auto"/>
        <w:tabs>
          <w:tab w:leader="none" w:pos="115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Solvency Certificate</w:t>
      </w:r>
      <w:r>
        <w:rPr>
          <w:rFonts w:ascii="Arial" w:cs="Arial" w:eastAsia="Arial" w:hAnsi="Arial"/>
          <w:sz w:val="18"/>
          <w:szCs w:val="18"/>
          <w:color w:val="auto"/>
        </w:rPr>
        <w:t>. Receipt by the Administrative Agent of a certificate signed by the chief financial officer of the Borrower as to the Solvency of the Borrower and each Guarantor after giving effect to the Credit Extensions to be made on the Closing Date and the use of the proceeds thereof.</w:t>
      </w:r>
    </w:p>
    <w:p>
      <w:pPr>
        <w:spacing w:after="0" w:line="73" w:lineRule="exact"/>
        <w:rPr>
          <w:rFonts w:ascii="Arial" w:cs="Arial" w:eastAsia="Arial" w:hAnsi="Arial"/>
          <w:sz w:val="18"/>
          <w:szCs w:val="18"/>
          <w:color w:val="auto"/>
        </w:rPr>
      </w:pPr>
    </w:p>
    <w:p>
      <w:pPr>
        <w:ind w:left="460" w:right="280" w:firstLine="443"/>
        <w:spacing w:after="0" w:line="277" w:lineRule="auto"/>
        <w:tabs>
          <w:tab w:leader="none" w:pos="111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Closing Certificate</w:t>
      </w:r>
      <w:r>
        <w:rPr>
          <w:rFonts w:ascii="Arial" w:cs="Arial" w:eastAsia="Arial" w:hAnsi="Arial"/>
          <w:sz w:val="18"/>
          <w:szCs w:val="18"/>
          <w:color w:val="auto"/>
        </w:rPr>
        <w:t xml:space="preserve">. Receipt by the Administrative Agent of a certificate signed by a Responsible Officer of the Borrower as of the Closing Date certifying that the conditions specified in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as of the Closing Date.</w:t>
      </w:r>
    </w:p>
    <w:p>
      <w:pPr>
        <w:spacing w:after="0" w:line="62" w:lineRule="exact"/>
        <w:rPr>
          <w:rFonts w:ascii="Arial" w:cs="Arial" w:eastAsia="Arial" w:hAnsi="Arial"/>
          <w:sz w:val="18"/>
          <w:szCs w:val="18"/>
          <w:color w:val="auto"/>
        </w:rPr>
      </w:pPr>
    </w:p>
    <w:p>
      <w:pPr>
        <w:jc w:val="both"/>
        <w:ind w:left="460" w:firstLine="443"/>
        <w:spacing w:after="0" w:line="264" w:lineRule="auto"/>
        <w:tabs>
          <w:tab w:leader="none" w:pos="111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Refinance of Existing Indebtedness</w:t>
      </w:r>
      <w:r>
        <w:rPr>
          <w:rFonts w:ascii="Arial" w:cs="Arial" w:eastAsia="Arial" w:hAnsi="Arial"/>
          <w:sz w:val="18"/>
          <w:szCs w:val="18"/>
          <w:color w:val="auto"/>
        </w:rPr>
        <w:t xml:space="preserve">. The Borrower and its Subsidiaries shall have repaid all outstanding Indebtedness (other than Indebtedness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 (the “</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and terminated all commitments to extend credit with respect to the Existing Indebtedness, and all Liens securing the Existing Indebtedness shall have been released.</w:t>
      </w:r>
    </w:p>
    <w:p>
      <w:pPr>
        <w:spacing w:after="0" w:line="73"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7"/>
          <w:szCs w:val="17"/>
          <w:color w:val="auto"/>
        </w:rPr>
      </w:pPr>
      <w:r>
        <w:rPr>
          <w:rFonts w:ascii="Arial" w:cs="Arial" w:eastAsia="Arial" w:hAnsi="Arial"/>
          <w:sz w:val="17"/>
          <w:szCs w:val="17"/>
          <w:u w:val="single" w:color="auto"/>
          <w:color w:val="auto"/>
        </w:rPr>
        <w:t>Fees</w:t>
      </w:r>
      <w:r>
        <w:rPr>
          <w:rFonts w:ascii="Arial" w:cs="Arial" w:eastAsia="Arial" w:hAnsi="Arial"/>
          <w:sz w:val="17"/>
          <w:szCs w:val="17"/>
          <w:color w:val="auto"/>
        </w:rPr>
        <w:t>. Receipt by the Administrative Agent, the Arranger and the Lenders of any fees required to be paid on or before the Closing Date.</w:t>
      </w:r>
    </w:p>
    <w:p>
      <w:pPr>
        <w:spacing w:after="0" w:line="128" w:lineRule="exact"/>
        <w:rPr>
          <w:rFonts w:ascii="Arial" w:cs="Arial" w:eastAsia="Arial" w:hAnsi="Arial"/>
          <w:sz w:val="17"/>
          <w:szCs w:val="17"/>
          <w:color w:val="auto"/>
        </w:rPr>
      </w:pPr>
    </w:p>
    <w:p>
      <w:pPr>
        <w:ind w:left="460" w:firstLine="443"/>
        <w:spacing w:after="0" w:line="257" w:lineRule="auto"/>
        <w:tabs>
          <w:tab w:leader="none" w:pos="1113"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Attorney Costs</w:t>
      </w:r>
      <w:r>
        <w:rPr>
          <w:rFonts w:ascii="Arial" w:cs="Arial" w:eastAsia="Arial" w:hAnsi="Arial"/>
          <w:sz w:val="18"/>
          <w:szCs w:val="18"/>
          <w:color w:val="auto"/>
        </w:rPr>
        <w:t>. Unless waived by the Administrative Agent, the Borrower shall have paid all reasonable fees, charges and disbursements of counsel to the Administrative Agent (directly to such counsel if requested by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Without limiting the generality of the provisions of the last paragraph of </w:t>
      </w:r>
      <w:r>
        <w:rPr>
          <w:rFonts w:ascii="Arial" w:cs="Arial" w:eastAsia="Arial" w:hAnsi="Arial"/>
          <w:sz w:val="17"/>
          <w:szCs w:val="17"/>
          <w:u w:val="single" w:color="auto"/>
          <w:color w:val="auto"/>
        </w:rPr>
        <w:t>Section 10.03</w:t>
      </w:r>
      <w:r>
        <w:rPr>
          <w:rFonts w:ascii="Arial" w:cs="Arial" w:eastAsia="Arial" w:hAnsi="Arial"/>
          <w:sz w:val="17"/>
          <w:szCs w:val="17"/>
          <w:color w:val="auto"/>
        </w:rPr>
        <w:t xml:space="preserve">, for purposes of determining compliance with the conditions specified in this </w:t>
      </w:r>
      <w:r>
        <w:rPr>
          <w:rFonts w:ascii="Arial" w:cs="Arial" w:eastAsia="Arial" w:hAnsi="Arial"/>
          <w:sz w:val="17"/>
          <w:szCs w:val="17"/>
          <w:u w:val="single" w:color="auto"/>
          <w:color w:val="auto"/>
        </w:rPr>
        <w:t>Section 5.01</w:t>
      </w:r>
      <w:r>
        <w:rPr>
          <w:rFonts w:ascii="Arial" w:cs="Arial" w:eastAsia="Arial" w:hAnsi="Arial"/>
          <w:sz w:val="17"/>
          <w:szCs w:val="17"/>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274" w:right="2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5.02 </w:t>
      </w:r>
      <w:r>
        <w:rPr>
          <w:rFonts w:ascii="Arial" w:cs="Arial" w:eastAsia="Arial" w:hAnsi="Arial"/>
          <w:sz w:val="18"/>
          <w:szCs w:val="18"/>
          <w:u w:val="single" w:color="auto"/>
          <w:color w:val="auto"/>
        </w:rPr>
        <w:t>Conditions to all Credit Extensions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each Lender to honor any Request for Credit Extension (other than a Loan Notice requesting only a conversion of Loans to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Type or a continuation of Eurodollar Rate Loans) is subject to the following conditions precedent:</w:t>
      </w:r>
    </w:p>
    <w:p>
      <w:pPr>
        <w:spacing w:after="0" w:line="103" w:lineRule="exact"/>
        <w:rPr>
          <w:sz w:val="20"/>
          <w:szCs w:val="20"/>
          <w:color w:val="auto"/>
        </w:rPr>
      </w:pPr>
    </w:p>
    <w:p>
      <w:pPr>
        <w:ind w:left="460" w:right="80" w:firstLine="443"/>
        <w:spacing w:after="0" w:line="276" w:lineRule="auto"/>
        <w:tabs>
          <w:tab w:leader="none" w:pos="1143"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each Loan Party contained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any other Loan Document, or which are contained in any document furnished at any time under or in connection herewith or therewith, shall be true and correct shall be true and correct in all material respects, except for any representation and warranty that is qualified by materiality or reference to Material Adverse Effect which such representation and warranty shall be true and correct in all respects, on and as of the date of such Credit Extension, except to the extent that such representations and warranties specifically refer to an earlier date, in which case they shall be true and correct as of such earlier date.</w:t>
      </w:r>
    </w:p>
    <w:p>
      <w:pPr>
        <w:spacing w:after="0" w:line="64" w:lineRule="exact"/>
        <w:rPr>
          <w:rFonts w:ascii="Arial" w:cs="Arial" w:eastAsia="Arial" w:hAnsi="Arial"/>
          <w:sz w:val="17"/>
          <w:szCs w:val="17"/>
          <w:color w:val="auto"/>
        </w:rPr>
      </w:pPr>
    </w:p>
    <w:p>
      <w:pPr>
        <w:ind w:left="1160" w:hanging="257"/>
        <w:spacing w:after="0"/>
        <w:tabs>
          <w:tab w:leader="none" w:pos="11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from the application of the proceeds thereof.</w:t>
      </w:r>
    </w:p>
    <w:p>
      <w:pPr>
        <w:spacing w:after="0" w:line="117" w:lineRule="exact"/>
        <w:rPr>
          <w:rFonts w:ascii="Arial" w:cs="Arial" w:eastAsia="Arial" w:hAnsi="Arial"/>
          <w:sz w:val="18"/>
          <w:szCs w:val="18"/>
          <w:color w:val="auto"/>
        </w:rPr>
      </w:pPr>
    </w:p>
    <w:p>
      <w:pPr>
        <w:ind w:left="460" w:right="200" w:firstLine="443"/>
        <w:spacing w:after="0" w:line="277" w:lineRule="auto"/>
        <w:tabs>
          <w:tab w:leader="none" w:pos="114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Administrative Agent and, if applicable, the L/C Issuer or the Swing Line Lender shall have received a Request for Credit Extension in accordance with the requirements hereof.</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 xml:space="preserve">Each Request for Credit Extension (other than a Loan Notice requesting only a conversion of Loans to the other Type or a continuation of Eurodollar Rate Loans) submitted by the Borrower shall be deemed to be a representation and warranty that the conditions specified in </w:t>
      </w:r>
      <w:r>
        <w:rPr>
          <w:rFonts w:ascii="Arial" w:cs="Arial" w:eastAsia="Arial" w:hAnsi="Arial"/>
          <w:sz w:val="18"/>
          <w:szCs w:val="18"/>
          <w:u w:val="single" w:color="auto"/>
          <w:color w:val="auto"/>
        </w:rPr>
        <w:t>Sections 5.02(a)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Loan Parties represent and warrant to the Administrative Agent and the Lenders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Borrower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would not reasonably be expected to have a Material Adverse Effect.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Authorization; No Contravention</w:t>
      </w:r>
      <w:r>
        <w:rPr>
          <w:rFonts w:ascii="Arial" w:cs="Arial" w:eastAsia="Arial" w:hAnsi="Arial"/>
          <w:sz w:val="18"/>
          <w:szCs w:val="18"/>
          <w:color w:val="auto"/>
        </w:rPr>
        <w:t>.</w:t>
      </w:r>
    </w:p>
    <w:p>
      <w:pPr>
        <w:spacing w:after="0" w:line="225"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color w:val="auto"/>
        </w:rPr>
        <w:t>The execution, delivery and performance by each Loan Party of each Loan Document to which such Person is party have been duly authorized by all necessary corporate or other organizational action, and do not (a) contravene the terms of any of such Person’s Organization Documents; (b) conflict with or result in any breach or contravention of, or the creation of any Lien (other than any Lien created under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178" w:name="page179"/>
    <w:bookmarkEnd w:id="178"/>
    <w:p>
      <w:pPr>
        <w:ind w:right="2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Loan Documents) under, or require any payment to be made under (i) any material Contractual Obligation to which such Person is a party or (ii) any order, injunction, writ or decree of any Governmental Authority or any arbitral award to which such Person or its property is subject; or (c) violate any Law.</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(i) those that have already been obtained and are in full force and effect and (ii) filings to perfect the Liens created by, or otherwise contemplated by, the Collateral Documents.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Binding Effect</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Each Loan Document has been duly executed and delivered by each Loan Party that is party thereto. Each Loan Document constitutes a legal, valid and binding obligation of each Loan Party party thereto, enforceable against such Loan Party that is party thereto in accordance with its terms, except as enforceability may be limited by applicable Debtor Relief Laws or by equitable principles relating to enforceability.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7" w:lineRule="auto"/>
        <w:tabs>
          <w:tab w:leader="none" w:pos="701"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spacing w:after="0" w:line="188" w:lineRule="exact"/>
        <w:rPr>
          <w:rFonts w:ascii="Arial" w:cs="Arial" w:eastAsia="Arial" w:hAnsi="Arial"/>
          <w:sz w:val="18"/>
          <w:szCs w:val="18"/>
          <w:color w:val="auto"/>
        </w:rPr>
      </w:pPr>
    </w:p>
    <w:p>
      <w:pPr>
        <w:ind w:right="40" w:firstLine="464"/>
        <w:spacing w:after="0" w:line="288" w:lineRule="auto"/>
        <w:tabs>
          <w:tab w:leader="none" w:pos="711"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The Interim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subject, in the case of clauses (i) and (ii), to the absence of footnotes and to normal year-end audit adjustments; and</w:t>
      </w:r>
    </w:p>
    <w:p>
      <w:pPr>
        <w:ind w:right="220" w:firstLine="8"/>
        <w:spacing w:after="0" w:line="261" w:lineRule="auto"/>
        <w:tabs>
          <w:tab w:leader="none" w:pos="31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show all material indebtedness and other liabilities, direct or contingent, of the Borrower and its Subsidiaries as of the date thereof, including liabilities for taxes, material commitments and Indebtedness.</w:t>
      </w:r>
    </w:p>
    <w:p>
      <w:pPr>
        <w:spacing w:after="0" w:line="183" w:lineRule="exact"/>
        <w:rPr>
          <w:rFonts w:ascii="Arial" w:cs="Arial" w:eastAsia="Arial" w:hAnsi="Arial"/>
          <w:sz w:val="18"/>
          <w:szCs w:val="18"/>
          <w:color w:val="auto"/>
        </w:rPr>
      </w:pPr>
    </w:p>
    <w:p>
      <w:pPr>
        <w:ind w:right="180" w:firstLine="464"/>
        <w:spacing w:after="0" w:line="257" w:lineRule="auto"/>
        <w:tabs>
          <w:tab w:leader="none" w:pos="701"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From the date of the Audited Financial Statements to and including the Closing Date, there has been no Disposition or any Recovery Event of any material part of the business or property of the Borrower and its Subsidiaries, taken as a whole, and no purchase or other acquisition by any of them of any business or property (including any Equity Interests of any other Person) material in relation to the consolidated financial condition of the Borrower and its Subsidiaries, taken as a whole, in each case, which is not reflected in the foregoing financial statements or in the notes thereto and has not otherwise been disclosed in writing to the Lenders on or prior to the Closing Date.</w:t>
      </w:r>
    </w:p>
    <w:p>
      <w:pPr>
        <w:spacing w:after="0" w:line="188" w:lineRule="exact"/>
        <w:rPr>
          <w:rFonts w:ascii="Arial" w:cs="Arial" w:eastAsia="Arial" w:hAnsi="Arial"/>
          <w:sz w:val="18"/>
          <w:szCs w:val="18"/>
          <w:color w:val="auto"/>
        </w:rPr>
      </w:pPr>
    </w:p>
    <w:p>
      <w:pPr>
        <w:ind w:right="300" w:firstLine="464"/>
        <w:spacing w:after="0" w:line="259" w:lineRule="auto"/>
        <w:tabs>
          <w:tab w:leader="none" w:pos="711" w:val="left"/>
        </w:tabs>
        <w:numPr>
          <w:ilvl w:val="1"/>
          <w:numId w:val="139"/>
        </w:numPr>
        <w:rPr>
          <w:rFonts w:ascii="Arial" w:cs="Arial" w:eastAsia="Arial" w:hAnsi="Arial"/>
          <w:sz w:val="18"/>
          <w:szCs w:val="18"/>
          <w:color w:val="auto"/>
        </w:rPr>
      </w:pPr>
      <w:r>
        <w:rPr>
          <w:rFonts w:ascii="Arial" w:cs="Arial" w:eastAsia="Arial" w:hAnsi="Arial"/>
          <w:sz w:val="18"/>
          <w:szCs w:val="18"/>
          <w:color w:val="auto"/>
        </w:rPr>
        <w:t xml:space="preserve">The financial statements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if any, (i) were prepared in accordance with GAAP consistently applied throughout the period covered thereby; and (ii) fairly present the financial condition of the Borrower and its Subsidiaries as of the date thereof and their results of operations for the period covered thereby, subject, in the case of clauses (i) and (ii) with respect to any financial statements delivered pursuant to </w:t>
      </w:r>
      <w:r>
        <w:rPr>
          <w:rFonts w:ascii="Arial" w:cs="Arial" w:eastAsia="Arial" w:hAnsi="Arial"/>
          <w:sz w:val="18"/>
          <w:szCs w:val="18"/>
          <w:u w:val="single" w:color="auto"/>
          <w:color w:val="auto"/>
        </w:rPr>
        <w:t>Section 7.01(b)</w:t>
      </w:r>
      <w:r>
        <w:rPr>
          <w:rFonts w:ascii="Arial" w:cs="Arial" w:eastAsia="Arial" w:hAnsi="Arial"/>
          <w:sz w:val="18"/>
          <w:szCs w:val="18"/>
          <w:color w:val="auto"/>
        </w:rPr>
        <w:t>, to the absence of footnotes and to normal year-end audit adjustments.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179" w:name="page180"/>
    <w:bookmarkEnd w:id="179"/>
    <w:p>
      <w:pPr>
        <w:ind w:right="80" w:firstLine="464"/>
        <w:spacing w:after="0" w:line="277" w:lineRule="auto"/>
        <w:tabs>
          <w:tab w:leader="none" w:pos="701"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 the date of the Audited Financial Statements, there has been no event or circumstance that has had or would reasonably be expected to have a Material Adverse Effect.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6.06  </w:t>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There are no actions, suits, proceedings, claims or disputes pending or, to the knowledge of the Responsible Officers of the Loan Parties, threatened in writing, at law, in equity, in arbitration or before any Governmental Authority, by or against the Borrower or any Subsidiary or against any of their properties or revenues that (a) purport to affect or pertain to this Agreement or any other Loan Document or any of the transactions contemplated hereby or (b) would reasonably be expected to have a Material Adverse Effect.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No Default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7" w:lineRule="auto"/>
        <w:tabs>
          <w:tab w:leader="none" w:pos="70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Neither the Borrower nor any Subsidiary is in default under or with respect to any Contractual Obligation that would reasonably be expected to have a Material Adverse Effect.</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Default has occurred and is continuing.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6.08 </w:t>
      </w:r>
      <w:r>
        <w:rPr>
          <w:rFonts w:ascii="Arial" w:cs="Arial" w:eastAsia="Arial" w:hAnsi="Arial"/>
          <w:sz w:val="18"/>
          <w:szCs w:val="18"/>
          <w:u w:val="single" w:color="auto"/>
          <w:color w:val="auto"/>
        </w:rPr>
        <w:t>Ownership of Property; Liens</w:t>
      </w:r>
      <w:r>
        <w:rPr>
          <w:rFonts w:ascii="Arial" w:cs="Arial" w:eastAsia="Arial" w:hAnsi="Arial"/>
          <w:sz w:val="18"/>
          <w:szCs w:val="18"/>
          <w:color w:val="auto"/>
        </w:rPr>
        <w:t>.</w:t>
      </w:r>
    </w:p>
    <w:p>
      <w:pPr>
        <w:spacing w:after="0" w:line="225" w:lineRule="exact"/>
        <w:rPr>
          <w:sz w:val="20"/>
          <w:szCs w:val="20"/>
          <w:color w:val="auto"/>
        </w:rPr>
      </w:pPr>
    </w:p>
    <w:p>
      <w:pPr>
        <w:ind w:right="420" w:firstLine="456"/>
        <w:spacing w:after="0" w:line="286" w:lineRule="auto"/>
        <w:rPr>
          <w:sz w:val="20"/>
          <w:szCs w:val="20"/>
          <w:color w:val="auto"/>
        </w:rPr>
      </w:pPr>
      <w:r>
        <w:rPr>
          <w:rFonts w:ascii="Arial" w:cs="Arial" w:eastAsia="Arial" w:hAnsi="Arial"/>
          <w:sz w:val="17"/>
          <w:szCs w:val="17"/>
          <w:color w:val="auto"/>
        </w:rPr>
        <w:t>Each of the Borrower and its Subsidiaries has good record and marketable title in fee simple to, or valid leasehold interests in, all real property necessary or used in the ordinary conduct of its business, except for such defects in title as would not reasonably be expected to have a Material Adverse Effect. The property of the Borrower and its Subsidiaries is not subject to any Liens other than Permitted Liens.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would not reasonably be expected to have a Material Adverse Effect:</w:t>
      </w:r>
    </w:p>
    <w:p>
      <w:pPr>
        <w:spacing w:after="0" w:line="117" w:lineRule="exact"/>
        <w:rPr>
          <w:sz w:val="20"/>
          <w:szCs w:val="20"/>
          <w:color w:val="auto"/>
        </w:rPr>
      </w:pPr>
    </w:p>
    <w:p>
      <w:pPr>
        <w:ind w:left="460" w:right="200" w:firstLine="443"/>
        <w:spacing w:after="0" w:line="302" w:lineRule="auto"/>
        <w:tabs>
          <w:tab w:leader="none" w:pos="114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Each of the facilities and real properties owned, leased or operated by the Borrower or any Subsidiary (the “</w:t>
      </w:r>
      <w:r>
        <w:rPr>
          <w:rFonts w:ascii="Arial" w:cs="Arial" w:eastAsia="Arial" w:hAnsi="Arial"/>
          <w:sz w:val="16"/>
          <w:szCs w:val="16"/>
          <w:u w:val="single" w:color="auto"/>
          <w:color w:val="auto"/>
        </w:rPr>
        <w:t>Facilities</w:t>
      </w:r>
      <w:r>
        <w:rPr>
          <w:rFonts w:ascii="Arial" w:cs="Arial" w:eastAsia="Arial" w:hAnsi="Arial"/>
          <w:sz w:val="16"/>
          <w:szCs w:val="16"/>
          <w:color w:val="auto"/>
        </w:rPr>
        <w:t>”) and all operations at the Facilities are in compliance with all applicable Environmental Laws, and there is no violation of any Environmental Law with respect to the Facilities or the businesses operated by the Borrower and its Subsidiaries at such time (the “</w:t>
      </w:r>
      <w:r>
        <w:rPr>
          <w:rFonts w:ascii="Arial" w:cs="Arial" w:eastAsia="Arial" w:hAnsi="Arial"/>
          <w:sz w:val="16"/>
          <w:szCs w:val="16"/>
          <w:u w:val="single" w:color="auto"/>
          <w:color w:val="auto"/>
        </w:rPr>
        <w:t>Businesses</w:t>
      </w:r>
      <w:r>
        <w:rPr>
          <w:rFonts w:ascii="Arial" w:cs="Arial" w:eastAsia="Arial" w:hAnsi="Arial"/>
          <w:sz w:val="16"/>
          <w:szCs w:val="16"/>
          <w:color w:val="auto"/>
        </w:rPr>
        <w:t>”), and there are no conditions relating to the Facilities or the Businesses that would reasonably be expected to give rise to liability under any applicable Environmental Laws.</w:t>
      </w:r>
    </w:p>
    <w:p>
      <w:pPr>
        <w:spacing w:after="0" w:line="46" w:lineRule="exact"/>
        <w:rPr>
          <w:rFonts w:ascii="Arial" w:cs="Arial" w:eastAsia="Arial" w:hAnsi="Arial"/>
          <w:sz w:val="16"/>
          <w:szCs w:val="16"/>
          <w:color w:val="auto"/>
        </w:rPr>
      </w:pPr>
    </w:p>
    <w:p>
      <w:pPr>
        <w:ind w:left="460" w:right="1000" w:firstLine="443"/>
        <w:spacing w:after="0" w:line="308" w:lineRule="auto"/>
        <w:tabs>
          <w:tab w:leader="none" w:pos="1153" w:val="left"/>
        </w:tabs>
        <w:numPr>
          <w:ilvl w:val="0"/>
          <w:numId w:val="142"/>
        </w:numPr>
        <w:rPr>
          <w:rFonts w:ascii="Arial" w:cs="Arial" w:eastAsia="Arial" w:hAnsi="Arial"/>
          <w:sz w:val="17"/>
          <w:szCs w:val="17"/>
          <w:color w:val="auto"/>
        </w:rPr>
      </w:pPr>
      <w:r>
        <w:rPr>
          <w:rFonts w:ascii="Arial" w:cs="Arial" w:eastAsia="Arial" w:hAnsi="Arial"/>
          <w:sz w:val="17"/>
          <w:szCs w:val="17"/>
          <w:color w:val="auto"/>
        </w:rPr>
        <w:t>None of the Facilities contains, or has previously contained, any Hazardous Materials at, on or under the Facilities in amounts or concentrations that constitute or constituted a violation of, or could give rise to liability under, Environmental Laws.</w:t>
      </w:r>
    </w:p>
    <w:p>
      <w:pPr>
        <w:spacing w:after="0" w:line="38" w:lineRule="exact"/>
        <w:rPr>
          <w:rFonts w:ascii="Arial" w:cs="Arial" w:eastAsia="Arial" w:hAnsi="Arial"/>
          <w:sz w:val="17"/>
          <w:szCs w:val="17"/>
          <w:color w:val="auto"/>
        </w:rPr>
      </w:pPr>
    </w:p>
    <w:p>
      <w:pPr>
        <w:ind w:left="460" w:right="120" w:firstLine="443"/>
        <w:spacing w:after="0" w:line="259" w:lineRule="auto"/>
        <w:tabs>
          <w:tab w:leader="none" w:pos="114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Neither the Borrower nor any Subsidiary has received any written notice of, or inquiry from any Governmental Authority regarding, any violation, alleged violation, non-compliance, liability or potential liability arising under Environmental Laws with regard to any of the Facilities or the Businesses, nor does any Responsible Officer of any Loan Party have knowledge or reason to believe that any such notice will be received or is being threatened.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180" w:name="page181"/>
    <w:bookmarkEnd w:id="180"/>
    <w:p>
      <w:pPr>
        <w:jc w:val="both"/>
        <w:ind w:left="460" w:right="80" w:firstLine="443"/>
        <w:spacing w:after="0" w:line="264" w:lineRule="auto"/>
        <w:tabs>
          <w:tab w:leader="none" w:pos="1153"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Hazardous Materials have not been transported or disposed of from the Facilities, or generated, treated, stored or disposed of at, on or under any of the Facilities or any other location, in each case by or on behalf of the Borrower or any Subsidiary in violation of, or in a manner that would be reasonably likely to give rise to liability under, any applicable Environmental Law.</w:t>
      </w:r>
    </w:p>
    <w:p>
      <w:pPr>
        <w:spacing w:after="0" w:line="73" w:lineRule="exact"/>
        <w:rPr>
          <w:rFonts w:ascii="Arial" w:cs="Arial" w:eastAsia="Arial" w:hAnsi="Arial"/>
          <w:sz w:val="18"/>
          <w:szCs w:val="18"/>
          <w:color w:val="auto"/>
        </w:rPr>
      </w:pPr>
    </w:p>
    <w:p>
      <w:pPr>
        <w:ind w:left="460" w:firstLine="443"/>
        <w:spacing w:after="0" w:line="257" w:lineRule="auto"/>
        <w:tabs>
          <w:tab w:leader="none" w:pos="114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No judicial proceeding or governmental or administrative action is pending or, to the knowledge of the Responsible Officers of the Loan Parties, threatened in writing, under any Environmental Law to which the Borrower or any Subsidiary is or, to the knowledge of the Responsible Officers of the Loan Parties, will be named as a party, nor are there any consent decrees or other decrees, consent orders, administrative orders or other orders, or other administrative or judicial requirements outstanding under any Environmental Law with respect to the Borrower, any Subsidiary, the Facilities or the Businesses.</w:t>
      </w:r>
    </w:p>
    <w:p>
      <w:pPr>
        <w:spacing w:after="0" w:line="80" w:lineRule="exact"/>
        <w:rPr>
          <w:rFonts w:ascii="Arial" w:cs="Arial" w:eastAsia="Arial" w:hAnsi="Arial"/>
          <w:sz w:val="18"/>
          <w:szCs w:val="18"/>
          <w:color w:val="auto"/>
        </w:rPr>
      </w:pPr>
    </w:p>
    <w:p>
      <w:pPr>
        <w:ind w:left="460" w:right="40" w:firstLine="443"/>
        <w:spacing w:after="0" w:line="264" w:lineRule="auto"/>
        <w:tabs>
          <w:tab w:leader="none" w:pos="112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There has been no release or threat of release of Hazardous Materials at or from the Facilities, or arising from or related to the operations (including disposal) of the Borrower or any Subsidiary in connection with the Facilities or otherwise in connection with the Businesses, in violation of or in amounts or in a manner that could give rise to liability under Environmental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4" w:lineRule="auto"/>
        <w:tabs>
          <w:tab w:leader="none" w:pos="70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Borrower or the applicable Subsidiary operates.</w:t>
      </w:r>
    </w:p>
    <w:p>
      <w:pPr>
        <w:spacing w:after="0" w:line="181" w:lineRule="exact"/>
        <w:rPr>
          <w:rFonts w:ascii="Arial" w:cs="Arial" w:eastAsia="Arial" w:hAnsi="Arial"/>
          <w:sz w:val="18"/>
          <w:szCs w:val="18"/>
          <w:color w:val="auto"/>
        </w:rPr>
      </w:pPr>
    </w:p>
    <w:p>
      <w:pPr>
        <w:ind w:right="380" w:firstLine="464"/>
        <w:spacing w:after="0" w:line="264" w:lineRule="auto"/>
        <w:tabs>
          <w:tab w:leader="none" w:pos="71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Borrower and its Subsidiaries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Borrower and its Subsidiaries have filed all federal, state and other material tax returns and reports required to have been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Borrower or any Subsidiary that would, if made, have a Material Adverse Effect. Neither the Borrower nor any Subsidiary is party to any tax sharing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225" w:lineRule="exact"/>
        <w:rPr>
          <w:sz w:val="20"/>
          <w:szCs w:val="20"/>
          <w:color w:val="auto"/>
        </w:rPr>
      </w:pPr>
    </w:p>
    <w:p>
      <w:pPr>
        <w:ind w:right="160" w:firstLine="464"/>
        <w:spacing w:after="0" w:line="302" w:lineRule="auto"/>
        <w:tabs>
          <w:tab w:leader="none" w:pos="70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Each Plan is in compliance in all material respects with the applicable provisions of ERISA, the Internal Revenue Code and other Federal or state laws. Each Pension Plan that is intended to be a qualified plan under Section 401(a) of the Internal Revenue Code has received a favorable determination letter from the IRS to the effect that the form of such Plan is qualified under Section 401(a) of the Internal Revenue Code and the trust related thereto has been determined by the IRS to be exempt from federal income tax under Section 501(a) of the Internal Revenue Code, or an application for such a</w:t>
      </w:r>
    </w:p>
    <w:p>
      <w:pPr>
        <w:spacing w:after="0" w:line="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274" w:right="319" w:bottom="1440" w:gutter="0" w:footer="0" w:header="0"/>
        </w:sectPr>
      </w:pPr>
    </w:p>
    <w:bookmarkStart w:id="181" w:name="page182"/>
    <w:bookmarkEnd w:id="181"/>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is currently being processed by the IRS. To the knowledge of the Responsible Officers of the Loan Parties, nothing has occurred that would reasonably be expected to prevent or cause the loss of such tax-qualified status.</w:t>
      </w:r>
    </w:p>
    <w:p>
      <w:pPr>
        <w:spacing w:after="0" w:line="170" w:lineRule="exact"/>
        <w:rPr>
          <w:sz w:val="20"/>
          <w:szCs w:val="20"/>
          <w:color w:val="auto"/>
        </w:rPr>
      </w:pPr>
    </w:p>
    <w:p>
      <w:pPr>
        <w:ind w:right="180" w:firstLine="464"/>
        <w:spacing w:after="0" w:line="259" w:lineRule="auto"/>
        <w:tabs>
          <w:tab w:leader="none" w:pos="711"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There are no pending or, to the knowledge of the Responsible Officers of the Loan Parties, threatened claims, actions or lawsuits, or action by any Governmental Authority, with respect to any Plan that would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186" w:lineRule="exact"/>
        <w:rPr>
          <w:rFonts w:ascii="Arial" w:cs="Arial" w:eastAsia="Arial" w:hAnsi="Arial"/>
          <w:sz w:val="18"/>
          <w:szCs w:val="18"/>
          <w:color w:val="auto"/>
        </w:rPr>
      </w:pPr>
    </w:p>
    <w:p>
      <w:pPr>
        <w:ind w:firstLine="464"/>
        <w:spacing w:after="0" w:line="269" w:lineRule="auto"/>
        <w:tabs>
          <w:tab w:leader="none" w:pos="70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(i) No ERISA Event has occurred, and neither any Loan Party nor any ERISA Affiliate is aware of any fact, event or circumstance that would reasonably be expected to constitute or result in an ERISA Event with respect to any Pension Plan; (ii) each Loan Party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Internal Revenue Code) is 60% or higher and neither any Loan Party nor any ERISA Affiliate knows of any facts or circumstances that would reasonably be expected to cause the funding target attainment percentage for any such plan to drop below 60% as of the most recent valuation date; (iv) neither any Loan Party nor any ERISA Affiliate has incurred any liability to the PBGC other than for the payment of premiums, and there are no premium payments which have become due that are unpaid; (v) neither any Loan Party nor any ERISA Affiliate has engaged in a transaction that could be subject to Section 4069 or Section 4212(c) of ERISA; and (vi) no Pension Plan has been terminated by the plan administrator thereof nor by the PBGC, and no event or circumstance has occurred or exists that would reasonably be expected to cause the PBGC to institute proceedings under Title IV of ERISA to terminate any Pension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Subsidiaries</w:t>
      </w:r>
      <w:r>
        <w:rPr>
          <w:rFonts w:ascii="Arial" w:cs="Arial" w:eastAsia="Arial" w:hAnsi="Arial"/>
          <w:sz w:val="18"/>
          <w:szCs w:val="18"/>
          <w:color w:val="auto"/>
        </w:rPr>
        <w:t>.</w:t>
      </w:r>
    </w:p>
    <w:p>
      <w:pPr>
        <w:spacing w:after="0" w:line="225"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6.13</w:t>
      </w:r>
      <w:r>
        <w:rPr>
          <w:rFonts w:ascii="Arial" w:cs="Arial" w:eastAsia="Arial" w:hAnsi="Arial"/>
          <w:sz w:val="18"/>
          <w:szCs w:val="18"/>
          <w:color w:val="auto"/>
        </w:rPr>
        <w:t xml:space="preserve"> is a complete and accurate list as of the Closing Date of each Subsidiary, together with (a) jurisdiction of incorporation or organization, (b) number of shares of each class of Equity Interests outstanding, and (c) number and percentage of outstanding shares of each class owned (directly or indirectly) by the Borrower or any Subsidiary. The outstanding Equity Interests of each Subsidiary are validly issued, fully paid and non-assessable.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w:t>
      </w:r>
    </w:p>
    <w:p>
      <w:pPr>
        <w:spacing w:after="0" w:line="225" w:lineRule="exact"/>
        <w:rPr>
          <w:sz w:val="20"/>
          <w:szCs w:val="20"/>
          <w:color w:val="auto"/>
        </w:rPr>
      </w:pPr>
    </w:p>
    <w:p>
      <w:pPr>
        <w:ind w:right="100" w:firstLine="464"/>
        <w:spacing w:after="0" w:line="255" w:lineRule="auto"/>
        <w:tabs>
          <w:tab w:leader="none" w:pos="70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Borrower only or of the Borrower and its Subsidiaries on a consolidated basis) subject to the provisions of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or subject to any restriction contained in any agreement or instrument between the Borrower and any Lender or any Affiliate of any Lender relating to Indebtedness and within the scope of </w:t>
      </w:r>
      <w:r>
        <w:rPr>
          <w:rFonts w:ascii="Arial" w:cs="Arial" w:eastAsia="Arial" w:hAnsi="Arial"/>
          <w:sz w:val="18"/>
          <w:szCs w:val="18"/>
          <w:u w:val="single" w:color="auto"/>
          <w:color w:val="auto"/>
        </w:rPr>
        <w:t>Section 9.01(e)</w:t>
      </w:r>
      <w:r>
        <w:rPr>
          <w:rFonts w:ascii="Arial" w:cs="Arial" w:eastAsia="Arial" w:hAnsi="Arial"/>
          <w:sz w:val="18"/>
          <w:szCs w:val="18"/>
          <w:color w:val="auto"/>
        </w:rPr>
        <w:t xml:space="preserve"> will be margin stock.</w:t>
      </w:r>
    </w:p>
    <w:p>
      <w:pPr>
        <w:spacing w:after="0" w:line="193" w:lineRule="exact"/>
        <w:rPr>
          <w:rFonts w:ascii="Arial" w:cs="Arial" w:eastAsia="Arial" w:hAnsi="Arial"/>
          <w:sz w:val="18"/>
          <w:szCs w:val="18"/>
          <w:color w:val="auto"/>
        </w:rPr>
      </w:pPr>
    </w:p>
    <w:p>
      <w:pPr>
        <w:ind w:right="120" w:firstLine="464"/>
        <w:spacing w:after="0" w:line="277" w:lineRule="auto"/>
        <w:tabs>
          <w:tab w:leader="none" w:pos="71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None of the Borrower, any Person Controlling the Borrower, or any Subsidiary is or is required to be registered as an “investment company” under the Investment Company Act of 1940.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6.15 </w:t>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Each Loan Party has disclosed to the Administrative Agent and the Lenders all agreements, instruments and corporate or other restrictions to which it or any of its Subsidiaries is subject, and all other matters known to it, that would reasonably be expected to result in a Material Adverse Effect. No report, financial statement, certificate or other information (excluding the projections and pro forma financial information referred to below)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when taken as a whole with the other information so furnished, any untrue statement of material fact or omits to state any material fact necessary to make the statements therein, in the light of the circumstances under which they were made, not misleading. The projections and pro forma financial information contained in the materials referenced above were based upon good faith estimates and assumptions believed by management of the Loan Parties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25" w:lineRule="exact"/>
        <w:rPr>
          <w:sz w:val="20"/>
          <w:szCs w:val="20"/>
          <w:color w:val="auto"/>
        </w:rPr>
      </w:pPr>
    </w:p>
    <w:p>
      <w:pPr>
        <w:jc w:val="both"/>
        <w:ind w:right="140" w:firstLine="456"/>
        <w:spacing w:after="0" w:line="312" w:lineRule="auto"/>
        <w:rPr>
          <w:sz w:val="20"/>
          <w:szCs w:val="20"/>
          <w:color w:val="auto"/>
        </w:rPr>
      </w:pPr>
      <w:r>
        <w:rPr>
          <w:rFonts w:ascii="Arial" w:cs="Arial" w:eastAsia="Arial" w:hAnsi="Arial"/>
          <w:sz w:val="16"/>
          <w:szCs w:val="16"/>
          <w:color w:val="auto"/>
        </w:rPr>
        <w:t>Each of the Borrower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Intellectual Property; Licenses, Etc</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Borrower and its Subsidiaries own, or possess the right to use, all of the trademarks, service marks, trade names, copyrights, patents, patent rights, franchises, licenses and other intellectual property rights (collectively, “</w:t>
      </w:r>
      <w:r>
        <w:rPr>
          <w:rFonts w:ascii="Arial" w:cs="Arial" w:eastAsia="Arial" w:hAnsi="Arial"/>
          <w:sz w:val="17"/>
          <w:szCs w:val="17"/>
          <w:u w:val="single" w:color="auto"/>
          <w:color w:val="auto"/>
        </w:rPr>
        <w:t>IP Rights</w:t>
      </w:r>
      <w:r>
        <w:rPr>
          <w:rFonts w:ascii="Arial" w:cs="Arial" w:eastAsia="Arial" w:hAnsi="Arial"/>
          <w:sz w:val="17"/>
          <w:szCs w:val="17"/>
          <w:color w:val="auto"/>
        </w:rPr>
        <w:t xml:space="preserve">”) that are reasonably necessary for the operation of their respective businesses. Set forth on </w:t>
      </w:r>
      <w:r>
        <w:rPr>
          <w:rFonts w:ascii="Arial" w:cs="Arial" w:eastAsia="Arial" w:hAnsi="Arial"/>
          <w:sz w:val="17"/>
          <w:szCs w:val="17"/>
          <w:u w:val="single" w:color="auto"/>
          <w:color w:val="auto"/>
        </w:rPr>
        <w:t>Schedule 6.17</w:t>
      </w:r>
      <w:r>
        <w:rPr>
          <w:rFonts w:ascii="Arial" w:cs="Arial" w:eastAsia="Arial" w:hAnsi="Arial"/>
          <w:sz w:val="17"/>
          <w:szCs w:val="17"/>
          <w:color w:val="auto"/>
        </w:rPr>
        <w:t xml:space="preserve"> is a list of (i) all IP Rights registered or pending registration with the United States Copyright Office or the United States Patent and Trademark Office that as of the Closing Date a Loan Party owns and (ii) all licenses of IP Rights registered with the United States Copyright Office or the United States Patent and Trademark Office as of the Closing Date. Except for such claims and infringements that would not reasonably be expected to have a Material Adverse Effect, no claim has been asserted and is pending by any Person challenging or questioning the use of any IP Rights or the validity or effectiveness of any IP Rights, nor does any Responsible Officer of any Loan Party know of any such claim, and, to the knowledge of the Responsible Officers of the Loan Parties, the use of any IP Rights by the Borrower or any Subsidiary, the granting of a right or a license in respect of any IP Rights from the Borrower or any Subsidiary does not infringe on any rights of any other Person. As of the Closing Date, none of the IP Rights owned by any Loan Party is subject to any licensing agreement or similar arrangement except as set forth on </w:t>
      </w:r>
      <w:r>
        <w:rPr>
          <w:rFonts w:ascii="Arial" w:cs="Arial" w:eastAsia="Arial" w:hAnsi="Arial"/>
          <w:sz w:val="17"/>
          <w:szCs w:val="17"/>
          <w:u w:val="single" w:color="auto"/>
          <w:color w:val="auto"/>
        </w:rPr>
        <w:t>Schedule 6.17</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Solvency</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Loan Parties are Solvent on a consolidated basis.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6.19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u w:val="single" w:color="auto"/>
          <w:color w:val="auto"/>
        </w:rPr>
        <w:t>Business Locations; Taxpayer Identification Number</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6.20-1</w:t>
      </w:r>
      <w:r>
        <w:rPr>
          <w:rFonts w:ascii="Arial" w:cs="Arial" w:eastAsia="Arial" w:hAnsi="Arial"/>
          <w:sz w:val="18"/>
          <w:szCs w:val="18"/>
          <w:color w:val="auto"/>
        </w:rPr>
        <w:t xml:space="preserve"> is a list of all real property located in the United States that is owned or leased by any Loan Party as of the Closing Date (identifying whether such real property is owned or leased and which Loan Party owns or leases such real property). Set forth on </w:t>
      </w:r>
      <w:r>
        <w:rPr>
          <w:rFonts w:ascii="Arial" w:cs="Arial" w:eastAsia="Arial" w:hAnsi="Arial"/>
          <w:sz w:val="18"/>
          <w:szCs w:val="18"/>
          <w:u w:val="single" w:color="auto"/>
          <w:color w:val="auto"/>
        </w:rPr>
        <w:t>Schedule 6.20-2</w:t>
      </w:r>
      <w:r>
        <w:rPr>
          <w:rFonts w:ascii="Arial" w:cs="Arial" w:eastAsia="Arial" w:hAnsi="Arial"/>
          <w:sz w:val="18"/>
          <w:szCs w:val="18"/>
          <w:color w:val="auto"/>
        </w:rPr>
        <w:t xml:space="preserve"> is the chief executive office, U.S. tax payer identification number and organizational identification number of each Loan Party as of the Closing Date. The exact legal name and state of organization of each Loan Party as of the Closing Date is as set forth on the signature pages hereto. Except as set forth on </w:t>
      </w:r>
      <w:r>
        <w:rPr>
          <w:rFonts w:ascii="Arial" w:cs="Arial" w:eastAsia="Arial" w:hAnsi="Arial"/>
          <w:sz w:val="18"/>
          <w:szCs w:val="18"/>
          <w:u w:val="single" w:color="auto"/>
          <w:color w:val="auto"/>
        </w:rPr>
        <w:t>Schedule 6.20-3</w:t>
      </w:r>
      <w:r>
        <w:rPr>
          <w:rFonts w:ascii="Arial" w:cs="Arial" w:eastAsia="Arial" w:hAnsi="Arial"/>
          <w:sz w:val="18"/>
          <w:szCs w:val="18"/>
          <w:color w:val="auto"/>
        </w:rPr>
        <w:t>, no Loan Party has during the five years preceding the Closing Date (i) changed its legal name, (ii) changed its state of formation, or (iii) been party to a merger, consolidation or other change in structure.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None of the Loan Parties, nor any of their Subsidiaries, nor, to the knowledge of the Loan Parties and their Subsidiaries, any director, officer, employee, agent, affiliate or representative thereof,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Anti-Corruption Laws</w:t>
      </w:r>
      <w:r>
        <w:rPr>
          <w:rFonts w:ascii="Arial" w:cs="Arial" w:eastAsia="Arial" w:hAnsi="Arial"/>
          <w:sz w:val="18"/>
          <w:szCs w:val="18"/>
          <w:color w:val="auto"/>
        </w:rPr>
        <w:t>.</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The Loan Parties and their Subsidiaries have conducted their businesses in compliance with the United States Foreign Corrupt Practices Act of 1977, the UK Bribery Act 2010, and other similar anti-corruption legislation in other relevant jurisdictions and have instituted and maintained policies and procedures designed to promote and achieve compliance with such laws.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So long as any Lender shall have any Commitment hereunder, any Loan or other Obligation hereunder (other than contingent indemnification obligations not yet due and payable) shall remain unpaid or unsatisfied, or any Letter of Credit shall remain outstanding, the Loan Parties shall and shall cause each Subsidiary to: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 to the Administrative Agent, in form and detail reasonably satisfactory to the Administrative Agent:</w:t>
      </w:r>
    </w:p>
    <w:p>
      <w:pPr>
        <w:spacing w:after="0" w:line="117" w:lineRule="exact"/>
        <w:rPr>
          <w:sz w:val="20"/>
          <w:szCs w:val="20"/>
          <w:color w:val="auto"/>
        </w:rPr>
      </w:pPr>
    </w:p>
    <w:p>
      <w:pPr>
        <w:ind w:left="460" w:right="160" w:firstLine="443"/>
        <w:spacing w:after="0" w:line="257" w:lineRule="auto"/>
        <w:tabs>
          <w:tab w:leader="none" w:pos="11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soon as available, but in any event within ninety days after the end of each fiscal year of the Borrower (or, if earlier, 15 days after the date required to be filed with the SEC (without giving effect to any extension permitted by the SEC)), commencing with the fiscal year ending December 31, 2012, the consolidated balance sheet of the Borrower and its Subsidiaries as at the end of such fiscal year, and the related consolidated statements of income or operations, changes in stockholders’ equity and cash flows for such fiscal year, setting forth in each case in comparative form the figures for the previous fiscal year, all in reasonable detail and prepared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74" w:right="239" w:bottom="1440" w:gutter="0" w:footer="0" w:header="0"/>
        </w:sectPr>
      </w:pPr>
    </w:p>
    <w:bookmarkStart w:id="184" w:name="page185"/>
    <w:bookmarkEnd w:id="184"/>
    <w:p>
      <w:pPr>
        <w:ind w:left="460"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accordance with GAAP, and in the case of such consolidated statements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79" w:lineRule="exact"/>
        <w:rPr>
          <w:sz w:val="20"/>
          <w:szCs w:val="20"/>
          <w:color w:val="auto"/>
        </w:rPr>
      </w:pPr>
    </w:p>
    <w:p>
      <w:pPr>
        <w:ind w:left="460" w:firstLine="443"/>
        <w:spacing w:after="0" w:line="270" w:lineRule="auto"/>
        <w:tabs>
          <w:tab w:leader="none" w:pos="115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as soon as available, but in any event within forty-five days after the end of each of the first three fiscal quarters of each fiscal year of the Borrower (or, if earlier, 5 days after the date required to be filed with the SEC (without giving effect to any extension permitted by the SEC)), commencing with the fiscal quarter ended March 31, 2013, the consolidated balance sheet of the Borrower and its Subsidiaries as at the end of such fiscal quarter, the related consolidated statements of income or operations for such fiscal quarter and for the portion of the Borrower’s fiscal year then ended, and the related consolidated statements of changes in stockholders’ equity and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and in the case of such consolidated statements certified by the chief executive officer, chief financial officer, treasurer or controller of the Borrower as fairly presenting the financial condition, results of operations, stockholders’ equity and cash flows of the Borrower and its Subsidiaries in accordance with GAAP, subject only to normal year-end audit adjustments and the absence of footnotes; and</w:t>
      </w:r>
    </w:p>
    <w:p>
      <w:pPr>
        <w:spacing w:after="0" w:line="69" w:lineRule="exact"/>
        <w:rPr>
          <w:rFonts w:ascii="Arial" w:cs="Arial" w:eastAsia="Arial" w:hAnsi="Arial"/>
          <w:sz w:val="17"/>
          <w:szCs w:val="17"/>
          <w:color w:val="auto"/>
        </w:rPr>
      </w:pPr>
    </w:p>
    <w:p>
      <w:pPr>
        <w:ind w:left="460" w:right="280" w:firstLine="443"/>
        <w:spacing w:after="0" w:line="279" w:lineRule="auto"/>
        <w:tabs>
          <w:tab w:leader="none" w:pos="114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as soon as available, but in any event within seventy-five (75) days after the end of each fiscal year of the Borrower, commencing with the fiscal year ending December 31, 2012, forecasts prepared by management of the Borrower, in form satisfactory to the Administrative Agent, of consolidated balance sheets and statements of income or operations and cash flows of the Borrower and its Subsidiaries on an annual basis for the immediately following three fiscal years (including the fiscal year in which the Maturity Date occurs).</w:t>
      </w:r>
    </w:p>
    <w:p>
      <w:pPr>
        <w:spacing w:after="0" w:line="63"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7.02(d)</w:t>
      </w:r>
      <w:r>
        <w:rPr>
          <w:rFonts w:ascii="Arial" w:cs="Arial" w:eastAsia="Arial" w:hAnsi="Arial"/>
          <w:sz w:val="18"/>
          <w:szCs w:val="18"/>
          <w:color w:val="auto"/>
        </w:rPr>
        <w:t>, the Borrower shall not be separately required to furnish such information under clause (a) or (b) above, but the foregoing shall not be in derogation of the obligation of the Borrower to furnish the information and materials described in clauses (a) and (b) above at the times specified therein.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Deliver to the Administrative Agent, in form and detail reasonably satisfactory to the Administrative Agent:</w:t>
      </w:r>
    </w:p>
    <w:p>
      <w:pPr>
        <w:spacing w:after="0" w:line="117" w:lineRule="exact"/>
        <w:rPr>
          <w:sz w:val="20"/>
          <w:szCs w:val="20"/>
          <w:color w:val="auto"/>
        </w:rPr>
      </w:pPr>
    </w:p>
    <w:p>
      <w:pPr>
        <w:ind w:left="460" w:right="120" w:firstLine="443"/>
        <w:spacing w:after="0" w:line="277" w:lineRule="auto"/>
        <w:tabs>
          <w:tab w:leader="none" w:pos="114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promptly after receipt by the Borrower or any Subsidiary from the DOE, the Cohort Default Rate for each School for each federal fiscal year and the DOE Ratio for each fiscal year of the Borrower;</w:t>
      </w:r>
    </w:p>
    <w:p>
      <w:pPr>
        <w:spacing w:after="0" w:line="62" w:lineRule="exact"/>
        <w:rPr>
          <w:rFonts w:ascii="Arial" w:cs="Arial" w:eastAsia="Arial" w:hAnsi="Arial"/>
          <w:sz w:val="18"/>
          <w:szCs w:val="18"/>
          <w:color w:val="auto"/>
        </w:rPr>
      </w:pPr>
    </w:p>
    <w:p>
      <w:pPr>
        <w:jc w:val="both"/>
        <w:ind w:left="460" w:right="100" w:firstLine="443"/>
        <w:spacing w:after="0" w:line="259" w:lineRule="auto"/>
        <w:tabs>
          <w:tab w:leader="none" w:pos="115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 duly completed Compliance Certificate signed by the chief executive officer, chief financial officer, treasurer or controller of the Borrower (which delivery may, unless the Administrative Agent, or a Lender requests executed originals, be by electronic communication including fax or email and shall be deemed to be an original authentic counterpart thereof for all purposes);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274" w:right="259" w:bottom="1440" w:gutter="0" w:footer="0" w:header="0"/>
        </w:sectPr>
      </w:pPr>
    </w:p>
    <w:bookmarkStart w:id="185" w:name="page186"/>
    <w:bookmarkEnd w:id="185"/>
    <w:p>
      <w:pPr>
        <w:ind w:left="1140" w:hanging="237"/>
        <w:spacing w:after="0"/>
        <w:tabs>
          <w:tab w:leader="none" w:pos="11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promptly after the filing thereof with the DOE, a copy of the Borrower’s most recent Title IV Compliance Audit as filed with the DOE;</w:t>
      </w:r>
    </w:p>
    <w:p>
      <w:pPr>
        <w:spacing w:after="0" w:line="128" w:lineRule="exact"/>
        <w:rPr>
          <w:rFonts w:ascii="Arial" w:cs="Arial" w:eastAsia="Arial" w:hAnsi="Arial"/>
          <w:sz w:val="17"/>
          <w:szCs w:val="17"/>
          <w:color w:val="auto"/>
        </w:rPr>
      </w:pPr>
    </w:p>
    <w:p>
      <w:pPr>
        <w:ind w:left="460" w:right="120" w:firstLine="443"/>
        <w:spacing w:after="0" w:line="259" w:lineRule="auto"/>
        <w:tabs>
          <w:tab w:leader="none" w:pos="115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or proxy statement sent to the equityholders of the Borrower or any Subsidiary, and copies of all annual, regular, periodic and special reports and registration statements which the Borrower or any Subsidiary may file or be required to file with the SEC under Section 13 or 15(d) of the Securities Exchange Act of 1934, and not otherwise required to be delivered to the Administrative Agent pursuant hereto;</w:t>
      </w:r>
    </w:p>
    <w:p>
      <w:pPr>
        <w:spacing w:after="0" w:line="78" w:lineRule="exact"/>
        <w:rPr>
          <w:rFonts w:ascii="Arial" w:cs="Arial" w:eastAsia="Arial" w:hAnsi="Arial"/>
          <w:sz w:val="18"/>
          <w:szCs w:val="18"/>
          <w:color w:val="auto"/>
        </w:rPr>
      </w:pPr>
    </w:p>
    <w:p>
      <w:pPr>
        <w:ind w:left="460" w:right="200" w:firstLine="443"/>
        <w:spacing w:after="0" w:line="259" w:lineRule="auto"/>
        <w:tabs>
          <w:tab w:leader="none" w:pos="114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 report signed by a Responsible Officer of the Borrower that supplements </w:t>
      </w:r>
      <w:r>
        <w:rPr>
          <w:rFonts w:ascii="Arial" w:cs="Arial" w:eastAsia="Arial" w:hAnsi="Arial"/>
          <w:sz w:val="18"/>
          <w:szCs w:val="18"/>
          <w:u w:val="single" w:color="auto"/>
          <w:color w:val="auto"/>
        </w:rPr>
        <w:t>Schedule 6.17</w:t>
      </w:r>
      <w:r>
        <w:rPr>
          <w:rFonts w:ascii="Arial" w:cs="Arial" w:eastAsia="Arial" w:hAnsi="Arial"/>
          <w:sz w:val="18"/>
          <w:szCs w:val="18"/>
          <w:color w:val="auto"/>
        </w:rPr>
        <w:t xml:space="preserve"> such that, as supplemented, such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would be accurate and complete as of such date (if no supplement is required to cause such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to be accurate and complete as of such date, then the Borrower shall not be required to deliver such a report);</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promptly after any request by the Administrative Agent, copies of any detailed audit reports, management letters or recommendations</w:t>
      </w:r>
    </w:p>
    <w:p>
      <w:pPr>
        <w:spacing w:after="0" w:line="34" w:lineRule="exact"/>
        <w:rPr>
          <w:rFonts w:ascii="Arial" w:cs="Arial" w:eastAsia="Arial" w:hAnsi="Arial"/>
          <w:sz w:val="17"/>
          <w:szCs w:val="17"/>
          <w:color w:val="auto"/>
        </w:rPr>
      </w:pPr>
    </w:p>
    <w:p>
      <w:pPr>
        <w:ind w:left="460"/>
        <w:spacing w:after="0" w:line="261" w:lineRule="auto"/>
        <w:rPr>
          <w:rFonts w:ascii="Arial" w:cs="Arial" w:eastAsia="Arial" w:hAnsi="Arial"/>
          <w:sz w:val="17"/>
          <w:szCs w:val="17"/>
          <w:color w:val="auto"/>
        </w:rPr>
      </w:pPr>
      <w:r>
        <w:rPr>
          <w:rFonts w:ascii="Arial" w:cs="Arial" w:eastAsia="Arial" w:hAnsi="Arial"/>
          <w:sz w:val="18"/>
          <w:szCs w:val="18"/>
          <w:color w:val="auto"/>
        </w:rPr>
        <w:t>submitted to the board of directors (or the audit committee of the board of directors) of the Borrower by independent accountants in connection with the accounts or books of the Borrower or any Subsidiary, or any audit of any of them;</w:t>
      </w:r>
    </w:p>
    <w:p>
      <w:pPr>
        <w:spacing w:after="0" w:line="75" w:lineRule="exact"/>
        <w:rPr>
          <w:rFonts w:ascii="Arial" w:cs="Arial" w:eastAsia="Arial" w:hAnsi="Arial"/>
          <w:sz w:val="17"/>
          <w:szCs w:val="17"/>
          <w:color w:val="auto"/>
        </w:rPr>
      </w:pPr>
    </w:p>
    <w:p>
      <w:pPr>
        <w:ind w:left="460" w:right="60" w:firstLine="443"/>
        <w:spacing w:after="0" w:line="259" w:lineRule="auto"/>
        <w:tabs>
          <w:tab w:leader="none" w:pos="115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promptly, and in any event within five Business Days after receipt thereof by the Borrower or any Subsidiary, copies of each notice or other correspondence received from the SEC (or comparable agency in any applicable non-U.S. jurisdiction) concerning any investigation or possible investigation or other inquiry by such agency (other than reviews of the Borrower’s periodic reports in the ordinary course) regarding financial or other operational results of the Borrower or any Subsidiary; and</w:t>
      </w:r>
    </w:p>
    <w:p>
      <w:pPr>
        <w:spacing w:after="0" w:line="78" w:lineRule="exact"/>
        <w:rPr>
          <w:rFonts w:ascii="Arial" w:cs="Arial" w:eastAsia="Arial" w:hAnsi="Arial"/>
          <w:sz w:val="18"/>
          <w:szCs w:val="18"/>
          <w:color w:val="auto"/>
        </w:rPr>
      </w:pPr>
    </w:p>
    <w:p>
      <w:pPr>
        <w:ind w:left="460" w:right="440" w:firstLine="443"/>
        <w:spacing w:after="0" w:line="264" w:lineRule="auto"/>
        <w:tabs>
          <w:tab w:leader="none" w:pos="115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financial or corporate affairs of the Borrower or any Subsidiary (including consolidating financial statements), or compliance with the terms of the Loan Documents, as the Administrative Agent may from time to time reasonably request.</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Documents required to be delivered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7.02(d)</w:t>
      </w:r>
      <w:r>
        <w:rPr>
          <w:rFonts w:ascii="Arial" w:cs="Arial" w:eastAsia="Arial" w:hAnsi="Arial"/>
          <w:sz w:val="16"/>
          <w:szCs w:val="16"/>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6"/>
          <w:szCs w:val="16"/>
          <w:u w:val="single" w:color="auto"/>
          <w:color w:val="auto"/>
        </w:rPr>
        <w:t>Schedule 11.02</w:t>
      </w:r>
      <w:r>
        <w:rPr>
          <w:rFonts w:ascii="Arial" w:cs="Arial" w:eastAsia="Arial" w:hAnsi="Arial"/>
          <w:sz w:val="16"/>
          <w:szCs w:val="16"/>
          <w:color w:val="auto"/>
        </w:rPr>
        <w:t xml:space="preserve">; or (ii)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deliver paper copies of such documents to the Administrative Agent or any Lender upon its request to the Borrower to deliver such paper copies until a written request to cease delivering paper copies is given by the Administrative Agent or such Lender and (ii) the Borrower shall notify the Administrative Agent (by facsimile or electronic mail) of the posting of any such documents and provide to the Administrative Agent by electronic mail electronic versions (</w:t>
      </w:r>
      <w:r>
        <w:rPr>
          <w:rFonts w:ascii="Arial" w:cs="Arial" w:eastAsia="Arial" w:hAnsi="Arial"/>
          <w:sz w:val="16"/>
          <w:szCs w:val="16"/>
          <w:u w:val="single" w:color="auto"/>
          <w:color w:val="auto"/>
        </w:rPr>
        <w:t>i.e.</w:t>
      </w:r>
      <w:r>
        <w:rPr>
          <w:rFonts w:ascii="Arial" w:cs="Arial" w:eastAsia="Arial" w:hAnsi="Arial"/>
          <w:sz w:val="16"/>
          <w:szCs w:val="16"/>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186" w:name="page187"/>
    <w:bookmarkEnd w:id="186"/>
    <w:p>
      <w:pPr>
        <w:ind w:right="1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Borrower hereby acknowledges that (a) the Administrative Agent and/or the Arranger may, but shall not be obligated to, make available to the Lenders and the L/C Issuer materials and/or information provided by or on behalf of the Borrower hereunder (collectively,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Debt Domain, IntraLinks, Syndtrak or another similar electronic system (the “</w:t>
      </w:r>
      <w:r>
        <w:rPr>
          <w:rFonts w:ascii="Arial" w:cs="Arial" w:eastAsia="Arial" w:hAnsi="Arial"/>
          <w:sz w:val="16"/>
          <w:szCs w:val="16"/>
          <w:u w:val="single" w:color="auto"/>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for so long as the Borrower is the issuer of any outstanding debt or equity securities that are registered or issued pursuant to a private offering or is actively contemplating issuing any such securities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the Arranger, the L/C Issuer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such Borrower Materials constitute Information, they shall be treated as set forth in </w:t>
      </w:r>
      <w:r>
        <w:rPr>
          <w:rFonts w:ascii="Arial" w:cs="Arial" w:eastAsia="Arial" w:hAnsi="Arial"/>
          <w:sz w:val="16"/>
          <w:szCs w:val="16"/>
          <w:u w:val="single" w:color="auto"/>
          <w:color w:val="auto"/>
        </w:rPr>
        <w:t>Section 11.07</w:t>
      </w:r>
      <w:r>
        <w:rPr>
          <w:rFonts w:ascii="Arial" w:cs="Arial" w:eastAsia="Arial" w:hAnsi="Arial"/>
          <w:sz w:val="16"/>
          <w:szCs w:val="16"/>
          <w:color w:val="auto"/>
        </w:rPr>
        <w:t>);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7.03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Promptly notify the Administrative Agent of:</w:t>
      </w:r>
    </w:p>
    <w:p>
      <w:pPr>
        <w:spacing w:after="0" w:line="117" w:lineRule="exact"/>
        <w:rPr>
          <w:sz w:val="20"/>
          <w:szCs w:val="20"/>
          <w:color w:val="auto"/>
        </w:rPr>
      </w:pPr>
    </w:p>
    <w:p>
      <w:pPr>
        <w:ind w:left="1140" w:hanging="237"/>
        <w:spacing w:after="0"/>
        <w:tabs>
          <w:tab w:leader="none" w:pos="11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left="460" w:firstLine="443"/>
        <w:spacing w:after="0" w:line="255" w:lineRule="auto"/>
        <w:tabs>
          <w:tab w:leader="none" w:pos="115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matter that has resulted or would reasonably be expected to result in a Material Adverse Effect, including each of the following to the extent the same has resulted or would reasonably be expected to result in a Material Adverse Effect: (i) any pending or, to the knowledge of any Responsible Officer of any Loan Party, threatened loss by any School of any of its Accreditations or any other accreditation, license, permit or authorization required for any School to participate in one or more Title IV Programs; (ii) any change to occur in state or federal laws, rules or governmental regulations or budgetary allocations or educational loan policies; and (iii) any pending or, to the knowledge of any Responsible Officer of any Loan Party, threatened in writing investigation, inquiry or proceeding against any School by the DOE, any state governmental agency or Accrediting Body;</w:t>
      </w:r>
    </w:p>
    <w:p>
      <w:pPr>
        <w:spacing w:after="0" w:line="81" w:lineRule="exact"/>
        <w:rPr>
          <w:rFonts w:ascii="Arial" w:cs="Arial" w:eastAsia="Arial" w:hAnsi="Arial"/>
          <w:sz w:val="18"/>
          <w:szCs w:val="18"/>
          <w:color w:val="auto"/>
        </w:rPr>
      </w:pPr>
    </w:p>
    <w:p>
      <w:pPr>
        <w:ind w:left="460" w:right="20" w:firstLine="443"/>
        <w:spacing w:after="0" w:line="279" w:lineRule="auto"/>
        <w:tabs>
          <w:tab w:leader="none" w:pos="1143"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the occurrence of any of the events described in clauses (a), (b), (c) and (d) of the definition of “Significant Regulatory Event” or clause (i) of the second sentence of </w:t>
      </w:r>
      <w:r>
        <w:rPr>
          <w:rFonts w:ascii="Arial" w:cs="Arial" w:eastAsia="Arial" w:hAnsi="Arial"/>
          <w:sz w:val="17"/>
          <w:szCs w:val="17"/>
          <w:u w:val="single" w:color="auto"/>
          <w:color w:val="auto"/>
        </w:rPr>
        <w:t>Section 7.08</w:t>
      </w:r>
      <w:r>
        <w:rPr>
          <w:rFonts w:ascii="Arial" w:cs="Arial" w:eastAsia="Arial" w:hAnsi="Arial"/>
          <w:sz w:val="17"/>
          <w:szCs w:val="17"/>
          <w:color w:val="auto"/>
        </w:rPr>
        <w:t xml:space="preserve"> in each case with respect to any School and, if applicable, a certificate signed by the chief executive officer, chief financial officer, treasurer or controller of the Borrower containing reasonably detailed calculations demonstrating that none of clauses (i) and (ii) of the definition of “Significant Regulatory Event” or clauses (A) and (B) of </w:t>
      </w:r>
      <w:r>
        <w:rPr>
          <w:rFonts w:ascii="Arial" w:cs="Arial" w:eastAsia="Arial" w:hAnsi="Arial"/>
          <w:sz w:val="17"/>
          <w:szCs w:val="17"/>
          <w:u w:val="single" w:color="auto"/>
          <w:color w:val="auto"/>
        </w:rPr>
        <w:t>Section 7.08</w:t>
      </w:r>
      <w:r>
        <w:rPr>
          <w:rFonts w:ascii="Arial" w:cs="Arial" w:eastAsia="Arial" w:hAnsi="Arial"/>
          <w:sz w:val="17"/>
          <w:szCs w:val="17"/>
          <w:color w:val="auto"/>
        </w:rPr>
        <w:t>, as the case may be, is applicable;</w:t>
      </w:r>
    </w:p>
    <w:p>
      <w:pPr>
        <w:spacing w:after="0" w:line="63" w:lineRule="exact"/>
        <w:rPr>
          <w:rFonts w:ascii="Arial" w:cs="Arial" w:eastAsia="Arial" w:hAnsi="Arial"/>
          <w:sz w:val="17"/>
          <w:szCs w:val="17"/>
          <w:color w:val="auto"/>
        </w:rPr>
      </w:pPr>
    </w:p>
    <w:p>
      <w:pPr>
        <w:ind w:left="1160" w:hanging="257"/>
        <w:spacing w:after="0"/>
        <w:tabs>
          <w:tab w:leader="none" w:pos="11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occurrence of any ERISA Event;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187" w:name="page188"/>
    <w:bookmarkEnd w:id="187"/>
    <w:p>
      <w:pPr>
        <w:ind w:left="460" w:firstLine="443"/>
        <w:spacing w:after="0" w:line="277" w:lineRule="auto"/>
        <w:tabs>
          <w:tab w:leader="none" w:pos="1143"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material change in accounting policies or financial reporting practices by the Borrower or any Subsidiary, including any determination by the Borrower referred to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60" w:right="400" w:firstLine="443"/>
        <w:spacing w:after="0" w:line="277" w:lineRule="auto"/>
        <w:tabs>
          <w:tab w:leader="none" w:pos="112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change in any of the information provided in the eligibility application, to the extent required under 34 C.F.R. Section 600.20, of the Borrower or any Subsidiary or any School; and</w:t>
      </w:r>
    </w:p>
    <w:p>
      <w:pPr>
        <w:spacing w:after="0" w:line="62" w:lineRule="exact"/>
        <w:rPr>
          <w:rFonts w:ascii="Arial" w:cs="Arial" w:eastAsia="Arial" w:hAnsi="Arial"/>
          <w:sz w:val="18"/>
          <w:szCs w:val="18"/>
          <w:color w:val="auto"/>
        </w:rPr>
      </w:pPr>
    </w:p>
    <w:p>
      <w:pPr>
        <w:ind w:left="460" w:right="440" w:firstLine="443"/>
        <w:spacing w:after="0" w:line="277" w:lineRule="auto"/>
        <w:tabs>
          <w:tab w:leader="none" w:pos="115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imposition by the DOE of a requirement that the Borrower, any Subsidiary or any School post or procure or obtain the issuance of a Regulatory Letter of Credit.</w:t>
      </w:r>
    </w:p>
    <w:p>
      <w:pPr>
        <w:spacing w:after="0" w:line="170"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6"/>
          <w:szCs w:val="16"/>
          <w:u w:val="single" w:color="auto"/>
          <w:color w:val="auto"/>
        </w:rPr>
        <w:t>Section 7.03(a)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Payment of Taxes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Pay and discharge as the same shall become due and payable all material obligations in respect of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7.05 </w:t>
      </w:r>
      <w:r>
        <w:rPr>
          <w:rFonts w:ascii="Arial" w:cs="Arial" w:eastAsia="Arial" w:hAnsi="Arial"/>
          <w:sz w:val="18"/>
          <w:szCs w:val="18"/>
          <w:u w:val="single" w:color="auto"/>
          <w:color w:val="auto"/>
        </w:rPr>
        <w:t>Preservation of Existence, Etc</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77" w:lineRule="auto"/>
        <w:tabs>
          <w:tab w:leader="none" w:pos="70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legal existence under the Laws of the jurisdiction of its organization except in a transaction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00" w:firstLine="464"/>
        <w:spacing w:after="0" w:line="277" w:lineRule="auto"/>
        <w:tabs>
          <w:tab w:leader="none" w:pos="71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Preserve, renew and maintain in full force and effect its good standing under the Laws of the jurisdiction of its organization except in a transaction permitted by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8.05</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400" w:firstLine="464"/>
        <w:spacing w:after="0" w:line="277" w:lineRule="auto"/>
        <w:tabs>
          <w:tab w:leader="none" w:pos="70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Take all reasonable action to maintain all rights, privileges, permits, licenses and franchises necessary or desirable in the normal conduct of its business, except to the extent that the failure to do so would not reasonably be expected to have a Material Adverse Effect.</w:t>
      </w:r>
    </w:p>
    <w:p>
      <w:pPr>
        <w:spacing w:after="0" w:line="170" w:lineRule="exact"/>
        <w:rPr>
          <w:rFonts w:ascii="Arial" w:cs="Arial" w:eastAsia="Arial" w:hAnsi="Arial"/>
          <w:sz w:val="18"/>
          <w:szCs w:val="18"/>
          <w:color w:val="auto"/>
        </w:rPr>
      </w:pPr>
    </w:p>
    <w:p>
      <w:pPr>
        <w:ind w:left="720" w:hanging="256"/>
        <w:spacing w:after="0"/>
        <w:tabs>
          <w:tab w:leader="none" w:pos="72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Preserve or renew all of its IP Rights, the non-preservation or non-renewal of which would reasonably be expected to have a Material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210" w:lineRule="exact"/>
        <w:rPr>
          <w:rFonts w:ascii="Arial" w:cs="Arial" w:eastAsia="Arial" w:hAnsi="Arial"/>
          <w:sz w:val="16"/>
          <w:szCs w:val="16"/>
          <w:color w:val="auto"/>
        </w:rPr>
      </w:pPr>
    </w:p>
    <w:p>
      <w:pPr>
        <w:ind w:firstLine="464"/>
        <w:spacing w:after="0" w:line="277" w:lineRule="auto"/>
        <w:tabs>
          <w:tab w:leader="none" w:pos="70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Maintain all accreditations, licenses, permits and authorizations required for each School to conduct its business, except to the extent that the failure to do so would not reasonably be expected to have a Material Adverse Effect.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7.06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w:t>
      </w:r>
    </w:p>
    <w:p>
      <w:pPr>
        <w:spacing w:after="0" w:line="225" w:lineRule="exact"/>
        <w:rPr>
          <w:sz w:val="20"/>
          <w:szCs w:val="20"/>
          <w:color w:val="auto"/>
        </w:rPr>
      </w:pPr>
    </w:p>
    <w:p>
      <w:pPr>
        <w:ind w:right="360" w:firstLine="464"/>
        <w:spacing w:after="0" w:line="277" w:lineRule="auto"/>
        <w:tabs>
          <w:tab w:leader="none" w:pos="70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Maintain, preserve and protect all of its material properties and equipment necessary in the operation of its business in good working order and condition, ordinary wear and tear excepted.</w:t>
      </w:r>
    </w:p>
    <w:p>
      <w:pPr>
        <w:spacing w:after="0" w:line="170" w:lineRule="exact"/>
        <w:rPr>
          <w:rFonts w:ascii="Arial" w:cs="Arial" w:eastAsia="Arial" w:hAnsi="Arial"/>
          <w:sz w:val="18"/>
          <w:szCs w:val="18"/>
          <w:color w:val="auto"/>
        </w:rPr>
      </w:pPr>
    </w:p>
    <w:p>
      <w:pPr>
        <w:ind w:right="220" w:firstLine="464"/>
        <w:spacing w:after="0" w:line="277" w:lineRule="auto"/>
        <w:tabs>
          <w:tab w:leader="none" w:pos="71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Make all necessary repairs thereto and renewals and replacements thereof, except where the failure to do so would not reasonably be expected to have a Material Adverse Effect.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60"/>
          </w:cols>
          <w:pgMar w:left="240" w:top="274" w:right="299" w:bottom="1440" w:gutter="0" w:footer="0" w:header="0"/>
        </w:sectPr>
      </w:pPr>
    </w:p>
    <w:bookmarkStart w:id="188" w:name="page189"/>
    <w:bookmarkEnd w:id="188"/>
    <w:p>
      <w:pPr>
        <w:ind w:right="3800" w:firstLine="464"/>
        <w:spacing w:after="0" w:line="516" w:lineRule="auto"/>
        <w:tabs>
          <w:tab w:leader="none" w:pos="701"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Use the standard of care typical in the industry in the operation and maintenance of its facilities. 7.07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w:t>
      </w:r>
    </w:p>
    <w:p>
      <w:pPr>
        <w:spacing w:after="0" w:line="1" w:lineRule="exact"/>
        <w:rPr>
          <w:sz w:val="20"/>
          <w:szCs w:val="20"/>
          <w:color w:val="auto"/>
        </w:rPr>
      </w:pPr>
    </w:p>
    <w:p>
      <w:pPr>
        <w:ind w:right="480" w:firstLine="464"/>
        <w:spacing w:after="0" w:line="264" w:lineRule="auto"/>
        <w:tabs>
          <w:tab w:leader="none" w:pos="70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81" w:lineRule="exact"/>
        <w:rPr>
          <w:rFonts w:ascii="Arial" w:cs="Arial" w:eastAsia="Arial" w:hAnsi="Arial"/>
          <w:sz w:val="18"/>
          <w:szCs w:val="18"/>
          <w:color w:val="auto"/>
        </w:rPr>
      </w:pPr>
    </w:p>
    <w:p>
      <w:pPr>
        <w:ind w:firstLine="464"/>
        <w:spacing w:after="0" w:line="257" w:lineRule="auto"/>
        <w:tabs>
          <w:tab w:leader="none" w:pos="71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Without limiting the foregoing, (i) maintain, if available, fully paid flood hazard insurance on all real property that is located in a special flood hazard area and that constitutes Collateral, on such terms and in such amounts as required by The National Flood Insurance Reform Act of 1994 or as otherwise required by the Administrative Agent, (ii) furnish to the Administrative Agent evidence of the renewal (and payment of renewal premiums therefor) of all such policies prior to the expiration or lapse thereof, and (iii) furnish to the Administrative Agent prompt written notice of any redesignation of any such improved real property into or out of a special flood hazard area.</w:t>
      </w:r>
    </w:p>
    <w:p>
      <w:pPr>
        <w:spacing w:after="0" w:line="188" w:lineRule="exact"/>
        <w:rPr>
          <w:rFonts w:ascii="Arial" w:cs="Arial" w:eastAsia="Arial" w:hAnsi="Arial"/>
          <w:sz w:val="18"/>
          <w:szCs w:val="18"/>
          <w:color w:val="auto"/>
        </w:rPr>
      </w:pPr>
    </w:p>
    <w:p>
      <w:pPr>
        <w:ind w:right="60" w:firstLine="464"/>
        <w:spacing w:after="0" w:line="257" w:lineRule="auto"/>
        <w:tabs>
          <w:tab w:leader="none" w:pos="70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Cause the Administrative Agent and its successors and/or assigns to be named as lender’s loss payee or mortgagee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give the Administrative Agent thirty days (or such lesser amount as the Administrative Agent may agree) prior written notice before any such policy or policies shall be altered or canceled.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 xml:space="preserve">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 Without limiting the generality of the foregoing, comply with (i) all applicable Laws the violation of which would result in a substantial limitation on, or loss or suspension of, the eligibility of any School to participate in one or more Title IV Programs, which in the case of this clause (i) either (A) affects one or more Schools which either (x) contributed in the aggregate more than 15% of the Consolidated EBITDA for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(y) owned assets which comprise in the aggregate more than 15% of the total assets of the Borrower and its Subsidiaries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(B) would have caused the Loan Parties to fail to be in compliance with the financial covenants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as of the end of the period of the four fiscal quarters most recently ended for which the Borrower has delivered financial statements pursuant to</w:t>
      </w:r>
    </w:p>
    <w:p>
      <w:pPr>
        <w:spacing w:after="0" w:line="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if the aggregate amount of Consolidated EBITDA and Consolidated Tangible Net Worth contributed by such Schools during such period were excluded from the calculation of such financial covenants or (C) affects the eligibility of one or more Schools to participate in the William D. Ford Federal Direct Loan (Direct Loan) Program, the Federal Pell Grant Program or one or more other Title IV Programs that contributed in the aggregate more than 5% of the Title IV revenues received by the Borrower and its Subsidiaries for the fiscal year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(ii) the federal Truth-in-Lending Act, 15 U.S.C. § 1601 et seq., and all other consumer credit laws applicable to the Borrower, any Subsidiary 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189" w:name="page190"/>
    <w:bookmarkEnd w:id="189"/>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School in connection with the advancing of student loans, except to the extent the failure to do so would not reasonably be expected to have a Material Adverse Effect, (iii) all statutory and regulatory requirements for authorization to provide post-secondary education in the jurisdictions in which its educational facilities are located, except to the extent the failure to do so would not reasonably be expected to have a Material Adverse Effect and (iv) all of the factors of financial responsibility set forth in 34 C.F.R. Sections 668 Subpart L, except to the extent the failure to do so would not reasonably be expected to have a Material Adverse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7.09 </w:t>
      </w:r>
      <w:r>
        <w:rPr>
          <w:rFonts w:ascii="Arial" w:cs="Arial" w:eastAsia="Arial" w:hAnsi="Arial"/>
          <w:sz w:val="18"/>
          <w:szCs w:val="18"/>
          <w:u w:val="single" w:color="auto"/>
          <w:color w:val="auto"/>
        </w:rPr>
        <w:t>Books and Records</w:t>
      </w:r>
      <w:r>
        <w:rPr>
          <w:rFonts w:ascii="Arial" w:cs="Arial" w:eastAsia="Arial" w:hAnsi="Arial"/>
          <w:sz w:val="18"/>
          <w:szCs w:val="18"/>
          <w:color w:val="auto"/>
        </w:rPr>
        <w:t>.</w:t>
      </w:r>
    </w:p>
    <w:p>
      <w:pPr>
        <w:spacing w:after="0" w:line="225" w:lineRule="exact"/>
        <w:rPr>
          <w:sz w:val="20"/>
          <w:szCs w:val="20"/>
          <w:color w:val="auto"/>
        </w:rPr>
      </w:pPr>
    </w:p>
    <w:p>
      <w:pPr>
        <w:ind w:right="180" w:firstLine="464"/>
        <w:spacing w:after="0" w:line="342" w:lineRule="auto"/>
        <w:tabs>
          <w:tab w:leader="none" w:pos="70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Maintain proper books of record and account, in which full, true and correct entries in all material respects in conformity with GAAP consistently applied shall be made of all financial transactions and matters involving the assets and business of the Borrower or such Subsidiary, as the case may be.</w:t>
      </w:r>
    </w:p>
    <w:p>
      <w:pPr>
        <w:spacing w:after="0" w:line="123" w:lineRule="exact"/>
        <w:rPr>
          <w:rFonts w:ascii="Arial" w:cs="Arial" w:eastAsia="Arial" w:hAnsi="Arial"/>
          <w:sz w:val="16"/>
          <w:szCs w:val="16"/>
          <w:color w:val="auto"/>
        </w:rPr>
      </w:pPr>
    </w:p>
    <w:p>
      <w:pPr>
        <w:ind w:right="680" w:firstLine="464"/>
        <w:spacing w:after="0" w:line="277" w:lineRule="auto"/>
        <w:tabs>
          <w:tab w:leader="none" w:pos="71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Maintain such books of record and account in material conformity with all applicable requirements of any Governmental Authority having regulatory jurisdiction over the Borrower or such Subsidiary, as the case may be.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Inspection Rights</w:t>
      </w:r>
      <w:r>
        <w:rPr>
          <w:rFonts w:ascii="Arial" w:cs="Arial" w:eastAsia="Arial" w:hAnsi="Arial"/>
          <w:sz w:val="18"/>
          <w:szCs w:val="18"/>
          <w:color w:val="auto"/>
        </w:rPr>
        <w:t>.</w:t>
      </w:r>
    </w:p>
    <w:p>
      <w:pPr>
        <w:spacing w:after="0" w:line="225" w:lineRule="exact"/>
        <w:rPr>
          <w:sz w:val="20"/>
          <w:szCs w:val="20"/>
          <w:color w:val="auto"/>
        </w:rPr>
      </w:pPr>
    </w:p>
    <w:p>
      <w:pPr>
        <w:ind w:right="120" w:firstLine="464"/>
        <w:spacing w:after="0" w:line="272" w:lineRule="auto"/>
        <w:tabs>
          <w:tab w:leader="none" w:pos="701"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Permit representatives and independent contractors of the Administrative Agent to visit and inspect any of its properties, to examine its corporate, financial and operating records and make copies thereof or abstracts therefrom, to discuss its affairs, finances and accounts with its directors, officers and independent public accountants, all at the expense of the Borrower and at such reasonable times during normal business hours and as often as may be reasonably desired, upon reasonable advance notice to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that (i) unless an Event of Default has occurred and is continuing, the Borrower shall be required to pay for only one field exam by the Administrative Agent in any fiscal year of the Borrower and (ii) if an Event of Default has occurred and is continuing the Administrative Agent (or any of its representatives or independent contractors) may do any of the foregoing at the expense of the Borrower at any time during normal business hours and without advance notice.</w:t>
      </w:r>
    </w:p>
    <w:p>
      <w:pPr>
        <w:spacing w:after="0" w:line="177" w:lineRule="exact"/>
        <w:rPr>
          <w:rFonts w:ascii="Arial" w:cs="Arial" w:eastAsia="Arial" w:hAnsi="Arial"/>
          <w:sz w:val="17"/>
          <w:szCs w:val="17"/>
          <w:color w:val="auto"/>
        </w:rPr>
      </w:pPr>
    </w:p>
    <w:p>
      <w:pPr>
        <w:jc w:val="both"/>
        <w:ind w:firstLine="464"/>
        <w:spacing w:after="0" w:line="264" w:lineRule="auto"/>
        <w:tabs>
          <w:tab w:leader="none" w:pos="71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Permit representatives and independent contractors of the Administrative Agent to conduct Appraisals of the real property Collateral at the expense of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an Event of Default has occurred and is continuing, the Administrative Agent shall not conduct more than one Appraisal of the real property Collateral in any calendar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64" w:lineRule="auto"/>
        <w:tabs>
          <w:tab w:leader="none" w:pos="70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Use the proceeds of the Term Loan solely to repay existing real estate term debt of the Borrower, to reimburse the Borrower for capital expenditures made by the Borrower prior to the Closing Date, for working capital, additional capital expenditures, share repurchases and other general corporate purposes in each case not in contravention of any Law or of any Loan Document.</w:t>
      </w:r>
    </w:p>
    <w:p>
      <w:pPr>
        <w:spacing w:after="0" w:line="181" w:lineRule="exact"/>
        <w:rPr>
          <w:rFonts w:ascii="Arial" w:cs="Arial" w:eastAsia="Arial" w:hAnsi="Arial"/>
          <w:sz w:val="18"/>
          <w:szCs w:val="18"/>
          <w:color w:val="auto"/>
        </w:rPr>
      </w:pPr>
    </w:p>
    <w:p>
      <w:pPr>
        <w:ind w:right="440" w:firstLine="464"/>
        <w:spacing w:after="0" w:line="277" w:lineRule="auto"/>
        <w:tabs>
          <w:tab w:leader="none" w:pos="71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Use the proceeds of all other Credit Extensions solely for working capital, capital expenditures, share repurchases and other general corporate purposes in each case not in contravention of any Law or of any Loan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Additional Guarantors</w:t>
      </w:r>
      <w:r>
        <w:rPr>
          <w:rFonts w:ascii="Arial" w:cs="Arial" w:eastAsia="Arial" w:hAnsi="Arial"/>
          <w:sz w:val="18"/>
          <w:szCs w:val="18"/>
          <w:color w:val="auto"/>
        </w:rPr>
        <w:t>.</w:t>
      </w:r>
    </w:p>
    <w:p>
      <w:pPr>
        <w:spacing w:after="0" w:line="225"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Within thirty days (or such later date as the Administrative Agent may agree in its sole discretion) after any Person becomes a Material Domestic Subsidiary, cause such Person to (i) become a Guarantor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80"/>
          </w:cols>
          <w:pgMar w:left="240" w:top="274" w:right="279" w:bottom="1440" w:gutter="0" w:footer="0" w:header="0"/>
        </w:sectPr>
      </w:pPr>
    </w:p>
    <w:bookmarkStart w:id="190" w:name="page191"/>
    <w:bookmarkEnd w:id="190"/>
    <w:p>
      <w:pPr>
        <w:jc w:val="both"/>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by executing and delivering to the Administrative Agent a Joinder Agreement and (ii) deliver to the Administrative Agent documents of the types referred to in </w:t>
      </w:r>
      <w:r>
        <w:rPr>
          <w:rFonts w:ascii="Arial" w:cs="Arial" w:eastAsia="Arial" w:hAnsi="Arial"/>
          <w:sz w:val="16"/>
          <w:szCs w:val="16"/>
          <w:u w:val="single" w:color="auto"/>
          <w:color w:val="auto"/>
        </w:rPr>
        <w:t>Sections 5.01(c)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favorable opinions of counsel to such Person (which shall cover, among other things, the legality, validity, binding effect and enforceability of the documentation referred to in clause (a)), all in form, content and scope reasonably satisfactory to the Administrative Agent.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Pledged Assets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88" w:lineRule="auto"/>
        <w:tabs>
          <w:tab w:leader="none" w:pos="701"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Equity Interests</w:t>
      </w:r>
      <w:r>
        <w:rPr>
          <w:rFonts w:ascii="Arial" w:cs="Arial" w:eastAsia="Arial" w:hAnsi="Arial"/>
          <w:sz w:val="16"/>
          <w:szCs w:val="16"/>
          <w:color w:val="auto"/>
        </w:rPr>
        <w:t>. Cause (i) 100% of the issued and outstanding Equity Interests of each Material Domestic Subsidiary and (ii) 66% (or such greater percentage that, due to a change in an applicable Law after the date hereof, (A) would not reasonably be expected to cause the undistributed earnings of such Foreign Subsidiary as determined for United States federal income tax purposes to be treated as a deemed dividend to such Foreign Subsidiary’s United States parent and (B) would not reasonably be expected to cause any material adverse tax consequences) of the issued and outstanding Equity Interests entitled to vote (within the meaning of Treas. Reg. Section 1.956-2(c)(2)) and 100% of the issued and outstanding Equity Interests not entitled to vote (within the meaning of Treas. Reg. Section 1.956-2(c)(2)) in each Material Foreign Subsidiary directly owned by any Loan Party to be subject at all times to a first priority, perfected Lien in favor of the Administrative Agent, for the benefit of the holders of the Obligations, to secure the Obligations pursuant to the Collateral Documents (subject to Permitted Liens), and, in connection with the foregoing, deliver to the Administrative Agent such other documentation as the Administrative Agent may request including, any filings and deliveries to perfect such Liens, Organization Documents, resolutions and favorable opinions of counsel all in form, content and scope reasonably satisfactory to the Administrative Agent.</w:t>
      </w:r>
    </w:p>
    <w:p>
      <w:pPr>
        <w:spacing w:after="0" w:line="169" w:lineRule="exact"/>
        <w:rPr>
          <w:rFonts w:ascii="Arial" w:cs="Arial" w:eastAsia="Arial" w:hAnsi="Arial"/>
          <w:sz w:val="16"/>
          <w:szCs w:val="16"/>
          <w:color w:val="auto"/>
        </w:rPr>
      </w:pPr>
    </w:p>
    <w:p>
      <w:pPr>
        <w:ind w:right="80" w:firstLine="464"/>
        <w:spacing w:after="0" w:line="276" w:lineRule="auto"/>
        <w:tabs>
          <w:tab w:leader="none" w:pos="711"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Personal Property</w:t>
      </w:r>
      <w:r>
        <w:rPr>
          <w:rFonts w:ascii="Arial" w:cs="Arial" w:eastAsia="Arial" w:hAnsi="Arial"/>
          <w:sz w:val="17"/>
          <w:szCs w:val="17"/>
          <w:color w:val="auto"/>
        </w:rPr>
        <w:t>. Cause all personal property (other than Excluded Personal Property) of each Loan Party to be subject at all times to first priority, perfected Liens in favor of the Administrative Agent, for the benefit of the holders of the Obligations, to secure the Obligations pursuant to the Collateral Documents (subject to Permitted Liens) and, in connection with the foregoing, deliver to the Administrative Agent such other documentation as the Administrative Agent may reasonably request including filings and deliveries necessary to perfect such Liens, Organization Documents, resolutions and favorable opinions of counsel to such Person, all in form, content and scope reasonably satisfactory to the Administrative Agent.</w:t>
      </w:r>
    </w:p>
    <w:p>
      <w:pPr>
        <w:spacing w:after="0" w:line="172" w:lineRule="exact"/>
        <w:rPr>
          <w:rFonts w:ascii="Arial" w:cs="Arial" w:eastAsia="Arial" w:hAnsi="Arial"/>
          <w:sz w:val="17"/>
          <w:szCs w:val="17"/>
          <w:color w:val="auto"/>
        </w:rPr>
      </w:pPr>
    </w:p>
    <w:p>
      <w:pPr>
        <w:ind w:firstLine="464"/>
        <w:spacing w:after="0" w:line="270" w:lineRule="auto"/>
        <w:tabs>
          <w:tab w:leader="none" w:pos="701"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Real Property</w:t>
      </w:r>
      <w:r>
        <w:rPr>
          <w:rFonts w:ascii="Arial" w:cs="Arial" w:eastAsia="Arial" w:hAnsi="Arial"/>
          <w:sz w:val="17"/>
          <w:szCs w:val="17"/>
          <w:color w:val="auto"/>
        </w:rPr>
        <w:t>. Cause all real property of the Loan Parties (other than Excluded Real Property) to be subject at all times to first priority, perfected Liens in favor of the Administrative Agent, for the benefit of the holders of the Obligations, to secure the Obligations and, in connection with the foregoing, deliver to the Administrative Agent the Real Property Deliverables for such real property (other than, with respect to any such real property acquired after the Closing Date, an Appraisal), favorable opinions of counsel and such other documentation as the Administrative Agent may request, all in form, content and scope reasonably satisfactory to the Administrative Agent, in each case within the following time periods: (i) within sixty (60) days after the First Amendment Effective Date, in the case of any such real property owned by a Loan Party on the First Amendment Effective Date and for which the Borrower has not delivered to the Administrative Agent the Real Property Deliverables on the First Amendment Effective Date, and (ii) within sixty (60) days after the acquisition of such real property (or if such real property is Excluded Property on the date of its acquisition then within sixty (60) days after such real property ceases to be Excluded Real Property), in the case of all other such real property.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Compliance with Contractual Obligations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Comply with all requirements of Contractual Obligations (including lease agreements with respect to leasehold interests in real property) except in such instances in which (a) such requirement is being contested in good faith by appropriate proceedings diligently conducted; or (b) the failure to comply therewith would not reasonably be expected to have a Material Adverse Effect.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7.15 </w:t>
      </w:r>
      <w:r>
        <w:rPr>
          <w:rFonts w:ascii="Arial" w:cs="Arial" w:eastAsia="Arial" w:hAnsi="Arial"/>
          <w:sz w:val="18"/>
          <w:szCs w:val="18"/>
          <w:u w:val="single" w:color="auto"/>
          <w:color w:val="auto"/>
        </w:rPr>
        <w:t>Maintenance of Primary Depository Relationship</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Maintain each Loan Party’s primary depository relationship, including business, cash management, operating and administrative deposit accounts, with one of more of the Lenders.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Regulatory Letter of Credit</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required by any DOE requirement, promptly obtain and maintain a Regulatory Letter of Credit in compliance with all DOE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Encroachments</w:t>
      </w:r>
      <w:r>
        <w:rPr>
          <w:rFonts w:ascii="Arial" w:cs="Arial" w:eastAsia="Arial" w:hAnsi="Arial"/>
          <w:sz w:val="18"/>
          <w:szCs w:val="18"/>
          <w:color w:val="auto"/>
        </w:rPr>
        <w:t>.</w:t>
      </w:r>
    </w:p>
    <w:p>
      <w:pPr>
        <w:spacing w:after="0" w:line="225"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 xml:space="preserve">Promptly after the Closing Date use commercially reasonable efforts to record, or to cause to be recorded, documentation in form and substance reasonably satisfactory to the Administrative Agent in the applicable recording office that removes or modifies the easements described on </w:t>
      </w:r>
      <w:r>
        <w:rPr>
          <w:rFonts w:ascii="Arial" w:cs="Arial" w:eastAsia="Arial" w:hAnsi="Arial"/>
          <w:sz w:val="17"/>
          <w:szCs w:val="17"/>
          <w:u w:val="single" w:color="auto"/>
          <w:color w:val="auto"/>
        </w:rPr>
        <w:t>Schedule 7.17</w:t>
      </w:r>
      <w:r>
        <w:rPr>
          <w:rFonts w:ascii="Arial" w:cs="Arial" w:eastAsia="Arial" w:hAnsi="Arial"/>
          <w:sz w:val="17"/>
          <w:szCs w:val="17"/>
          <w:color w:val="auto"/>
        </w:rPr>
        <w:t xml:space="preserve"> such that after giving effect to such recording no structures owned by the Borrower encroach on such easements.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u w:val="single" w:color="auto"/>
          <w:color w:val="auto"/>
        </w:rPr>
        <w:t>Anti-Corruption Laws</w:t>
      </w:r>
      <w:r>
        <w:rPr>
          <w:rFonts w:ascii="Arial" w:cs="Arial" w:eastAsia="Arial" w:hAnsi="Arial"/>
          <w:sz w:val="18"/>
          <w:szCs w:val="18"/>
          <w:color w:val="auto"/>
        </w:rPr>
        <w:t>.</w:t>
      </w:r>
    </w:p>
    <w:p>
      <w:pPr>
        <w:spacing w:after="0" w:line="225"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Conduct its businesses in compliance with the United States Foreign Corrupt Practices Act of 1977, the UK Bribery Act 2010 and other similar anti-corruption legislation in other jurisdictions and maintain policies and procedures designed to promote and achieve compliance with such laws.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So long as any Lender shall have any Commitment hereunder, any Loan or other Obligation hereunder (other than contingent indemnification obligations not yet due and payable) shall remain unpaid or unsatisfied, or any Letter of Credit shall remain outstanding, no Loan Party shall, nor shall it permit any Subsidiary to, directly or indirectly: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Liens</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Create, incur, assume or suffer to exist any Lien upon any of its property, assets or revenues, whether now owned or hereafter acquired, other than the following:</w:t>
      </w:r>
    </w:p>
    <w:p>
      <w:pPr>
        <w:spacing w:after="0" w:line="62" w:lineRule="exact"/>
        <w:rPr>
          <w:sz w:val="20"/>
          <w:szCs w:val="20"/>
          <w:color w:val="auto"/>
        </w:rPr>
      </w:pPr>
    </w:p>
    <w:p>
      <w:pPr>
        <w:ind w:left="1140" w:hanging="237"/>
        <w:spacing w:after="0"/>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117" w:lineRule="exact"/>
        <w:rPr>
          <w:rFonts w:ascii="Arial" w:cs="Arial" w:eastAsia="Arial" w:hAnsi="Arial"/>
          <w:sz w:val="18"/>
          <w:szCs w:val="18"/>
          <w:color w:val="auto"/>
        </w:rPr>
      </w:pPr>
    </w:p>
    <w:p>
      <w:pPr>
        <w:ind w:left="460" w:right="160" w:firstLine="443"/>
        <w:spacing w:after="0" w:line="342" w:lineRule="auto"/>
        <w:tabs>
          <w:tab w:leader="none" w:pos="115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Liens existing on the date hereof and listed on </w:t>
      </w:r>
      <w:r>
        <w:rPr>
          <w:rFonts w:ascii="Arial" w:cs="Arial" w:eastAsia="Arial" w:hAnsi="Arial"/>
          <w:sz w:val="16"/>
          <w:szCs w:val="16"/>
          <w:u w:val="single" w:color="auto"/>
          <w:color w:val="auto"/>
        </w:rPr>
        <w:t>Schedule 8.01</w:t>
      </w:r>
      <w:r>
        <w:rPr>
          <w:rFonts w:ascii="Arial" w:cs="Arial" w:eastAsia="Arial" w:hAnsi="Arial"/>
          <w:sz w:val="16"/>
          <w:szCs w:val="16"/>
          <w:color w:val="auto"/>
        </w:rPr>
        <w:t xml:space="preserve"> and any modifications, replacements,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Liens do not extend to any property other than the property subject to such Liens on the Closing Date and the proceeds and products thereof;</w:t>
      </w:r>
    </w:p>
    <w:p>
      <w:pPr>
        <w:spacing w:after="0" w:line="15" w:lineRule="exact"/>
        <w:rPr>
          <w:rFonts w:ascii="Arial" w:cs="Arial" w:eastAsia="Arial" w:hAnsi="Arial"/>
          <w:sz w:val="16"/>
          <w:szCs w:val="16"/>
          <w:color w:val="auto"/>
        </w:rPr>
      </w:pPr>
    </w:p>
    <w:p>
      <w:pPr>
        <w:ind w:left="460" w:firstLine="443"/>
        <w:spacing w:after="0" w:line="264" w:lineRule="auto"/>
        <w:tabs>
          <w:tab w:leader="none" w:pos="1143" w:val="left"/>
        </w:tabs>
        <w:numPr>
          <w:ilvl w:val="0"/>
          <w:numId w:val="162"/>
        </w:numPr>
        <w:rPr>
          <w:rFonts w:ascii="Arial" w:cs="Arial" w:eastAsia="Arial" w:hAnsi="Arial"/>
          <w:sz w:val="18"/>
          <w:szCs w:val="18"/>
          <w:color w:val="auto"/>
        </w:rPr>
      </w:pPr>
      <w:r>
        <w:rPr>
          <w:rFonts w:ascii="Arial" w:cs="Arial" w:eastAsia="Arial" w:hAnsi="Arial"/>
          <w:sz w:val="18"/>
          <w:szCs w:val="18"/>
          <w:color w:val="auto"/>
        </w:rPr>
        <w:t>Liens (other than Liens imposed under ERISA) for taxes, assessments or governmental charges or levies which are not overdue for a period of more than thirty (30) days or which are being contested in good faith and by appropriate proceedings diligently conducted, if adequate reserves with respect thereto are maintained on the books of the applicable Person in accordance with GAAP;</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274" w:right="259" w:bottom="1440" w:gutter="0" w:footer="0" w:header="0"/>
        </w:sectPr>
      </w:pPr>
    </w:p>
    <w:bookmarkStart w:id="192" w:name="page193"/>
    <w:bookmarkEnd w:id="192"/>
    <w:p>
      <w:pPr>
        <w:ind w:right="160" w:firstLine="443"/>
        <w:spacing w:after="0" w:line="259" w:lineRule="auto"/>
        <w:tabs>
          <w:tab w:leader="none" w:pos="693" w:val="left"/>
        </w:tabs>
        <w:numPr>
          <w:ilvl w:val="0"/>
          <w:numId w:val="1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Liens of landlords, carriers, warehousemen, mechanics, materialmen and repairmen and other like Liens arising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secure only amounts not overdue for a period of more than thirty (30) days or, if overdue for more than thirty days, are being contested in good faith by appropriate proceedings diligently conducted for which adequate reserves determined in accordance with GAAP have been established;</w:t>
      </w:r>
    </w:p>
    <w:p>
      <w:pPr>
        <w:spacing w:after="0" w:line="78" w:lineRule="exact"/>
        <w:rPr>
          <w:rFonts w:ascii="Arial" w:cs="Arial" w:eastAsia="Arial" w:hAnsi="Arial"/>
          <w:sz w:val="18"/>
          <w:szCs w:val="18"/>
          <w:color w:val="auto"/>
        </w:rPr>
      </w:pPr>
    </w:p>
    <w:p>
      <w:pPr>
        <w:ind w:firstLine="443"/>
        <w:spacing w:after="0" w:line="259" w:lineRule="auto"/>
        <w:tabs>
          <w:tab w:leader="none" w:pos="68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pledges or deposits in the ordinary course of business in connection with workers’ compensation, unemployment insurance and other social security legislation, other than any Lien imposed by ERISA,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78" w:lineRule="exact"/>
        <w:rPr>
          <w:rFonts w:ascii="Arial" w:cs="Arial" w:eastAsia="Arial" w:hAnsi="Arial"/>
          <w:sz w:val="18"/>
          <w:szCs w:val="18"/>
          <w:color w:val="auto"/>
        </w:rPr>
      </w:pPr>
    </w:p>
    <w:p>
      <w:pPr>
        <w:ind w:right="320" w:firstLine="443"/>
        <w:spacing w:after="0" w:line="264" w:lineRule="auto"/>
        <w:tabs>
          <w:tab w:leader="none" w:pos="66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(other than Indebtedness for borrowed money), statutory obligations, surety, stay, custom and appeal bonds, performance bonds and other obligations of a like nature (including those to secure health, safety and environmental obligations) incurred in the ordinary course of business;</w:t>
      </w:r>
    </w:p>
    <w:p>
      <w:pPr>
        <w:spacing w:after="0" w:line="73" w:lineRule="exact"/>
        <w:rPr>
          <w:rFonts w:ascii="Arial" w:cs="Arial" w:eastAsia="Arial" w:hAnsi="Arial"/>
          <w:sz w:val="18"/>
          <w:szCs w:val="18"/>
          <w:color w:val="auto"/>
        </w:rPr>
      </w:pPr>
    </w:p>
    <w:p>
      <w:pPr>
        <w:ind w:right="200" w:firstLine="443"/>
        <w:spacing w:after="0" w:line="277" w:lineRule="auto"/>
        <w:tabs>
          <w:tab w:leader="none" w:pos="69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and minor title defects affecting real property which, in the aggregate do not in any case materially interfere with the ordinary conduct of the business of the applicable Person;</w:t>
      </w:r>
    </w:p>
    <w:p>
      <w:pPr>
        <w:spacing w:after="0" w:line="62" w:lineRule="exact"/>
        <w:rPr>
          <w:rFonts w:ascii="Arial" w:cs="Arial" w:eastAsia="Arial" w:hAnsi="Arial"/>
          <w:sz w:val="18"/>
          <w:szCs w:val="18"/>
          <w:color w:val="auto"/>
        </w:rPr>
      </w:pPr>
    </w:p>
    <w:p>
      <w:pPr>
        <w:ind w:right="100" w:firstLine="443"/>
        <w:spacing w:after="0" w:line="277" w:lineRule="auto"/>
        <w:tabs>
          <w:tab w:leader="none" w:pos="69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(or appeal or other surety bonds relating to such judgments) not constituting an Event of Default under </w:t>
      </w:r>
      <w:r>
        <w:rPr>
          <w:rFonts w:ascii="Arial" w:cs="Arial" w:eastAsia="Arial" w:hAnsi="Arial"/>
          <w:sz w:val="18"/>
          <w:szCs w:val="18"/>
          <w:u w:val="single" w:color="auto"/>
          <w:color w:val="auto"/>
        </w:rPr>
        <w:t>Section 9.01(h)</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660" w:hanging="217"/>
        <w:spacing w:after="0"/>
        <w:tabs>
          <w:tab w:leader="none" w:pos="66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under </w:t>
      </w:r>
      <w:r>
        <w:rPr>
          <w:rFonts w:ascii="Arial" w:cs="Arial" w:eastAsia="Arial" w:hAnsi="Arial"/>
          <w:sz w:val="16"/>
          <w:szCs w:val="16"/>
          <w:u w:val="single" w:color="auto"/>
          <w:color w:val="auto"/>
        </w:rPr>
        <w:t>Section 8.03(e)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Liens do not at any time encumber any property other than</w:t>
      </w:r>
    </w:p>
    <w:p>
      <w:pPr>
        <w:spacing w:after="0" w:line="46" w:lineRule="exact"/>
        <w:rPr>
          <w:sz w:val="20"/>
          <w:szCs w:val="20"/>
          <w:color w:val="auto"/>
        </w:rPr>
      </w:pPr>
    </w:p>
    <w:p>
      <w:pPr>
        <w:ind w:right="680" w:firstLine="4"/>
        <w:spacing w:after="0" w:line="255" w:lineRule="auto"/>
        <w:tabs>
          <w:tab w:leader="none" w:pos="29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property financed by such Indebtedness and the proceeds and products of such property and (B) other Indebtedness permitted under </w:t>
      </w:r>
      <w:r>
        <w:rPr>
          <w:rFonts w:ascii="Arial" w:cs="Arial" w:eastAsia="Arial" w:hAnsi="Arial"/>
          <w:sz w:val="18"/>
          <w:szCs w:val="18"/>
          <w:u w:val="single" w:color="auto"/>
          <w:color w:val="auto"/>
        </w:rPr>
        <w:t>Section 8.03(e)</w:t>
      </w:r>
      <w:r>
        <w:rPr>
          <w:rFonts w:ascii="Arial" w:cs="Arial" w:eastAsia="Arial" w:hAnsi="Arial"/>
          <w:sz w:val="18"/>
          <w:szCs w:val="18"/>
          <w:color w:val="auto"/>
        </w:rPr>
        <w:t xml:space="preserve"> that is provided by the same lender and (ii) such Liens attach to such property concurrently with or within ninety days after the acquisition thereof;</w:t>
      </w:r>
    </w:p>
    <w:p>
      <w:pPr>
        <w:spacing w:after="0" w:line="82" w:lineRule="exact"/>
        <w:rPr>
          <w:rFonts w:ascii="Arial" w:cs="Arial" w:eastAsia="Arial" w:hAnsi="Arial"/>
          <w:sz w:val="18"/>
          <w:szCs w:val="18"/>
          <w:color w:val="auto"/>
        </w:rPr>
      </w:pPr>
    </w:p>
    <w:p>
      <w:pPr>
        <w:ind w:right="260" w:firstLine="443"/>
        <w:spacing w:after="0" w:line="277" w:lineRule="auto"/>
        <w:tabs>
          <w:tab w:leader="none" w:pos="65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8.03(f)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Liens do not at any time encumber any property other than Excluded Fixed Assets and the proceeds and products of Excluded Fixed Assets;</w:t>
      </w:r>
    </w:p>
    <w:p>
      <w:pPr>
        <w:spacing w:after="0" w:line="62" w:lineRule="exact"/>
        <w:rPr>
          <w:rFonts w:ascii="Arial" w:cs="Arial" w:eastAsia="Arial" w:hAnsi="Arial"/>
          <w:sz w:val="18"/>
          <w:szCs w:val="18"/>
          <w:color w:val="auto"/>
        </w:rPr>
      </w:pPr>
    </w:p>
    <w:p>
      <w:pPr>
        <w:ind w:right="360" w:firstLine="443"/>
        <w:spacing w:after="0" w:line="277" w:lineRule="auto"/>
        <w:tabs>
          <w:tab w:leader="none" w:pos="69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leases, subleases, licenses or sublicenses granted to others not interfering in any material respect with the business of the Borrower or any Subsidiary;</w:t>
      </w:r>
    </w:p>
    <w:p>
      <w:pPr>
        <w:spacing w:after="0" w:line="62" w:lineRule="exact"/>
        <w:rPr>
          <w:rFonts w:ascii="Arial" w:cs="Arial" w:eastAsia="Arial" w:hAnsi="Arial"/>
          <w:sz w:val="18"/>
          <w:szCs w:val="18"/>
          <w:color w:val="auto"/>
        </w:rPr>
      </w:pPr>
    </w:p>
    <w:p>
      <w:pPr>
        <w:ind w:right="260" w:firstLine="443"/>
        <w:spacing w:after="0" w:line="277" w:lineRule="auto"/>
        <w:tabs>
          <w:tab w:leader="none" w:pos="65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any interest of title of a lessor under, and Liens arising from UCC financing statements (or equivalent filings, registrations or agreements in foreign jurisdictions) relating to, leases permitted by this Agreement;</w:t>
      </w:r>
    </w:p>
    <w:p>
      <w:pPr>
        <w:spacing w:after="0" w:line="62" w:lineRule="exact"/>
        <w:rPr>
          <w:rFonts w:ascii="Arial" w:cs="Arial" w:eastAsia="Arial" w:hAnsi="Arial"/>
          <w:sz w:val="18"/>
          <w:szCs w:val="18"/>
          <w:color w:val="auto"/>
        </w:rPr>
      </w:pPr>
    </w:p>
    <w:p>
      <w:pPr>
        <w:ind w:left="740" w:hanging="297"/>
        <w:spacing w:after="0"/>
        <w:tabs>
          <w:tab w:leader="none" w:pos="74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permitted under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0" w:hanging="257"/>
        <w:spacing w:after="0"/>
        <w:tabs>
          <w:tab w:leader="none" w:pos="7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normal and customary rights of setoff upon deposits of cash in favor of banks or other depository institutions;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960"/>
          </w:cols>
          <w:pgMar w:left="700" w:top="274" w:right="239" w:bottom="1440" w:gutter="0" w:footer="0" w:header="0"/>
        </w:sectPr>
      </w:pPr>
    </w:p>
    <w:bookmarkStart w:id="193" w:name="page194"/>
    <w:bookmarkEnd w:id="193"/>
    <w:p>
      <w:pPr>
        <w:ind w:left="1160" w:hanging="257"/>
        <w:spacing w:after="0"/>
        <w:tabs>
          <w:tab w:leader="none" w:pos="11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Liens of a collection bank arising under Section 4-210 of the Uniform Commercial Code on items in the course of collection;</w:t>
      </w:r>
    </w:p>
    <w:p>
      <w:pPr>
        <w:spacing w:after="0" w:line="117"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Liens consisting of an agreement to Dispose of any property in a Disposition permitted under </w:t>
      </w:r>
      <w:r>
        <w:rPr>
          <w:rFonts w:ascii="Arial" w:cs="Arial" w:eastAsia="Arial" w:hAnsi="Arial"/>
          <w:sz w:val="18"/>
          <w:szCs w:val="18"/>
          <w:u w:val="single" w:color="auto"/>
          <w:color w:val="auto"/>
        </w:rPr>
        <w:t>Section 8.05</w:t>
      </w:r>
      <w:r>
        <w:rPr>
          <w:rFonts w:ascii="Arial" w:cs="Arial" w:eastAsia="Arial" w:hAnsi="Arial"/>
          <w:sz w:val="18"/>
          <w:szCs w:val="18"/>
          <w:color w:val="auto"/>
        </w:rPr>
        <w:t>, in each case, solely to the extent such Disposition would have been permitted on the date of the creation of such Lien;</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15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arising on any real property as a result of any eminent domain, condemnation or similar proceeding being commenced with respect to such real property;</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Liens in favor of any Loan Party securing Indebtedness permitted under </w:t>
      </w:r>
      <w:r>
        <w:rPr>
          <w:rFonts w:ascii="Arial" w:cs="Arial" w:eastAsia="Arial" w:hAnsi="Arial"/>
          <w:sz w:val="18"/>
          <w:szCs w:val="18"/>
          <w:u w:val="single" w:color="auto"/>
          <w:color w:val="auto"/>
        </w:rPr>
        <w:t>Section 8.03(c)</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40" w:firstLine="443"/>
        <w:spacing w:after="0" w:line="259" w:lineRule="auto"/>
        <w:tabs>
          <w:tab w:leader="none" w:pos="113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Liens existing on property at the time of its acquisition or existing on the property of any Person at the time such Person becomes a Subsidiary, in each case after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any such Lien was not created in contemplation of such acquisition or such Person becoming a Subsidiary, (ii) such Lien does not extend to or cover any other assets or property (other than proceeds or products of the property subject to such Lien), and (iii) the Indebtedness secured thereby is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460" w:right="220" w:firstLine="443"/>
        <w:spacing w:after="0" w:line="277" w:lineRule="auto"/>
        <w:tabs>
          <w:tab w:leader="none" w:pos="1113"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the Borrower or any of its Subsidiaries in connection with any letter of intent or purchase agreement permitted hereunder; and</w:t>
      </w:r>
    </w:p>
    <w:p>
      <w:pPr>
        <w:spacing w:after="0" w:line="62" w:lineRule="exact"/>
        <w:rPr>
          <w:rFonts w:ascii="Arial" w:cs="Arial" w:eastAsia="Arial" w:hAnsi="Arial"/>
          <w:sz w:val="18"/>
          <w:szCs w:val="18"/>
          <w:color w:val="auto"/>
        </w:rPr>
      </w:pPr>
    </w:p>
    <w:p>
      <w:pPr>
        <w:jc w:val="both"/>
        <w:ind w:left="460" w:right="80" w:firstLine="443"/>
        <w:spacing w:after="0" w:line="286" w:lineRule="auto"/>
        <w:tabs>
          <w:tab w:leader="none" w:pos="1153" w:val="left"/>
        </w:tabs>
        <w:numPr>
          <w:ilvl w:val="0"/>
          <w:numId w:val="165"/>
        </w:numPr>
        <w:rPr>
          <w:rFonts w:ascii="Arial" w:cs="Arial" w:eastAsia="Arial" w:hAnsi="Arial"/>
          <w:sz w:val="17"/>
          <w:szCs w:val="17"/>
          <w:color w:val="auto"/>
        </w:rPr>
      </w:pPr>
      <w:r>
        <w:rPr>
          <w:rFonts w:ascii="Arial" w:cs="Arial" w:eastAsia="Arial" w:hAnsi="Arial"/>
          <w:sz w:val="17"/>
          <w:szCs w:val="17"/>
          <w:color w:val="auto"/>
        </w:rPr>
        <w:t xml:space="preserve">Liens on NMTC Property securing the NMTC Indebtedness the proceeds of which are (or will be) used to acquire or improve such NMTC Property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such Liens are on property that is (or is required to be) Collateral then such Liens are subordinated to the Liens securing the Obligations pursuant to an intercreditor agreement in form and substance reasonably satisfactory to the Administrative Agent.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8.02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Make any Investments, except:</w:t>
      </w:r>
    </w:p>
    <w:p>
      <w:pPr>
        <w:spacing w:after="0" w:line="117" w:lineRule="exact"/>
        <w:rPr>
          <w:sz w:val="20"/>
          <w:szCs w:val="20"/>
          <w:color w:val="auto"/>
        </w:rPr>
      </w:pPr>
    </w:p>
    <w:p>
      <w:pPr>
        <w:ind w:left="1140" w:hanging="237"/>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Investments in the form of cash or Cash Equivalents;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Investments outstanding on the date hereof and set forth in </w:t>
      </w:r>
      <w:r>
        <w:rPr>
          <w:rFonts w:ascii="Arial" w:cs="Arial" w:eastAsia="Arial" w:hAnsi="Arial"/>
          <w:sz w:val="18"/>
          <w:szCs w:val="18"/>
          <w:u w:val="single" w:color="auto"/>
          <w:color w:val="auto"/>
        </w:rPr>
        <w:t>Schedule 8.02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40" w:hanging="237"/>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Investments in any Person that is a Loan Party prior to giving effect to such Investment;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Investments by any Subsidiary that is not a Loan Party in any other Subsidiary that is not a Loan Party;</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14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Investments in any Domestic Subsidiary that is a Wholly Owned Subsidiary solely to provide funds to such Domestic Subsidiary to acquire real property;</w:t>
      </w:r>
    </w:p>
    <w:p>
      <w:pPr>
        <w:spacing w:after="0" w:line="62" w:lineRule="exact"/>
        <w:rPr>
          <w:rFonts w:ascii="Arial" w:cs="Arial" w:eastAsia="Arial" w:hAnsi="Arial"/>
          <w:sz w:val="18"/>
          <w:szCs w:val="18"/>
          <w:color w:val="auto"/>
        </w:rPr>
      </w:pPr>
    </w:p>
    <w:p>
      <w:pPr>
        <w:jc w:val="both"/>
        <w:ind w:left="460" w:firstLine="443"/>
        <w:spacing w:after="0" w:line="264" w:lineRule="auto"/>
        <w:tabs>
          <w:tab w:leader="none" w:pos="1123"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80"/>
          </w:cols>
          <w:pgMar w:left="240" w:top="274" w:right="379" w:bottom="1440" w:gutter="0" w:footer="0" w:header="0"/>
        </w:sectPr>
      </w:pPr>
    </w:p>
    <w:bookmarkStart w:id="194" w:name="page195"/>
    <w:bookmarkEnd w:id="194"/>
    <w:p>
      <w:pPr>
        <w:ind w:left="460" w:right="620" w:firstLine="443"/>
        <w:spacing w:after="0" w:line="291" w:lineRule="auto"/>
        <w:tabs>
          <w:tab w:leader="none" w:pos="1153" w:val="left"/>
        </w:tabs>
        <w:numPr>
          <w:ilvl w:val="1"/>
          <w:numId w:val="16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Investments consisting of loans, advances and other extensions of credit to officers, directors and employees of the Borrower and its Subsidiaries (i) for reasonable and customary business-related travel, entertainment, relocation and analogous ordinary business purposes, or</w:t>
      </w:r>
    </w:p>
    <w:p>
      <w:pPr>
        <w:ind w:left="720" w:hanging="256"/>
        <w:spacing w:after="0"/>
        <w:tabs>
          <w:tab w:leader="none" w:pos="7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otherwise for business purposes in an amount not to exceed $2.5 million in the aggregate at any time outstanding;</w:t>
      </w:r>
    </w:p>
    <w:p>
      <w:pPr>
        <w:spacing w:after="0" w:line="102" w:lineRule="exact"/>
        <w:rPr>
          <w:rFonts w:ascii="Arial" w:cs="Arial" w:eastAsia="Arial" w:hAnsi="Arial"/>
          <w:sz w:val="18"/>
          <w:szCs w:val="18"/>
          <w:color w:val="auto"/>
        </w:rPr>
      </w:pPr>
    </w:p>
    <w:p>
      <w:pPr>
        <w:ind w:left="1160" w:hanging="257"/>
        <w:spacing w:after="0"/>
        <w:tabs>
          <w:tab w:leader="none" w:pos="11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to the extent constituting Investments, transactions permitted under </w:t>
      </w:r>
      <w:r>
        <w:rPr>
          <w:rFonts w:ascii="Arial" w:cs="Arial" w:eastAsia="Arial" w:hAnsi="Arial"/>
          <w:sz w:val="18"/>
          <w:szCs w:val="18"/>
          <w:u w:val="single" w:color="auto"/>
          <w:color w:val="auto"/>
        </w:rPr>
        <w:t>Sections 8.01</w:t>
      </w:r>
      <w:r>
        <w:rPr>
          <w:rFonts w:ascii="Arial" w:cs="Arial" w:eastAsia="Arial" w:hAnsi="Arial"/>
          <w:sz w:val="18"/>
          <w:szCs w:val="18"/>
          <w:color w:val="auto"/>
        </w:rPr>
        <w:t xml:space="preserve">, </w:t>
      </w:r>
      <w:r>
        <w:rPr>
          <w:rFonts w:ascii="Arial" w:cs="Arial" w:eastAsia="Arial" w:hAnsi="Arial"/>
          <w:sz w:val="18"/>
          <w:szCs w:val="18"/>
          <w:u w:val="single" w:color="auto"/>
          <w:color w:val="auto"/>
        </w:rPr>
        <w:t>8.03</w:t>
      </w:r>
      <w:r>
        <w:rPr>
          <w:rFonts w:ascii="Arial" w:cs="Arial" w:eastAsia="Arial" w:hAnsi="Arial"/>
          <w:sz w:val="18"/>
          <w:szCs w:val="18"/>
          <w:color w:val="auto"/>
        </w:rPr>
        <w:t xml:space="preserve">, </w:t>
      </w:r>
      <w:r>
        <w:rPr>
          <w:rFonts w:ascii="Arial" w:cs="Arial" w:eastAsia="Arial" w:hAnsi="Arial"/>
          <w:sz w:val="18"/>
          <w:szCs w:val="18"/>
          <w:u w:val="single" w:color="auto"/>
          <w:color w:val="auto"/>
        </w:rPr>
        <w:t>8.04</w:t>
      </w:r>
      <w:r>
        <w:rPr>
          <w:rFonts w:ascii="Arial" w:cs="Arial" w:eastAsia="Arial" w:hAnsi="Arial"/>
          <w:sz w:val="18"/>
          <w:szCs w:val="18"/>
          <w:color w:val="auto"/>
        </w:rPr>
        <w:t xml:space="preserve">, </w:t>
      </w:r>
      <w:r>
        <w:rPr>
          <w:rFonts w:ascii="Arial" w:cs="Arial" w:eastAsia="Arial" w:hAnsi="Arial"/>
          <w:sz w:val="18"/>
          <w:szCs w:val="18"/>
          <w:u w:val="single" w:color="auto"/>
          <w:color w:val="auto"/>
        </w:rPr>
        <w:t>8.05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8.06</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 xml:space="preserve">Investments in Swap Contracts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740" w:firstLine="443"/>
        <w:spacing w:after="0" w:line="342" w:lineRule="auto"/>
        <w:tabs>
          <w:tab w:leader="none" w:pos="1113" w:val="left"/>
        </w:tabs>
        <w:numPr>
          <w:ilvl w:val="1"/>
          <w:numId w:val="168"/>
        </w:numPr>
        <w:rPr>
          <w:rFonts w:ascii="Arial" w:cs="Arial" w:eastAsia="Arial" w:hAnsi="Arial"/>
          <w:sz w:val="16"/>
          <w:szCs w:val="16"/>
          <w:color w:val="auto"/>
        </w:rPr>
      </w:pPr>
      <w:r>
        <w:rPr>
          <w:rFonts w:ascii="Arial" w:cs="Arial" w:eastAsia="Arial" w:hAnsi="Arial"/>
          <w:sz w:val="16"/>
          <w:szCs w:val="16"/>
          <w:color w:val="auto"/>
        </w:rPr>
        <w:t xml:space="preserve">Investments consisting of promissory notes and other noncash consideration received in connection with Dispositions permitted by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and any other sale, transfer, license, lease or other disposition of property not prohibited by the Loan Documents;</w:t>
      </w:r>
    </w:p>
    <w:p>
      <w:pPr>
        <w:spacing w:after="0" w:line="15" w:lineRule="exact"/>
        <w:rPr>
          <w:rFonts w:ascii="Arial" w:cs="Arial" w:eastAsia="Arial" w:hAnsi="Arial"/>
          <w:sz w:val="16"/>
          <w:szCs w:val="16"/>
          <w:color w:val="auto"/>
        </w:rPr>
      </w:pPr>
    </w:p>
    <w:p>
      <w:pPr>
        <w:ind w:left="1200" w:hanging="297"/>
        <w:spacing w:after="0"/>
        <w:tabs>
          <w:tab w:leader="none" w:pos="120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Investments (other than Acquisitions) to the extent that payment for such Investments is made solely with Equity Interests of the Borrower;</w:t>
      </w:r>
    </w:p>
    <w:p>
      <w:pPr>
        <w:spacing w:after="0" w:line="140" w:lineRule="exact"/>
        <w:rPr>
          <w:rFonts w:ascii="Arial" w:cs="Arial" w:eastAsia="Arial" w:hAnsi="Arial"/>
          <w:sz w:val="16"/>
          <w:szCs w:val="16"/>
          <w:color w:val="auto"/>
        </w:rPr>
      </w:pPr>
    </w:p>
    <w:p>
      <w:pPr>
        <w:ind w:left="460" w:right="200" w:firstLine="443"/>
        <w:spacing w:after="0" w:line="308" w:lineRule="auto"/>
        <w:tabs>
          <w:tab w:leader="none" w:pos="1153" w:val="left"/>
        </w:tabs>
        <w:numPr>
          <w:ilvl w:val="1"/>
          <w:numId w:val="168"/>
        </w:numPr>
        <w:rPr>
          <w:rFonts w:ascii="Arial" w:cs="Arial" w:eastAsia="Arial" w:hAnsi="Arial"/>
          <w:sz w:val="17"/>
          <w:szCs w:val="17"/>
          <w:color w:val="auto"/>
        </w:rPr>
      </w:pPr>
      <w:r>
        <w:rPr>
          <w:rFonts w:ascii="Arial" w:cs="Arial" w:eastAsia="Arial" w:hAnsi="Arial"/>
          <w:sz w:val="17"/>
          <w:szCs w:val="17"/>
          <w:color w:val="auto"/>
        </w:rPr>
        <w:t>Investments by the Borrower or any Domestic Subsidiary in an NMTC Subsidiary in an aggregate amount not to exceed the portion of the related NMTC Indebtedness that is to be funded by the Borrower and its Subsidiaries (each an “</w:t>
      </w:r>
      <w:r>
        <w:rPr>
          <w:rFonts w:ascii="Arial" w:cs="Arial" w:eastAsia="Arial" w:hAnsi="Arial"/>
          <w:sz w:val="17"/>
          <w:szCs w:val="17"/>
          <w:u w:val="single" w:color="auto"/>
          <w:color w:val="auto"/>
        </w:rPr>
        <w:t>NMTC Intercompany Investment</w:t>
      </w:r>
      <w:r>
        <w:rPr>
          <w:rFonts w:ascii="Arial" w:cs="Arial" w:eastAsia="Arial" w:hAnsi="Arial"/>
          <w:sz w:val="17"/>
          <w:szCs w:val="17"/>
          <w:color w:val="auto"/>
        </w:rPr>
        <w:t>”);</w:t>
      </w:r>
    </w:p>
    <w:p>
      <w:pPr>
        <w:spacing w:after="0" w:line="38" w:lineRule="exact"/>
        <w:rPr>
          <w:rFonts w:ascii="Arial" w:cs="Arial" w:eastAsia="Arial" w:hAnsi="Arial"/>
          <w:sz w:val="17"/>
          <w:szCs w:val="17"/>
          <w:color w:val="auto"/>
        </w:rPr>
      </w:pPr>
    </w:p>
    <w:p>
      <w:pPr>
        <w:ind w:left="460" w:firstLine="443"/>
        <w:spacing w:after="0" w:line="264" w:lineRule="auto"/>
        <w:tabs>
          <w:tab w:leader="none" w:pos="115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Investments of a Subsidiary acquired after the Closing Date or of a Person that is merged into or consolidated with the Borrower or any Subsidiary after the Closing Date provided that such Investments were not made in contemplation of or in connection with such acquisition, merger or consolidation and were in existence on the date of such acquisition, merger or consolidation;</w:t>
      </w:r>
    </w:p>
    <w:p>
      <w:pPr>
        <w:spacing w:after="0" w:line="73" w:lineRule="exact"/>
        <w:rPr>
          <w:rFonts w:ascii="Arial" w:cs="Arial" w:eastAsia="Arial" w:hAnsi="Arial"/>
          <w:sz w:val="18"/>
          <w:szCs w:val="18"/>
          <w:color w:val="auto"/>
        </w:rPr>
      </w:pPr>
    </w:p>
    <w:p>
      <w:pPr>
        <w:ind w:left="460" w:right="120" w:firstLine="443"/>
        <w:spacing w:after="0" w:line="279" w:lineRule="auto"/>
        <w:tabs>
          <w:tab w:leader="none" w:pos="1153" w:val="left"/>
        </w:tabs>
        <w:numPr>
          <w:ilvl w:val="1"/>
          <w:numId w:val="168"/>
        </w:numPr>
        <w:rPr>
          <w:rFonts w:ascii="Arial" w:cs="Arial" w:eastAsia="Arial" w:hAnsi="Arial"/>
          <w:sz w:val="17"/>
          <w:szCs w:val="17"/>
          <w:color w:val="auto"/>
        </w:rPr>
      </w:pPr>
      <w:r>
        <w:rPr>
          <w:rFonts w:ascii="Arial" w:cs="Arial" w:eastAsia="Arial" w:hAnsi="Arial"/>
          <w:sz w:val="17"/>
          <w:szCs w:val="17"/>
          <w:color w:val="auto"/>
        </w:rPr>
        <w:t>Investments consisting of loans advanced by an NMTC Subsidiary to the lenders (or Affiliates of the lenders) of NMTC Indebtedness to be used by such lenders to fund a portion of such NMTC Indebtedness provided that (i) the amount of such loans advanced by such NMTC Subsidiary shall not exceed the amount of the NMTC Investment made in such NMTC Subsidiary (each an “</w:t>
      </w:r>
      <w:r>
        <w:rPr>
          <w:rFonts w:ascii="Arial" w:cs="Arial" w:eastAsia="Arial" w:hAnsi="Arial"/>
          <w:sz w:val="17"/>
          <w:szCs w:val="17"/>
          <w:u w:val="single" w:color="auto"/>
          <w:color w:val="auto"/>
        </w:rPr>
        <w:t>NMTC Intercompany Loan</w:t>
      </w:r>
      <w:r>
        <w:rPr>
          <w:rFonts w:ascii="Arial" w:cs="Arial" w:eastAsia="Arial" w:hAnsi="Arial"/>
          <w:sz w:val="17"/>
          <w:szCs w:val="17"/>
          <w:color w:val="auto"/>
        </w:rPr>
        <w:t>”) and (ii) substantially concurrent with making such NMTC Intercompany Loan such lenders shall fund the related NMTC Indebtedness; and</w:t>
      </w:r>
    </w:p>
    <w:p>
      <w:pPr>
        <w:spacing w:after="0" w:line="63" w:lineRule="exact"/>
        <w:rPr>
          <w:rFonts w:ascii="Arial" w:cs="Arial" w:eastAsia="Arial" w:hAnsi="Arial"/>
          <w:sz w:val="17"/>
          <w:szCs w:val="17"/>
          <w:color w:val="auto"/>
        </w:rPr>
      </w:pPr>
    </w:p>
    <w:p>
      <w:pPr>
        <w:ind w:left="460" w:right="120" w:firstLine="443"/>
        <w:spacing w:after="0" w:line="277" w:lineRule="auto"/>
        <w:tabs>
          <w:tab w:leader="none" w:pos="1153"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Investments of a nature not contemplated in the foregoing clauses in an amount not to exceed the Threshold Amount (calculated at the date such Investment is made) in the aggregate at any time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8.03 </w:t>
      </w:r>
      <w:r>
        <w:rPr>
          <w:rFonts w:ascii="Arial" w:cs="Arial" w:eastAsia="Arial" w:hAnsi="Arial"/>
          <w:sz w:val="18"/>
          <w:szCs w:val="18"/>
          <w:u w:val="single" w:color="auto"/>
          <w:color w:val="auto"/>
        </w:rPr>
        <w:t>Indebtedness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Create, incur, assume or suffer to exist any Indebtedness, except: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00"/>
          </w:cols>
          <w:pgMar w:left="240" w:top="274" w:right="359" w:bottom="1440" w:gutter="0" w:footer="0" w:header="0"/>
        </w:sectPr>
      </w:pPr>
    </w:p>
    <w:bookmarkStart w:id="195" w:name="page196"/>
    <w:bookmarkEnd w:id="195"/>
    <w:p>
      <w:pPr>
        <w:ind w:left="680" w:hanging="237"/>
        <w:spacing w:after="0"/>
        <w:tabs>
          <w:tab w:leader="none" w:pos="6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Indebtedness under the Loan Documents;</w:t>
      </w:r>
    </w:p>
    <w:p>
      <w:pPr>
        <w:spacing w:after="0" w:line="117" w:lineRule="exact"/>
        <w:rPr>
          <w:rFonts w:ascii="Arial" w:cs="Arial" w:eastAsia="Arial" w:hAnsi="Arial"/>
          <w:sz w:val="18"/>
          <w:szCs w:val="18"/>
          <w:color w:val="auto"/>
        </w:rPr>
      </w:pPr>
    </w:p>
    <w:p>
      <w:pPr>
        <w:ind w:right="40" w:firstLine="443"/>
        <w:spacing w:after="0" w:line="255" w:lineRule="auto"/>
        <w:tabs>
          <w:tab w:leader="none" w:pos="69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Indebtedness outstanding on the date hereof and set forth in </w:t>
      </w:r>
      <w:r>
        <w:rPr>
          <w:rFonts w:ascii="Arial" w:cs="Arial" w:eastAsia="Arial" w:hAnsi="Arial"/>
          <w:sz w:val="18"/>
          <w:szCs w:val="18"/>
          <w:u w:val="single" w:color="auto"/>
          <w:color w:val="auto"/>
        </w:rPr>
        <w:t>Schedule 8.03</w:t>
      </w:r>
      <w:r>
        <w:rPr>
          <w:rFonts w:ascii="Arial" w:cs="Arial" w:eastAsia="Arial" w:hAnsi="Arial"/>
          <w:sz w:val="18"/>
          <w:szCs w:val="18"/>
          <w:color w:val="auto"/>
        </w:rPr>
        <w:t xml:space="preserve"> and any refinancings, refundings, renewals and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refunding, renewal or extension and by an amount equal to any existing commitments unutilized thereunder and (ii) the material terms taken as a whole of such refinancing, refunding, renewal or extension are not materially less favorable to the Borrower and its Subsidiaries than the terms of the Indebtedness being refinanced, refunded, renewed or extended;</w:t>
      </w:r>
    </w:p>
    <w:p>
      <w:pPr>
        <w:spacing w:after="0" w:line="85" w:lineRule="exact"/>
        <w:rPr>
          <w:rFonts w:ascii="Arial" w:cs="Arial" w:eastAsia="Arial" w:hAnsi="Arial"/>
          <w:sz w:val="18"/>
          <w:szCs w:val="18"/>
          <w:color w:val="auto"/>
        </w:rPr>
      </w:pPr>
    </w:p>
    <w:p>
      <w:pPr>
        <w:ind w:left="680" w:hanging="237"/>
        <w:spacing w:after="0"/>
        <w:tabs>
          <w:tab w:leader="none" w:pos="6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intercompany Indebtedness permitted under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443"/>
        <w:spacing w:after="0" w:line="257" w:lineRule="auto"/>
        <w:tabs>
          <w:tab w:leader="none" w:pos="69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80" w:lineRule="exact"/>
        <w:rPr>
          <w:rFonts w:ascii="Arial" w:cs="Arial" w:eastAsia="Arial" w:hAnsi="Arial"/>
          <w:sz w:val="18"/>
          <w:szCs w:val="18"/>
          <w:color w:val="auto"/>
        </w:rPr>
      </w:pPr>
    </w:p>
    <w:p>
      <w:pPr>
        <w:ind w:right="20" w:firstLine="443"/>
        <w:spacing w:after="0" w:line="257" w:lineRule="auto"/>
        <w:tabs>
          <w:tab w:leader="none" w:pos="68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purchase money Indebtedness (including obligations in respect of capital leases and Synthetic Lease Obligations) hereafter incurred to finance the purchase, renovation or improvement of fixed assets, and renewals, refinancings and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principal amount of all such Indebtedness incurred in any fiscal year shall not exceed $5 million; (ii) the aggregate outstanding principal amount of all such Indebtedness shall not exceed $20 million at any one time outstanding; and (iii) such Indebtedness when incurred shall not exceed the purchase price of the asset(s) financed;</w:t>
      </w:r>
    </w:p>
    <w:p>
      <w:pPr>
        <w:spacing w:after="0" w:line="80" w:lineRule="exact"/>
        <w:rPr>
          <w:rFonts w:ascii="Arial" w:cs="Arial" w:eastAsia="Arial" w:hAnsi="Arial"/>
          <w:sz w:val="18"/>
          <w:szCs w:val="18"/>
          <w:color w:val="auto"/>
        </w:rPr>
      </w:pPr>
    </w:p>
    <w:p>
      <w:pPr>
        <w:ind w:right="40" w:firstLine="443"/>
        <w:spacing w:after="0" w:line="253" w:lineRule="auto"/>
        <w:tabs>
          <w:tab w:leader="none" w:pos="66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purchase money Indebtedness (including obligations in respect of capital leases and Synthetic Lease Obligations) hereafter incurred to finance the purchase, renovation or improvement of fixed assets that constitute Excluded Fixed Assets, and renewals, refinancings and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expressly non-recourse to the Borrower or any Subsidiary or to any property of the Borrower or any Subsidiary other than the Excluded Fixed Assets, (ii) no Default exists immediately prior or after giving effect thereto, (ii) after giving effect to the incurrence of such Indebtedness on a Pro Forma Basis, (A) the Loan Parties would be in compliance with the financial covenants set forth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recomputed as of the end of the period of the four fiscal quarters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(B) the Consolidated Leverage Ratio set forth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recomputed as of the end of the period of the four fiscal quarters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would not be greater than 1.75:1.0;</w:t>
      </w:r>
    </w:p>
    <w:p>
      <w:pPr>
        <w:spacing w:after="0" w:line="89" w:lineRule="exact"/>
        <w:rPr>
          <w:rFonts w:ascii="Arial" w:cs="Arial" w:eastAsia="Arial" w:hAnsi="Arial"/>
          <w:sz w:val="18"/>
          <w:szCs w:val="18"/>
          <w:color w:val="auto"/>
        </w:rPr>
      </w:pPr>
    </w:p>
    <w:p>
      <w:pPr>
        <w:ind w:firstLine="443"/>
        <w:spacing w:after="0" w:line="277" w:lineRule="auto"/>
        <w:tabs>
          <w:tab w:leader="none" w:pos="693"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deferred purchase price obligations (including earn-out payment obligations) incurred in connection with Permitted Acquisitions provided that such obligations are subordinated to the Obligations in a manner and to an extent satisfactory to the Administrative Agent;</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700" w:top="274" w:right="239" w:bottom="1440" w:gutter="0" w:footer="0" w:header="0"/>
        </w:sectPr>
      </w:pPr>
    </w:p>
    <w:bookmarkStart w:id="196" w:name="page197"/>
    <w:bookmarkEnd w:id="196"/>
    <w:p>
      <w:pPr>
        <w:ind w:left="460" w:firstLine="443"/>
        <w:spacing w:after="0" w:line="255" w:lineRule="auto"/>
        <w:tabs>
          <w:tab w:leader="none" w:pos="1153"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Subordinated Indebtedness provided that (i) no Default exists immediately prior or after giving effect thereto, (ii) after giving effect to the incurrence of such Subordinated Indebtedness on a Pro Forma Basis, (A) the Loan Parties would be in compliance with the financial covenants set forth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recomputed as of the end of the period of the four fiscal quarters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(B) the Consolidated Leverage Ratio set forth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recomputed as of the end of the period of the four fiscal quarters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would not be greater than 1.75:1.0 and (iii) immediately after giving effect to the incurrence of such Subordinated Indebtedness, Liquidity shall be at least $75 million;</w:t>
      </w:r>
    </w:p>
    <w:p>
      <w:pPr>
        <w:spacing w:after="0" w:line="81" w:lineRule="exact"/>
        <w:rPr>
          <w:rFonts w:ascii="Arial" w:cs="Arial" w:eastAsia="Arial" w:hAnsi="Arial"/>
          <w:sz w:val="18"/>
          <w:szCs w:val="18"/>
          <w:color w:val="auto"/>
        </w:rPr>
      </w:pPr>
    </w:p>
    <w:p>
      <w:pPr>
        <w:ind w:left="1120" w:hanging="217"/>
        <w:spacing w:after="0"/>
        <w:tabs>
          <w:tab w:leader="none" w:pos="11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Guarantees with respect to Indebtedness permitted under this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endorsement of negotiable instruments received in the usual course of business;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employees of the Borrower or any Subsidiary incurred in the ordinary course of business;</w:t>
      </w:r>
    </w:p>
    <w:p>
      <w:pPr>
        <w:spacing w:after="0" w:line="140" w:lineRule="exact"/>
        <w:rPr>
          <w:rFonts w:ascii="Arial" w:cs="Arial" w:eastAsia="Arial" w:hAnsi="Arial"/>
          <w:sz w:val="16"/>
          <w:szCs w:val="16"/>
          <w:color w:val="auto"/>
        </w:rPr>
      </w:pPr>
    </w:p>
    <w:p>
      <w:pPr>
        <w:ind w:left="460" w:right="80" w:firstLine="443"/>
        <w:spacing w:after="0" w:line="277" w:lineRule="auto"/>
        <w:tabs>
          <w:tab w:leader="none" w:pos="111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Indebtedness incurred by the Borrower or its Subsidiaries in any Disposition constituting indemnification obligations or obligations in respect of purchase price or other similar adjustments;</w:t>
      </w:r>
    </w:p>
    <w:p>
      <w:pPr>
        <w:spacing w:after="0" w:line="62" w:lineRule="exact"/>
        <w:rPr>
          <w:rFonts w:ascii="Arial" w:cs="Arial" w:eastAsia="Arial" w:hAnsi="Arial"/>
          <w:sz w:val="18"/>
          <w:szCs w:val="18"/>
          <w:color w:val="auto"/>
        </w:rPr>
      </w:pPr>
    </w:p>
    <w:p>
      <w:pPr>
        <w:ind w:left="460" w:right="180" w:firstLine="443"/>
        <w:spacing w:after="0" w:line="277" w:lineRule="auto"/>
        <w:tabs>
          <w:tab w:leader="none" w:pos="120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Indebtedness in respect of netting services, overdraft protections and similar arrangements in each case in connection with deposit accounts in the ordinary course of business;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 and</w:t>
      </w:r>
    </w:p>
    <w:p>
      <w:pPr>
        <w:spacing w:after="0" w:line="117" w:lineRule="exact"/>
        <w:rPr>
          <w:rFonts w:ascii="Arial" w:cs="Arial" w:eastAsia="Arial" w:hAnsi="Arial"/>
          <w:sz w:val="18"/>
          <w:szCs w:val="18"/>
          <w:color w:val="auto"/>
        </w:rPr>
      </w:pPr>
    </w:p>
    <w:p>
      <w:pPr>
        <w:ind w:left="460" w:right="140" w:firstLine="443"/>
        <w:spacing w:after="0" w:line="342" w:lineRule="auto"/>
        <w:tabs>
          <w:tab w:leader="none" w:pos="1153"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additional Indebtedness not covered by the foregoing clauses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 the date of incurrence of such Indebtedness (after giving effect to such Indebtedness) the aggregate outstanding principal amount of all such Indebtedness shall not exceed the Threshold Amount.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Merge, dissolve, liquidate or consolidate with or into another Person, except that so long as no Default exists or would result therefrom, (a) the Borrower may merge or consolidate with any of its Subsidiaries provided that the Borrower is the continuing or surviving Person, (b) any Subsidiary may merge or consolidate with any other Subsidiary provided that if a Loan Party is a party to such transaction, the continuing or surviving Person is a Loan Party,</w:t>
      </w:r>
    </w:p>
    <w:p>
      <w:pPr>
        <w:ind w:right="40" w:firstLine="8"/>
        <w:spacing w:after="0" w:line="277" w:lineRule="auto"/>
        <w:tabs>
          <w:tab w:leader="none" w:pos="24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subject to clause (a) above, the Borrower or any Subsidiary may merge with any other Person in connection with a Permitted Acquisition provided that if the Borrower is a party thereto then the Borrower is the continuing or surviving Person and (d) any Subsidiary may dissolve, liquidate or wind up its affairs at any time provided that such dissolution, liquidation or winding up, as applicable, would not have a Material Adverse Effect.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8.05 </w:t>
      </w:r>
      <w:r>
        <w:rPr>
          <w:rFonts w:ascii="Arial" w:cs="Arial" w:eastAsia="Arial" w:hAnsi="Arial"/>
          <w:sz w:val="18"/>
          <w:szCs w:val="18"/>
          <w:u w:val="single" w:color="auto"/>
          <w:color w:val="auto"/>
        </w:rPr>
        <w:t>Dispositions</w:t>
      </w:r>
      <w:r>
        <w:rPr>
          <w:rFonts w:ascii="Arial" w:cs="Arial" w:eastAsia="Arial" w:hAnsi="Arial"/>
          <w:sz w:val="18"/>
          <w:szCs w:val="18"/>
          <w:color w:val="auto"/>
        </w:rPr>
        <w:t>.</w:t>
      </w:r>
    </w:p>
    <w:p>
      <w:pPr>
        <w:spacing w:after="0" w:line="225"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Make any Disposition unless (a) at least 75% of the consideration paid in connection therewith shall be cash or Cash Equivalents paid contemporaneous with consummation of such Disposition, (b) the consideration paid in connection therewith shall be in an amount not less than the fair market value of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197" w:name="page198"/>
    <w:bookmarkEnd w:id="197"/>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property disposed of, (c) if such Disposition is a Sale and Leaseback Transaction, such Disposition is not prohibited by the terms of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(d) such Disposition does not involve the Disposition of a minority equity interest in any Subsidiary, (e) such Disposition does not involve a Disposition of receivables other than receivables owned by or attributable to other property concurrently being Disposed of in a Disposition otherwise permitted under this </w:t>
      </w:r>
      <w:r>
        <w:rPr>
          <w:rFonts w:ascii="Arial" w:cs="Arial" w:eastAsia="Arial" w:hAnsi="Arial"/>
          <w:sz w:val="17"/>
          <w:szCs w:val="17"/>
          <w:u w:val="single" w:color="auto"/>
          <w:color w:val="auto"/>
        </w:rPr>
        <w:t>Section 8.05</w:t>
      </w:r>
      <w:r>
        <w:rPr>
          <w:rFonts w:ascii="Arial" w:cs="Arial" w:eastAsia="Arial" w:hAnsi="Arial"/>
          <w:sz w:val="17"/>
          <w:szCs w:val="17"/>
          <w:color w:val="auto"/>
        </w:rPr>
        <w:t xml:space="preserve"> and (f) the aggregate net book value of all of the property (other than Excluded Fixed Assets) Disposed of by the Borrower and its Subsidiaries in any fiscal year shall not exceed (calculated at the date such Disposition is consummated) the Threshold Amount.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Declare or make, directly or indirectly, any Restricted Payment, or incur any obligation (contingent or otherwise) to do so, except that so long as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Default has occurred and is continuing:</w:t>
      </w:r>
    </w:p>
    <w:p>
      <w:pPr>
        <w:spacing w:after="0" w:line="103" w:lineRule="exact"/>
        <w:rPr>
          <w:sz w:val="20"/>
          <w:szCs w:val="20"/>
          <w:color w:val="auto"/>
        </w:rPr>
      </w:pPr>
    </w:p>
    <w:p>
      <w:pPr>
        <w:ind w:left="460" w:firstLine="443"/>
        <w:spacing w:after="0" w:line="277" w:lineRule="auto"/>
        <w:tabs>
          <w:tab w:leader="none" w:pos="114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each Subsidiary may declare and make Restricted Payments to Persons that own Equity Interests in such Subsidiary, ratably according to their respective holdings of the type of Equity Interest in respect of which such Restricted Payment is being made;</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5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Borrower and each Subsidiary may declare and make dividend payments or other distributions payable solely in common Equity Interests of such Person; and</w:t>
      </w:r>
    </w:p>
    <w:p>
      <w:pPr>
        <w:spacing w:after="0" w:line="62" w:lineRule="exact"/>
        <w:rPr>
          <w:rFonts w:ascii="Arial" w:cs="Arial" w:eastAsia="Arial" w:hAnsi="Arial"/>
          <w:sz w:val="18"/>
          <w:szCs w:val="18"/>
          <w:color w:val="auto"/>
        </w:rPr>
      </w:pPr>
    </w:p>
    <w:p>
      <w:pPr>
        <w:ind w:left="460" w:right="60" w:firstLine="443"/>
        <w:spacing w:after="0" w:line="293" w:lineRule="auto"/>
        <w:tabs>
          <w:tab w:leader="none" w:pos="1143"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the Borrower may make other Restricted Payments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Default then exists, (ii) the Loan Parties would be in compliance with the financial covenants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recomputed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after giving effect to such repurchase on a Pro Forma Basis, (iii) the Consolidated Leverage Ratio set forth in </w:t>
      </w:r>
      <w:r>
        <w:rPr>
          <w:rFonts w:ascii="Arial" w:cs="Arial" w:eastAsia="Arial" w:hAnsi="Arial"/>
          <w:sz w:val="16"/>
          <w:szCs w:val="16"/>
          <w:u w:val="single" w:color="auto"/>
          <w:color w:val="auto"/>
        </w:rPr>
        <w:t>Section 8.11</w:t>
      </w:r>
      <w:r>
        <w:rPr>
          <w:rFonts w:ascii="Arial" w:cs="Arial" w:eastAsia="Arial" w:hAnsi="Arial"/>
          <w:sz w:val="16"/>
          <w:szCs w:val="16"/>
          <w:color w:val="auto"/>
        </w:rPr>
        <w:t xml:space="preserve"> recomputed as of the end of the period of the four fiscal quarters most recently ended for which the Borrower has delivered financial statements pursuant to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after giving effect to such repurchase on a Pro Forma Basis would not be greater than 1.75:1.0 and (iv) immediately after giving effect to such repurchase, Liquidity shall be at least $75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8.07 </w:t>
      </w:r>
      <w:r>
        <w:rPr>
          <w:rFonts w:ascii="Arial" w:cs="Arial" w:eastAsia="Arial" w:hAnsi="Arial"/>
          <w:sz w:val="18"/>
          <w:szCs w:val="18"/>
          <w:u w:val="single" w:color="auto"/>
          <w:color w:val="auto"/>
        </w:rPr>
        <w:t>Change in Nature of Business</w:t>
      </w:r>
      <w:r>
        <w:rPr>
          <w:rFonts w:ascii="Arial" w:cs="Arial" w:eastAsia="Arial" w:hAnsi="Arial"/>
          <w:sz w:val="18"/>
          <w:szCs w:val="18"/>
          <w:color w:val="auto"/>
        </w:rPr>
        <w:t>.</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Engage in any material line of business substantially different from those lines of business conducted by the Borrower and its Subsidiaries on the Closing Date or any business reasonably related or incidental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8.08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84" w:lineRule="auto"/>
        <w:rPr>
          <w:sz w:val="20"/>
          <w:szCs w:val="20"/>
          <w:color w:val="auto"/>
        </w:rPr>
      </w:pPr>
      <w:r>
        <w:rPr>
          <w:rFonts w:ascii="Arial" w:cs="Arial" w:eastAsia="Arial" w:hAnsi="Arial"/>
          <w:sz w:val="16"/>
          <w:szCs w:val="16"/>
          <w:color w:val="auto"/>
        </w:rPr>
        <w:t xml:space="preserve">Enter into or permit to exist any transaction or series of transactions with any Affiliate of such Person other than (a) transactions among the Loan Parties, (b) intercompany transactions expressly permitted by </w:t>
      </w:r>
      <w:r>
        <w:rPr>
          <w:rFonts w:ascii="Arial" w:cs="Arial" w:eastAsia="Arial" w:hAnsi="Arial"/>
          <w:sz w:val="16"/>
          <w:szCs w:val="16"/>
          <w:u w:val="single" w:color="auto"/>
          <w:color w:val="auto"/>
        </w:rPr>
        <w:t>Section 8.02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8.06</w:t>
      </w:r>
      <w:r>
        <w:rPr>
          <w:rFonts w:ascii="Arial" w:cs="Arial" w:eastAsia="Arial" w:hAnsi="Arial"/>
          <w:sz w:val="16"/>
          <w:szCs w:val="16"/>
          <w:color w:val="auto"/>
        </w:rPr>
        <w:t xml:space="preserve">, (c) normal and reasonable compensation and reimbursement of expenses of officers and directors, (d) employment and severance arrangements among the Borrower, its Subsidiaries and their respective officers and employees in the ordinary course of business, (e) transactions permitted under the Borrower’s Related Party Transaction Policy as in effect on the date hereof and attached hereto as </w:t>
      </w:r>
      <w:r>
        <w:rPr>
          <w:rFonts w:ascii="Arial" w:cs="Arial" w:eastAsia="Arial" w:hAnsi="Arial"/>
          <w:sz w:val="16"/>
          <w:szCs w:val="16"/>
          <w:u w:val="single" w:color="auto"/>
          <w:color w:val="auto"/>
        </w:rPr>
        <w:t>Schedule 8.08</w:t>
      </w:r>
      <w:r>
        <w:rPr>
          <w:rFonts w:ascii="Arial" w:cs="Arial" w:eastAsia="Arial" w:hAnsi="Arial"/>
          <w:sz w:val="16"/>
          <w:szCs w:val="16"/>
          <w:color w:val="auto"/>
        </w:rPr>
        <w:t>, (f) the payment of customary fees and reasonable out of pocket costs to, and indemnities provided on behalf of, directors, officers and employees of the Borrower and its Subsidiaries in the ordinary course of business and</w:t>
      </w:r>
    </w:p>
    <w:p>
      <w:pPr>
        <w:spacing w:after="0" w:line="5" w:lineRule="exact"/>
        <w:rPr>
          <w:sz w:val="20"/>
          <w:szCs w:val="20"/>
          <w:color w:val="auto"/>
        </w:rPr>
      </w:pPr>
    </w:p>
    <w:p>
      <w:pPr>
        <w:ind w:right="80" w:firstLine="8"/>
        <w:spacing w:after="0" w:line="261" w:lineRule="auto"/>
        <w:tabs>
          <w:tab w:leader="none" w:pos="2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except as otherwise specifically limited in this Agreement, other transactions which are on terms and conditions substantially as favorable to such Person as would be obtainable by it in a comparable arms-length transaction with a Person other than an Affiliate.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274" w:right="27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8.09 </w:t>
      </w:r>
      <w:r>
        <w:rPr>
          <w:rFonts w:ascii="Arial" w:cs="Arial" w:eastAsia="Arial" w:hAnsi="Arial"/>
          <w:sz w:val="18"/>
          <w:szCs w:val="18"/>
          <w:u w:val="single" w:color="auto"/>
          <w:color w:val="auto"/>
        </w:rPr>
        <w:t>Burdensome Agreements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Enter into, or permit to exist, any Contractual Obligation that (a) encumbers or restricts the ability of any such Person to (i) make Restricted Payments to any Loan Party, (ii) pay any Indebtedness or other obligation owed to any Loan Party, (iii) make loans or advances to any Loan Party, (iv) transfer any of its property to any Loan Party, (v) 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clauses (i)-(v) above) for (1) this Agreement and the other Loan Documents, (2) any document or instrument governing Indebtedness incurred pursuant to </w:t>
      </w:r>
      <w:r>
        <w:rPr>
          <w:rFonts w:ascii="Arial" w:cs="Arial" w:eastAsia="Arial" w:hAnsi="Arial"/>
          <w:sz w:val="16"/>
          <w:szCs w:val="16"/>
          <w:u w:val="single" w:color="auto"/>
          <w:color w:val="auto"/>
        </w:rPr>
        <w:t>Section 8.03(e)</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8.03(f)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purchased, renovated or improved in connection therewith, (3) any Permitted Lien or any document or instrument governing any Permitted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restriction contained therein relates only to the asset or assets subject to such Permitted Lien, (4) any NMTC Documents provided that any such restriction therein relates only to the related NMTC Property, (4) customary restrictions and conditions contained in any agreement relating to the sale of any property permitted under </w:t>
      </w:r>
      <w:r>
        <w:rPr>
          <w:rFonts w:ascii="Arial" w:cs="Arial" w:eastAsia="Arial" w:hAnsi="Arial"/>
          <w:sz w:val="16"/>
          <w:szCs w:val="16"/>
          <w:u w:val="single" w:color="auto"/>
          <w:color w:val="auto"/>
        </w:rPr>
        <w:t>Section 8.05</w:t>
      </w:r>
      <w:r>
        <w:rPr>
          <w:rFonts w:ascii="Arial" w:cs="Arial" w:eastAsia="Arial" w:hAnsi="Arial"/>
          <w:sz w:val="16"/>
          <w:szCs w:val="16"/>
          <w:color w:val="auto"/>
        </w:rPr>
        <w:t xml:space="preserve"> pending the consummation of such sale, (5) customary provisions in joint venture agreements and other similar agreements applicable to joint ventures permitted under Section 8.02 and applicable solely to such joint venture entered into in the ordinary course of business, (6) customary restrictions on leases, subleases, licenses or asset sale agreements otherwise permitted hereby so long as such restrictions relate to the assets subject thereto, (7) customary provisions restricting subletting or assignment of any lease governing a leasehold interest of the Borrower or any Subsidiary, (8) customary provisions restricting assignment of any agreement entered into in the ordinary course of business, (9) are restrictions on cash or other deposits imposed by customers under contracts entered into in the ordinary course of business and (10) are required by any applicable Law, including any rule or regulation of the DOE, any Accrediting Body or any state regulatory authority.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225" w:lineRule="exact"/>
        <w:rPr>
          <w:sz w:val="20"/>
          <w:szCs w:val="20"/>
          <w:color w:val="auto"/>
        </w:rPr>
      </w:pPr>
    </w:p>
    <w:p>
      <w:pPr>
        <w:jc w:val="both"/>
        <w:ind w:right="460" w:firstLine="456"/>
        <w:spacing w:after="0" w:line="264" w:lineRule="auto"/>
        <w:rPr>
          <w:sz w:val="20"/>
          <w:szCs w:val="20"/>
          <w:color w:val="auto"/>
        </w:rPr>
      </w:pPr>
      <w:r>
        <w:rPr>
          <w:rFonts w:ascii="Arial" w:cs="Arial" w:eastAsia="Arial" w:hAnsi="Arial"/>
          <w:sz w:val="18"/>
          <w:szCs w:val="18"/>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225" w:lineRule="exact"/>
        <w:rPr>
          <w:sz w:val="20"/>
          <w:szCs w:val="20"/>
          <w:color w:val="auto"/>
        </w:rPr>
      </w:pPr>
    </w:p>
    <w:p>
      <w:pPr>
        <w:ind w:right="980" w:firstLine="464"/>
        <w:spacing w:after="0" w:line="277" w:lineRule="auto"/>
        <w:tabs>
          <w:tab w:leader="none" w:pos="70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Permit the Consolidated Leverage Ratio as of the end of any fiscal quarter of the Borrower, commencing December 31, 2012, to be greater than 2.00:1.0.</w:t>
      </w:r>
    </w:p>
    <w:p>
      <w:pPr>
        <w:spacing w:after="0" w:line="170" w:lineRule="exact"/>
        <w:rPr>
          <w:rFonts w:ascii="Arial" w:cs="Arial" w:eastAsia="Arial" w:hAnsi="Arial"/>
          <w:sz w:val="18"/>
          <w:szCs w:val="18"/>
          <w:color w:val="auto"/>
        </w:rPr>
      </w:pPr>
    </w:p>
    <w:p>
      <w:pPr>
        <w:ind w:right="640" w:firstLine="464"/>
        <w:spacing w:after="0" w:line="277" w:lineRule="auto"/>
        <w:tabs>
          <w:tab w:leader="none" w:pos="71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Permit the Consolidated Fixed Charge Coverage Ratio as of the end of any fiscal quarter of the Borrower, commencing December 31, 2012, to be less than 1.50:1.0.</w:t>
      </w:r>
    </w:p>
    <w:p>
      <w:pPr>
        <w:spacing w:after="0" w:line="170" w:lineRule="exact"/>
        <w:rPr>
          <w:rFonts w:ascii="Arial" w:cs="Arial" w:eastAsia="Arial" w:hAnsi="Arial"/>
          <w:sz w:val="18"/>
          <w:szCs w:val="18"/>
          <w:color w:val="auto"/>
        </w:rPr>
      </w:pPr>
    </w:p>
    <w:p>
      <w:pPr>
        <w:ind w:right="420" w:firstLine="464"/>
        <w:spacing w:after="0" w:line="259" w:lineRule="auto"/>
        <w:tabs>
          <w:tab w:leader="none" w:pos="701"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Consolidated Tangible Net Worth</w:t>
      </w:r>
      <w:r>
        <w:rPr>
          <w:rFonts w:ascii="Arial" w:cs="Arial" w:eastAsia="Arial" w:hAnsi="Arial"/>
          <w:sz w:val="18"/>
          <w:szCs w:val="18"/>
          <w:color w:val="auto"/>
        </w:rPr>
        <w:t xml:space="preserve">. Permit Consolidated Tangible Net Worth as of the end of any fiscal quarter of the Borrower, commencing September 30, 2015, to be less than the sum of (i) $461,357,000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an amount equal to 50% of the Consolidated Net Income earned each full fiscal quarter ending after September 30, 2015 (with no deduction for net loss in any such fiscal quarter)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an amount equal to 100% of the aggregate increases in stockholders’ equity of the Borrower and its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199" w:name="page200"/>
    <w:bookmarkEnd w:id="199"/>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after the date of the First Amendment to this Agreement by reason of the issuance and sale of Equity Interests of the Borrower or any Subsidiary (other than issuances to the Borrower or a Wholly Owned Subsidiary), including upon any conversion of debt securities of the Borrower into such Equity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Organization Documents; Fiscal Year; Legal Name, State of Formation and Form of Entity</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Amend, modify or change its Organization Documents in a manner adverse to the Lenders.</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Change its fiscal year.</w:t>
      </w:r>
    </w:p>
    <w:p>
      <w:pPr>
        <w:spacing w:after="0" w:line="225" w:lineRule="exact"/>
        <w:rPr>
          <w:rFonts w:ascii="Arial" w:cs="Arial" w:eastAsia="Arial" w:hAnsi="Arial"/>
          <w:sz w:val="18"/>
          <w:szCs w:val="18"/>
          <w:color w:val="auto"/>
        </w:rPr>
      </w:pPr>
    </w:p>
    <w:p>
      <w:pPr>
        <w:ind w:right="340" w:firstLine="464"/>
        <w:spacing w:after="0" w:line="277" w:lineRule="auto"/>
        <w:tabs>
          <w:tab w:leader="none" w:pos="70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Without providing ten (10) days prior written notice to the Administrative Agent (or such lesser period as the Administrative Agent may agree), change its name, state of formation or form of organization.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Ownership of Subsidiaries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Notwithstanding any other provisions of this Agreement to the contrary, (a) permit any Person (other than the Borrower or any Wholly Owned Subsidiary) to own any Equity Interests of any Subsidiary, except to qualify directors where required by applicable Law or to satisfy other requirements of applicable Law with respect to the ownership of Equity Interests of Foreign Subsidiaries, or (b) permit any Subsidiary to issue or have outstanding any shares of preferred Equity Interests.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Sale Leasebacks</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Enter into any Sale and Leaseback Transaction other than Sale and Leaseback Transactions with respect to Excluded Real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Sanctions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Permit any Loan or the proceeds of any Loan, directly or indirectly, (a) to be lent, contributed or otherwise made available to fund any activity or business in any Designated Jurisdiction; (b) to fund any activity or business of any Person located, organized or residing in any Designated Jurisdiction or who is the subject of any Sanctions; or (c) in any other manner that will result in any violation by any Person (including any Lender, Arranger, Administrative Agent, L/C Issuer or Swing Line Lender) of any Sanctions.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Educational Covenants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DOE Ratio</w:t>
      </w:r>
      <w:r>
        <w:rPr>
          <w:rFonts w:ascii="Arial" w:cs="Arial" w:eastAsia="Arial" w:hAnsi="Arial"/>
          <w:sz w:val="18"/>
          <w:szCs w:val="18"/>
          <w:color w:val="auto"/>
        </w:rPr>
        <w:t>. Permit the DOE Ratio to be less than 1.50 as of the end of any fiscal year of the Borrower.</w:t>
      </w:r>
    </w:p>
    <w:p>
      <w:pPr>
        <w:spacing w:after="0" w:line="225" w:lineRule="exact"/>
        <w:rPr>
          <w:rFonts w:ascii="Arial" w:cs="Arial" w:eastAsia="Arial" w:hAnsi="Arial"/>
          <w:sz w:val="18"/>
          <w:szCs w:val="18"/>
          <w:color w:val="auto"/>
        </w:rPr>
      </w:pPr>
    </w:p>
    <w:p>
      <w:pPr>
        <w:ind w:right="40" w:firstLine="464"/>
        <w:spacing w:after="0" w:line="257" w:lineRule="auto"/>
        <w:tabs>
          <w:tab w:leader="none" w:pos="711"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Cohort Default Rate</w:t>
      </w:r>
      <w:r>
        <w:rPr>
          <w:rFonts w:ascii="Arial" w:cs="Arial" w:eastAsia="Arial" w:hAnsi="Arial"/>
          <w:sz w:val="18"/>
          <w:szCs w:val="18"/>
          <w:color w:val="auto"/>
        </w:rPr>
        <w:t>. Permit the Cohort Default Rate for any School (i) with respect to any period prior to the release of official cohort default rates in approximately September 2014, to be equal to or greater than twenty-five percent (25%) for three consecutive federal fiscal years, (ii) with respect to the official three-year cohort default rates for federal fiscal year 2009, federal fiscal year 2010 and federal fiscal year 2011 and any three-year cohort default rates published thereafter, to be equal to or greater than thirty percent (30%) for three consecutive federal fiscal years or (iii) to exceed forty percent (40%) for any single federal fiscal year.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200" w:name="page201"/>
    <w:bookmarkEnd w:id="200"/>
    <w:p>
      <w:pPr>
        <w:ind w:left="700" w:hanging="236"/>
        <w:spacing w:after="0"/>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90/10 Rule</w:t>
      </w:r>
      <w:r>
        <w:rPr>
          <w:rFonts w:ascii="Arial" w:cs="Arial" w:eastAsia="Arial" w:hAnsi="Arial"/>
          <w:sz w:val="18"/>
          <w:szCs w:val="18"/>
          <w:color w:val="auto"/>
        </w:rPr>
        <w:t>. Permit any School to fail to be in compliance with the 90/10 Rule for two consecutive fiscal years.</w:t>
      </w:r>
    </w:p>
    <w:p>
      <w:pPr>
        <w:spacing w:after="0" w:line="225" w:lineRule="exact"/>
        <w:rPr>
          <w:rFonts w:ascii="Arial" w:cs="Arial" w:eastAsia="Arial" w:hAnsi="Arial"/>
          <w:sz w:val="18"/>
          <w:szCs w:val="18"/>
          <w:color w:val="auto"/>
        </w:rPr>
      </w:pPr>
    </w:p>
    <w:p>
      <w:pPr>
        <w:ind w:right="160" w:firstLine="464"/>
        <w:spacing w:after="0" w:line="264" w:lineRule="auto"/>
        <w:tabs>
          <w:tab w:leader="none" w:pos="711"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Long Term Student Receivables</w:t>
      </w:r>
      <w:r>
        <w:rPr>
          <w:rFonts w:ascii="Arial" w:cs="Arial" w:eastAsia="Arial" w:hAnsi="Arial"/>
          <w:sz w:val="18"/>
          <w:szCs w:val="18"/>
          <w:color w:val="auto"/>
        </w:rPr>
        <w:t>. Permit the aggregate outstanding principal amount of loans by the Borrower and its Subsidiaries to students and former students as of the end of any fiscal quarter of the Borrower to be less than an amount equal to 10% of Consolidated Tangible Net Worth as of the end of such fiscal quarter</w:t>
      </w:r>
    </w:p>
    <w:p>
      <w:pPr>
        <w:spacing w:after="0" w:line="181" w:lineRule="exact"/>
        <w:rPr>
          <w:rFonts w:ascii="Arial" w:cs="Arial" w:eastAsia="Arial" w:hAnsi="Arial"/>
          <w:sz w:val="18"/>
          <w:szCs w:val="18"/>
          <w:color w:val="auto"/>
        </w:rPr>
      </w:pPr>
    </w:p>
    <w:p>
      <w:pPr>
        <w:ind w:left="700" w:hanging="236"/>
        <w:spacing w:after="0"/>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Gainful Employment Rule</w:t>
      </w:r>
      <w:r>
        <w:rPr>
          <w:rFonts w:ascii="Arial" w:cs="Arial" w:eastAsia="Arial" w:hAnsi="Arial"/>
          <w:sz w:val="18"/>
          <w:szCs w:val="18"/>
          <w:color w:val="auto"/>
        </w:rPr>
        <w:t>. Permit any School to fail to be in compliance with the “Gainful Employment” requirements under 34 C.F.R.</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Section 668.6 and 668.7 (as applicable) if such non-compliance would result in any substantial limitation on, or loss or suspension of, eligibility to participate in the William D. Ford Federal Direct Loan (Direct Loan) Program, the Federal Pell Grant Program or one or more other Title IV Programs that contributed in the aggregate more than 5% of the total revenues from Title IV Programs received by the Borrower and its Subsidiaries for the fiscal year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8.17 </w:t>
      </w:r>
      <w:r>
        <w:rPr>
          <w:rFonts w:ascii="Arial" w:cs="Arial" w:eastAsia="Arial" w:hAnsi="Arial"/>
          <w:sz w:val="18"/>
          <w:szCs w:val="18"/>
          <w:u w:val="single" w:color="auto"/>
          <w:color w:val="auto"/>
        </w:rPr>
        <w:t>NMTC Subsidiaries; NMTC Indebtedness</w:t>
      </w:r>
      <w:r>
        <w:rPr>
          <w:rFonts w:ascii="Arial" w:cs="Arial" w:eastAsia="Arial" w:hAnsi="Arial"/>
          <w:sz w:val="18"/>
          <w:szCs w:val="18"/>
          <w:color w:val="auto"/>
        </w:rPr>
        <w:t>.</w:t>
      </w:r>
    </w:p>
    <w:p>
      <w:pPr>
        <w:spacing w:after="0" w:line="225" w:lineRule="exact"/>
        <w:rPr>
          <w:sz w:val="20"/>
          <w:szCs w:val="20"/>
          <w:color w:val="auto"/>
        </w:rPr>
      </w:pPr>
    </w:p>
    <w:p>
      <w:pPr>
        <w:ind w:left="700" w:hanging="236"/>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Notwithstanding any provision in this Agreement or any other Loan Document to the contrary:</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make any Investment in an NMTC Subsidiary other than an NMTC Intercompany Investment;</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make any disposition of any property to an NMTC Subsidiary; and</w:t>
      </w:r>
    </w:p>
    <w:p>
      <w:pPr>
        <w:spacing w:after="0" w:line="117" w:lineRule="exact"/>
        <w:rPr>
          <w:rFonts w:ascii="Arial" w:cs="Arial" w:eastAsia="Arial" w:hAnsi="Arial"/>
          <w:sz w:val="18"/>
          <w:szCs w:val="18"/>
          <w:color w:val="auto"/>
        </w:rPr>
      </w:pPr>
    </w:p>
    <w:p>
      <w:pPr>
        <w:ind w:left="460" w:right="260" w:firstLine="443"/>
        <w:spacing w:after="0" w:line="264" w:lineRule="auto"/>
        <w:tabs>
          <w:tab w:leader="none" w:pos="121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permit an NMTC Subsidiary to (A) incur any Indebtedness, (B) own any property other than cash, Cash Equivalents and the NMTC Intercompany Loan made by such NMTC Subsidiary or (C) engage in any business other than making the NMTC Intercompany Loan made by such NMTC Subsidiary.</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With respect to any NMTC Indebtedness:</w:t>
      </w:r>
    </w:p>
    <w:p>
      <w:pPr>
        <w:spacing w:after="0" w:line="117" w:lineRule="exact"/>
        <w:rPr>
          <w:rFonts w:ascii="Arial" w:cs="Arial" w:eastAsia="Arial" w:hAnsi="Arial"/>
          <w:sz w:val="18"/>
          <w:szCs w:val="18"/>
          <w:color w:val="auto"/>
        </w:rPr>
      </w:pPr>
    </w:p>
    <w:p>
      <w:pPr>
        <w:ind w:left="460" w:right="460" w:firstLine="443"/>
        <w:spacing w:after="0" w:line="277" w:lineRule="auto"/>
        <w:tabs>
          <w:tab w:leader="none" w:pos="111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amend, modify, terminate or waive any of the terms of such NMTC Indebtedness if such amendment, modification or waiver would add, change or terminate any terms in a manner materially adverse to the Borrower or any Subsidiary;</w:t>
      </w:r>
    </w:p>
    <w:p>
      <w:pPr>
        <w:spacing w:after="0" w:line="62" w:lineRule="exact"/>
        <w:rPr>
          <w:rFonts w:ascii="Arial" w:cs="Arial" w:eastAsia="Arial" w:hAnsi="Arial"/>
          <w:sz w:val="18"/>
          <w:szCs w:val="18"/>
          <w:color w:val="auto"/>
        </w:rPr>
      </w:pPr>
    </w:p>
    <w:p>
      <w:pPr>
        <w:ind w:left="460" w:right="80" w:firstLine="443"/>
        <w:spacing w:after="0" w:line="264" w:lineRule="auto"/>
        <w:tabs>
          <w:tab w:leader="none" w:pos="116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make (or give any notice with respect thereto) any voluntary or optional payment or prepayment or redemption or acquisition for value (including without limitation, by way of depositing money or securities with the trustee with respect thereto before due for the purpose of paying when due), refund, refinance or exchange of such NMTC Indebtedness; and</w:t>
      </w:r>
    </w:p>
    <w:p>
      <w:pPr>
        <w:spacing w:after="0" w:line="73" w:lineRule="exact"/>
        <w:rPr>
          <w:sz w:val="20"/>
          <w:szCs w:val="20"/>
          <w:color w:val="auto"/>
        </w:rPr>
      </w:pPr>
    </w:p>
    <w:p>
      <w:pPr>
        <w:ind w:left="460" w:right="880" w:firstLine="443"/>
        <w:spacing w:after="0" w:line="277" w:lineRule="auto"/>
        <w:tabs>
          <w:tab w:leader="none" w:pos="1143" w:val="left"/>
        </w:tabs>
        <w:numPr>
          <w:ilvl w:val="0"/>
          <w:numId w:val="179"/>
        </w:numPr>
        <w:rPr>
          <w:rFonts w:ascii="Arial" w:cs="Arial" w:eastAsia="Arial" w:hAnsi="Arial"/>
          <w:sz w:val="18"/>
          <w:szCs w:val="18"/>
          <w:color w:val="auto"/>
        </w:rPr>
      </w:pPr>
      <w:r>
        <w:rPr>
          <w:rFonts w:ascii="Arial" w:cs="Arial" w:eastAsia="Arial" w:hAnsi="Arial"/>
          <w:sz w:val="18"/>
          <w:szCs w:val="18"/>
          <w:color w:val="auto"/>
        </w:rPr>
        <w:t>make any payment of principal or interest on any NMTC Indebtedness in violation of the subordination provisions of such NMTC Indebtedness.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 AND REMEDIES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 following shall constitute an Event of Default:</w:t>
      </w:r>
    </w:p>
    <w:p>
      <w:pPr>
        <w:spacing w:after="0" w:line="117" w:lineRule="exact"/>
        <w:rPr>
          <w:sz w:val="20"/>
          <w:szCs w:val="20"/>
          <w:color w:val="auto"/>
        </w:rPr>
      </w:pPr>
    </w:p>
    <w:p>
      <w:pPr>
        <w:ind w:left="460" w:right="520" w:firstLine="443"/>
        <w:spacing w:after="0" w:line="291" w:lineRule="auto"/>
        <w:tabs>
          <w:tab w:leader="none" w:pos="1143"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Non-Payment</w:t>
      </w:r>
      <w:r>
        <w:rPr>
          <w:rFonts w:ascii="Arial" w:cs="Arial" w:eastAsia="Arial" w:hAnsi="Arial"/>
          <w:sz w:val="16"/>
          <w:szCs w:val="16"/>
          <w:color w:val="auto"/>
        </w:rPr>
        <w:t>. Any Loan Party fails to pay (i) when and as required to be paid herein, any amount of principal of any Loan or any L/C Obligation, or (ii) within three days after the same becomes due, any interest on any Loan or on any L/C Obligation, or any fee due hereunder, or</w:t>
      </w:r>
    </w:p>
    <w:p>
      <w:pPr>
        <w:ind w:left="780" w:hanging="316"/>
        <w:spacing w:after="0"/>
        <w:tabs>
          <w:tab w:leader="none" w:pos="7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within five days after the same becomes due, any other amount payable hereunder or under any other Loan Document; or</w:t>
      </w:r>
    </w:p>
    <w:p>
      <w:pPr>
        <w:spacing w:after="0" w:line="102" w:lineRule="exact"/>
        <w:rPr>
          <w:rFonts w:ascii="Arial" w:cs="Arial" w:eastAsia="Arial" w:hAnsi="Arial"/>
          <w:sz w:val="18"/>
          <w:szCs w:val="18"/>
          <w:color w:val="auto"/>
        </w:rPr>
      </w:pPr>
    </w:p>
    <w:p>
      <w:pPr>
        <w:ind w:left="1160" w:hanging="257"/>
        <w:spacing w:after="0"/>
        <w:tabs>
          <w:tab w:leader="none" w:pos="1160"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Specific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320" w:firstLine="421"/>
        <w:spacing w:after="0" w:line="277" w:lineRule="auto"/>
        <w:tabs>
          <w:tab w:leader="none" w:pos="1555" w:val="left"/>
        </w:tabs>
        <w:numPr>
          <w:ilvl w:val="2"/>
          <w:numId w:val="181"/>
        </w:numPr>
        <w:rPr>
          <w:rFonts w:ascii="Arial" w:cs="Arial" w:eastAsia="Arial" w:hAnsi="Arial"/>
          <w:sz w:val="18"/>
          <w:szCs w:val="18"/>
          <w:color w:val="auto"/>
        </w:rPr>
      </w:pPr>
      <w:r>
        <w:rPr>
          <w:rFonts w:ascii="Arial" w:cs="Arial" w:eastAsia="Arial" w:hAnsi="Arial"/>
          <w:sz w:val="18"/>
          <w:szCs w:val="18"/>
          <w:color w:val="auto"/>
        </w:rPr>
        <w:t xml:space="preserve">Any Loan Party fails to perform or observe any term, covenant or agreement contained in any of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7.10</w:t>
      </w:r>
      <w:r>
        <w:rPr>
          <w:rFonts w:ascii="Arial" w:cs="Arial" w:eastAsia="Arial" w:hAnsi="Arial"/>
          <w:sz w:val="18"/>
          <w:szCs w:val="18"/>
          <w:color w:val="auto"/>
        </w:rPr>
        <w:t xml:space="preserve"> and such failure continues for five days; or</w:t>
      </w:r>
    </w:p>
    <w:p>
      <w:pPr>
        <w:spacing w:after="0" w:line="62" w:lineRule="exact"/>
        <w:rPr>
          <w:rFonts w:ascii="Arial" w:cs="Arial" w:eastAsia="Arial" w:hAnsi="Arial"/>
          <w:sz w:val="18"/>
          <w:szCs w:val="18"/>
          <w:color w:val="auto"/>
        </w:rPr>
      </w:pPr>
    </w:p>
    <w:p>
      <w:pPr>
        <w:ind w:left="920" w:right="360" w:firstLine="421"/>
        <w:spacing w:after="0" w:line="277" w:lineRule="auto"/>
        <w:tabs>
          <w:tab w:leader="none" w:pos="1605" w:val="left"/>
        </w:tabs>
        <w:numPr>
          <w:ilvl w:val="2"/>
          <w:numId w:val="181"/>
        </w:numPr>
        <w:rPr>
          <w:rFonts w:ascii="Arial" w:cs="Arial" w:eastAsia="Arial" w:hAnsi="Arial"/>
          <w:sz w:val="18"/>
          <w:szCs w:val="18"/>
          <w:color w:val="auto"/>
        </w:rPr>
      </w:pPr>
      <w:r>
        <w:rPr>
          <w:rFonts w:ascii="Arial" w:cs="Arial" w:eastAsia="Arial" w:hAnsi="Arial"/>
          <w:sz w:val="18"/>
          <w:szCs w:val="18"/>
          <w:color w:val="auto"/>
        </w:rPr>
        <w:t xml:space="preserve">Any Loan Party fails to perform or observe any term, covenant or agreement contained in any of </w:t>
      </w:r>
      <w:r>
        <w:rPr>
          <w:rFonts w:ascii="Arial" w:cs="Arial" w:eastAsia="Arial" w:hAnsi="Arial"/>
          <w:sz w:val="18"/>
          <w:szCs w:val="18"/>
          <w:u w:val="single" w:color="auto"/>
          <w:color w:val="auto"/>
        </w:rPr>
        <w:t>Section 7.03(a)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VIII</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460" w:right="360" w:firstLine="443"/>
        <w:spacing w:after="0" w:line="277" w:lineRule="auto"/>
        <w:tabs>
          <w:tab w:leader="none" w:pos="1143"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Any Loan Party fails to perform or observe any other covenant or agreement (not specified in subsection (a) or (b) above) contained in any Loan Document on its part to be performed or observed and such failure continues for thirty days; or</w:t>
      </w:r>
    </w:p>
    <w:p>
      <w:pPr>
        <w:spacing w:after="0" w:line="62" w:lineRule="exact"/>
        <w:rPr>
          <w:rFonts w:ascii="Arial" w:cs="Arial" w:eastAsia="Arial" w:hAnsi="Arial"/>
          <w:sz w:val="18"/>
          <w:szCs w:val="18"/>
          <w:color w:val="auto"/>
        </w:rPr>
      </w:pPr>
    </w:p>
    <w:p>
      <w:pPr>
        <w:ind w:left="460" w:right="100" w:firstLine="443"/>
        <w:spacing w:after="0" w:line="257" w:lineRule="auto"/>
        <w:tabs>
          <w:tab w:leader="none" w:pos="1153" w:val="left"/>
        </w:tabs>
        <w:numPr>
          <w:ilvl w:val="1"/>
          <w:numId w:val="18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any Loan Party herein, in any other Loan Document, or in any document executed by a Responsible Officer and delivered in connection herewith or therewith shall be incorrect or misleading in any material respect (or if such representation, warranty, certification or statement of fact is qualified by materiality or reference to Material Adverse Effect such representation, warranty, certification or statement of fact is incorrect or misleading in any respect); or</w:t>
      </w:r>
    </w:p>
    <w:p>
      <w:pPr>
        <w:spacing w:after="0" w:line="80" w:lineRule="exact"/>
        <w:rPr>
          <w:rFonts w:ascii="Arial" w:cs="Arial" w:eastAsia="Arial" w:hAnsi="Arial"/>
          <w:sz w:val="18"/>
          <w:szCs w:val="18"/>
          <w:color w:val="auto"/>
        </w:rPr>
      </w:pPr>
    </w:p>
    <w:p>
      <w:pPr>
        <w:ind w:left="460" w:firstLine="443"/>
        <w:spacing w:after="0" w:line="269" w:lineRule="auto"/>
        <w:tabs>
          <w:tab w:leader="none" w:pos="1143" w:val="left"/>
        </w:tabs>
        <w:numPr>
          <w:ilvl w:val="1"/>
          <w:numId w:val="181"/>
        </w:numPr>
        <w:rPr>
          <w:rFonts w:ascii="Arial" w:cs="Arial" w:eastAsia="Arial" w:hAnsi="Arial"/>
          <w:sz w:val="17"/>
          <w:szCs w:val="17"/>
          <w:color w:val="auto"/>
        </w:rPr>
      </w:pPr>
      <w:r>
        <w:rPr>
          <w:rFonts w:ascii="Arial" w:cs="Arial" w:eastAsia="Arial" w:hAnsi="Arial"/>
          <w:sz w:val="17"/>
          <w:szCs w:val="17"/>
          <w:u w:val="single" w:color="auto"/>
          <w:color w:val="auto"/>
        </w:rPr>
        <w:t>Cross-Default</w:t>
      </w:r>
      <w:r>
        <w:rPr>
          <w:rFonts w:ascii="Arial" w:cs="Arial" w:eastAsia="Arial" w:hAnsi="Arial"/>
          <w:sz w:val="17"/>
          <w:szCs w:val="17"/>
          <w:color w:val="auto"/>
        </w:rPr>
        <w:t>. (i) The Borrower or any Subsidiary fails to make any payment when due (whether by scheduled maturity, required prepayment, acceleration, demand, or otherwise) in respect of any Material Indebtedness; (ii) the Borrower or any Subsidiary fails to observe or perform any other agreement or condition relating to any Material Indebtedness or contained in any instrument or agreement evidencing, securing or relating thereto, or any other event occurs, the effect of which default or other event is to cause, or to permit the holder or holders of such Material Indebtedness (or a trustee or agent on behalf of such holder or holders) to cause, with the giving of notice if required, such Material Indebtedness to be demanded or to become due or to be repurchased, prepaid, defeased or redeemed (automatically or otherwise), or an offer to repurchase, prepay, defease or redeem such Material Indebtedness to be made, prior to its stated maturity; or (iii) 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the Swap Termination Value owed by the Borrower or such Subsidiary as a result thereof is greater than the Threshold Amount; 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202" w:name="page203"/>
    <w:bookmarkEnd w:id="202"/>
    <w:p>
      <w:pPr>
        <w:ind w:right="20" w:firstLine="443"/>
        <w:spacing w:after="0" w:line="255" w:lineRule="auto"/>
        <w:tabs>
          <w:tab w:leader="none" w:pos="66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Insolvency Proceedings, Etc.</w:t>
      </w:r>
      <w:r>
        <w:rPr>
          <w:rFonts w:ascii="Arial" w:cs="Arial" w:eastAsia="Arial" w:hAnsi="Arial"/>
          <w:sz w:val="18"/>
          <w:szCs w:val="18"/>
          <w:color w:val="auto"/>
        </w:rPr>
        <w:t xml:space="preserve"> The Borrower or any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spacing w:after="0" w:line="81" w:lineRule="exact"/>
        <w:rPr>
          <w:rFonts w:ascii="Arial" w:cs="Arial" w:eastAsia="Arial" w:hAnsi="Arial"/>
          <w:sz w:val="18"/>
          <w:szCs w:val="18"/>
          <w:color w:val="auto"/>
        </w:rPr>
      </w:pPr>
    </w:p>
    <w:p>
      <w:pPr>
        <w:jc w:val="both"/>
        <w:ind w:right="120" w:firstLine="443"/>
        <w:spacing w:after="0" w:line="286" w:lineRule="auto"/>
        <w:tabs>
          <w:tab w:leader="none" w:pos="693"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Inability to Pay Debts; Attachment</w:t>
      </w:r>
      <w:r>
        <w:rPr>
          <w:rFonts w:ascii="Arial" w:cs="Arial" w:eastAsia="Arial" w:hAnsi="Arial"/>
          <w:sz w:val="17"/>
          <w:szCs w:val="17"/>
          <w:color w:val="auto"/>
        </w:rPr>
        <w:t>. (i) The Borrower or any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days after its issue or levy; or</w:t>
      </w:r>
    </w:p>
    <w:p>
      <w:pPr>
        <w:spacing w:after="0" w:line="57" w:lineRule="exact"/>
        <w:rPr>
          <w:rFonts w:ascii="Arial" w:cs="Arial" w:eastAsia="Arial" w:hAnsi="Arial"/>
          <w:sz w:val="17"/>
          <w:szCs w:val="17"/>
          <w:color w:val="auto"/>
        </w:rPr>
      </w:pPr>
    </w:p>
    <w:p>
      <w:pPr>
        <w:ind w:right="60" w:firstLine="443"/>
        <w:spacing w:after="0" w:line="273" w:lineRule="auto"/>
        <w:tabs>
          <w:tab w:leader="none" w:pos="693" w:val="left"/>
        </w:tabs>
        <w:numPr>
          <w:ilvl w:val="0"/>
          <w:numId w:val="182"/>
        </w:numPr>
        <w:rPr>
          <w:rFonts w:ascii="Arial" w:cs="Arial" w:eastAsia="Arial" w:hAnsi="Arial"/>
          <w:sz w:val="17"/>
          <w:szCs w:val="17"/>
          <w:color w:val="auto"/>
        </w:rPr>
      </w:pPr>
      <w:r>
        <w:rPr>
          <w:rFonts w:ascii="Arial" w:cs="Arial" w:eastAsia="Arial" w:hAnsi="Arial"/>
          <w:sz w:val="17"/>
          <w:szCs w:val="17"/>
          <w:u w:val="single" w:color="auto"/>
          <w:color w:val="auto"/>
        </w:rPr>
        <w:t>Judgments</w:t>
      </w:r>
      <w:r>
        <w:rPr>
          <w:rFonts w:ascii="Arial" w:cs="Arial" w:eastAsia="Arial" w:hAnsi="Arial"/>
          <w:sz w:val="17"/>
          <w:szCs w:val="17"/>
          <w:color w:val="auto"/>
        </w:rPr>
        <w:t>. There is entered against the Borrower or any Subsidiary (i) one or more final judgments or orders for the payment of money in an aggregate amount (as to all such judgments or orders) exceeding the Threshold Amount (to the extent not covered by independent third-party insurance as to which the insurer has been notified of the claim and does not dispute coverage), or (ii) any one or more non-monetary final judgments that have, or would reasonably be expected to have a Material Adverse Effect and, in either case, (A) enforcement proceedings are commenced by any creditor upon such judgment or order, or (B) there is a period of thirty consecutive days during which a stay of enforcement of such judgment, by reason of a pending appeal or such judgment being paid, satisfied, vacated or bonded, or otherwise, is not in effect; or</w:t>
      </w:r>
    </w:p>
    <w:p>
      <w:pPr>
        <w:spacing w:after="0" w:line="70" w:lineRule="exact"/>
        <w:rPr>
          <w:rFonts w:ascii="Arial" w:cs="Arial" w:eastAsia="Arial" w:hAnsi="Arial"/>
          <w:sz w:val="17"/>
          <w:szCs w:val="17"/>
          <w:color w:val="auto"/>
        </w:rPr>
      </w:pPr>
    </w:p>
    <w:p>
      <w:pPr>
        <w:ind w:right="40" w:firstLine="443"/>
        <w:spacing w:after="0" w:line="259" w:lineRule="auto"/>
        <w:tabs>
          <w:tab w:leader="none" w:pos="65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Sanctions</w:t>
      </w:r>
      <w:r>
        <w:rPr>
          <w:rFonts w:ascii="Arial" w:cs="Arial" w:eastAsia="Arial" w:hAnsi="Arial"/>
          <w:sz w:val="18"/>
          <w:szCs w:val="18"/>
          <w:color w:val="auto"/>
        </w:rPr>
        <w:t>. The DOE imposes one or more monetary sanctions against the Borrower or any Subsidiary (including monetary fines or requirements to repay Title IV funds) in an aggregate amount (as to all such monetary sanctions) exceeding the Threshold Amount and there is a period of thirty consecutive days during which a stay of enforcement of such monetary sanction, by reason of a pending appeal or such monetary sanction being paid, satisfied, vacated or bonded, or otherwise, is not in effect; or</w:t>
      </w:r>
    </w:p>
    <w:p>
      <w:pPr>
        <w:spacing w:after="0" w:line="78" w:lineRule="exact"/>
        <w:rPr>
          <w:rFonts w:ascii="Arial" w:cs="Arial" w:eastAsia="Arial" w:hAnsi="Arial"/>
          <w:sz w:val="18"/>
          <w:szCs w:val="18"/>
          <w:color w:val="auto"/>
        </w:rPr>
      </w:pPr>
    </w:p>
    <w:p>
      <w:pPr>
        <w:jc w:val="both"/>
        <w:ind w:firstLine="443"/>
        <w:spacing w:after="0" w:line="257" w:lineRule="auto"/>
        <w:tabs>
          <w:tab w:leader="none" w:pos="65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would reasonably be expected to result in liability of one or more Loan Parties under Title IV of ERISA to the Pension Plan, Multiemployer Plan or the PBGC in an aggregate amount in excess of the Threshold Amount, or (ii) one or more Loan Parties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80" w:lineRule="exact"/>
        <w:rPr>
          <w:rFonts w:ascii="Arial" w:cs="Arial" w:eastAsia="Arial" w:hAnsi="Arial"/>
          <w:sz w:val="18"/>
          <w:szCs w:val="18"/>
          <w:color w:val="auto"/>
        </w:rPr>
      </w:pPr>
    </w:p>
    <w:p>
      <w:pPr>
        <w:ind w:firstLine="443"/>
        <w:spacing w:after="0" w:line="259" w:lineRule="auto"/>
        <w:tabs>
          <w:tab w:leader="none" w:pos="693"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Invalidity of Loan Documents</w:t>
      </w:r>
      <w:r>
        <w:rPr>
          <w:rFonts w:ascii="Arial" w:cs="Arial" w:eastAsia="Arial" w:hAnsi="Arial"/>
          <w:sz w:val="18"/>
          <w:szCs w:val="18"/>
          <w:color w:val="auto"/>
        </w:rPr>
        <w:t>. Any provision of any Loan Document, at any time after its execution and delivery and for any reason other than as expressly permitted hereunder or thereunder or satisfaction in full of all the Obligations, ceases to be in full force and effect or ceases to give the Administrative Agent any material part of the Liens purported to be created thereby; or any Loan Party or any other Person contests in any manner the validity or</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60"/>
          </w:cols>
          <w:pgMar w:left="700" w:top="274" w:right="239" w:bottom="1440" w:gutter="0" w:footer="0" w:header="0"/>
        </w:sectPr>
      </w:pPr>
    </w:p>
    <w:bookmarkStart w:id="203" w:name="page204"/>
    <w:bookmarkEnd w:id="203"/>
    <w:p>
      <w:pPr>
        <w:ind w:left="460"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enforceability of any provision of any Loan Document; or any Loan Party denies that it has any or further liability or obligation under any provision of any Loan Document, or purports to revoke, terminate or rescind any Loan Document; or</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117" w:lineRule="exact"/>
        <w:rPr>
          <w:sz w:val="20"/>
          <w:szCs w:val="20"/>
          <w:color w:val="auto"/>
        </w:rPr>
      </w:pPr>
    </w:p>
    <w:p>
      <w:pPr>
        <w:ind w:right="4800" w:firstLine="903"/>
        <w:spacing w:after="0" w:line="501" w:lineRule="auto"/>
        <w:tabs>
          <w:tab w:leader="none" w:pos="1109" w:val="left"/>
        </w:tabs>
        <w:numPr>
          <w:ilvl w:val="0"/>
          <w:numId w:val="183"/>
        </w:numPr>
        <w:rPr>
          <w:rFonts w:ascii="Arial" w:cs="Arial" w:eastAsia="Arial" w:hAnsi="Arial"/>
          <w:sz w:val="18"/>
          <w:szCs w:val="18"/>
          <w:color w:val="auto"/>
        </w:rPr>
      </w:pPr>
      <w:r>
        <w:rPr>
          <w:rFonts w:ascii="Arial" w:cs="Arial" w:eastAsia="Arial" w:hAnsi="Arial"/>
          <w:sz w:val="18"/>
          <w:szCs w:val="18"/>
          <w:u w:val="single" w:color="auto"/>
          <w:color w:val="auto"/>
        </w:rPr>
        <w:t>Significant Regulatory Event</w:t>
      </w:r>
      <w:r>
        <w:rPr>
          <w:rFonts w:ascii="Arial" w:cs="Arial" w:eastAsia="Arial" w:hAnsi="Arial"/>
          <w:sz w:val="18"/>
          <w:szCs w:val="18"/>
          <w:color w:val="auto"/>
        </w:rPr>
        <w:t xml:space="preserve">. There occurs a Significant Regulatory Event. 9.02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w:t>
      </w:r>
    </w:p>
    <w:p>
      <w:pPr>
        <w:ind w:right="140" w:firstLine="456"/>
        <w:spacing w:after="0" w:line="277" w:lineRule="auto"/>
        <w:rPr>
          <w:sz w:val="20"/>
          <w:szCs w:val="20"/>
          <w:color w:val="auto"/>
        </w:rPr>
      </w:pPr>
      <w:r>
        <w:rPr>
          <w:rFonts w:ascii="Arial" w:cs="Arial" w:eastAsia="Arial" w:hAnsi="Arial"/>
          <w:sz w:val="18"/>
          <w:szCs w:val="18"/>
          <w:color w:val="auto"/>
        </w:rPr>
        <w:t>If any Event of Default occurs and is continuing, the Administrative Agent shall, at the request of, or may, with the consent of, the Required Lenders, take any or all of the following actions:</w:t>
      </w:r>
    </w:p>
    <w:p>
      <w:pPr>
        <w:spacing w:after="0" w:line="62" w:lineRule="exact"/>
        <w:rPr>
          <w:sz w:val="20"/>
          <w:szCs w:val="20"/>
          <w:color w:val="auto"/>
        </w:rPr>
      </w:pPr>
    </w:p>
    <w:p>
      <w:pPr>
        <w:ind w:left="460" w:right="60" w:firstLine="443"/>
        <w:spacing w:after="0" w:line="277" w:lineRule="auto"/>
        <w:tabs>
          <w:tab w:leader="none" w:pos="114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the L/C Issuer to make L/C Credit Extensions to be terminated, whereupon such commitments and obligation shall be terminated;</w:t>
      </w:r>
    </w:p>
    <w:p>
      <w:pPr>
        <w:spacing w:after="0" w:line="62" w:lineRule="exact"/>
        <w:rPr>
          <w:rFonts w:ascii="Arial" w:cs="Arial" w:eastAsia="Arial" w:hAnsi="Arial"/>
          <w:sz w:val="18"/>
          <w:szCs w:val="18"/>
          <w:color w:val="auto"/>
        </w:rPr>
      </w:pPr>
    </w:p>
    <w:p>
      <w:pPr>
        <w:jc w:val="both"/>
        <w:ind w:left="460" w:firstLine="443"/>
        <w:spacing w:after="0" w:line="264" w:lineRule="auto"/>
        <w:tabs>
          <w:tab w:leader="none" w:pos="115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73" w:lineRule="exact"/>
        <w:rPr>
          <w:rFonts w:ascii="Arial" w:cs="Arial" w:eastAsia="Arial" w:hAnsi="Arial"/>
          <w:sz w:val="18"/>
          <w:szCs w:val="18"/>
          <w:color w:val="auto"/>
        </w:rPr>
      </w:pPr>
    </w:p>
    <w:p>
      <w:pPr>
        <w:ind w:left="460" w:right="540" w:firstLine="443"/>
        <w:spacing w:after="0" w:line="277" w:lineRule="auto"/>
        <w:tabs>
          <w:tab w:leader="none" w:pos="114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require that the Borrower Cash Collateralize the L/C Obligations (in an amount equal to the Minimum Collateral Amount with respect thereto); and</w:t>
      </w:r>
    </w:p>
    <w:p>
      <w:pPr>
        <w:spacing w:after="0" w:line="62" w:lineRule="exact"/>
        <w:rPr>
          <w:rFonts w:ascii="Arial" w:cs="Arial" w:eastAsia="Arial" w:hAnsi="Arial"/>
          <w:sz w:val="18"/>
          <w:szCs w:val="18"/>
          <w:color w:val="auto"/>
        </w:rPr>
      </w:pPr>
    </w:p>
    <w:p>
      <w:pPr>
        <w:ind w:left="460" w:right="260" w:firstLine="443"/>
        <w:spacing w:after="0" w:line="277" w:lineRule="auto"/>
        <w:tabs>
          <w:tab w:leader="none" w:pos="1153" w:val="left"/>
        </w:tabs>
        <w:numPr>
          <w:ilvl w:val="0"/>
          <w:numId w:val="184"/>
        </w:numPr>
        <w:rPr>
          <w:rFonts w:ascii="Arial" w:cs="Arial" w:eastAsia="Arial" w:hAnsi="Arial"/>
          <w:sz w:val="18"/>
          <w:szCs w:val="18"/>
          <w:color w:val="auto"/>
        </w:rPr>
      </w:pPr>
      <w:r>
        <w:rPr>
          <w:rFonts w:ascii="Arial" w:cs="Arial" w:eastAsia="Arial" w:hAnsi="Arial"/>
          <w:sz w:val="18"/>
          <w:szCs w:val="18"/>
          <w:color w:val="auto"/>
        </w:rPr>
        <w:t>exercise on behalf of itself, the Lenders and the L/C Issuer all rights and remedies available to it, the Lenders and the L/C Issuer under the Loan Documents or applicable Law or at equity;</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w:t>
      </w:r>
    </w:p>
    <w:p>
      <w:pPr>
        <w:spacing w:after="0" w:line="225" w:lineRule="exact"/>
        <w:rPr>
          <w:sz w:val="20"/>
          <w:szCs w:val="20"/>
          <w:color w:val="auto"/>
        </w:rPr>
      </w:pPr>
    </w:p>
    <w:p>
      <w:pPr>
        <w:jc w:val="both"/>
        <w:ind w:right="200" w:firstLine="456"/>
        <w:spacing w:after="0" w:line="286" w:lineRule="auto"/>
        <w:rPr>
          <w:sz w:val="20"/>
          <w:szCs w:val="20"/>
          <w:color w:val="auto"/>
        </w:rPr>
      </w:pPr>
      <w:r>
        <w:rPr>
          <w:rFonts w:ascii="Arial" w:cs="Arial" w:eastAsia="Arial" w:hAnsi="Arial"/>
          <w:sz w:val="17"/>
          <w:szCs w:val="17"/>
          <w:color w:val="auto"/>
        </w:rPr>
        <w:t xml:space="preserve">After the exercise of remedies provided for in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7"/>
          <w:szCs w:val="17"/>
          <w:u w:val="single" w:color="auto"/>
          <w:color w:val="auto"/>
        </w:rPr>
        <w:t>Section 9.02</w:t>
      </w:r>
      <w:r>
        <w:rPr>
          <w:rFonts w:ascii="Arial" w:cs="Arial" w:eastAsia="Arial" w:hAnsi="Arial"/>
          <w:sz w:val="17"/>
          <w:szCs w:val="17"/>
          <w:color w:val="auto"/>
        </w:rPr>
        <w:t xml:space="preserve">), any amounts received on account of the Obligations shall, subject to the provisions of </w:t>
      </w:r>
      <w:r>
        <w:rPr>
          <w:rFonts w:ascii="Arial" w:cs="Arial" w:eastAsia="Arial" w:hAnsi="Arial"/>
          <w:sz w:val="17"/>
          <w:szCs w:val="17"/>
          <w:u w:val="single" w:color="auto"/>
          <w:color w:val="auto"/>
        </w:rPr>
        <w:t>Sections 2.14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2.15</w:t>
      </w:r>
      <w:r>
        <w:rPr>
          <w:rFonts w:ascii="Arial" w:cs="Arial" w:eastAsia="Arial" w:hAnsi="Arial"/>
          <w:sz w:val="17"/>
          <w:szCs w:val="17"/>
          <w:color w:val="auto"/>
        </w:rPr>
        <w:t>, be applied by the Administrative Agent in the following order:</w:t>
      </w:r>
    </w:p>
    <w:p>
      <w:pPr>
        <w:spacing w:after="0" w:line="57" w:lineRule="exact"/>
        <w:rPr>
          <w:sz w:val="20"/>
          <w:szCs w:val="20"/>
          <w:color w:val="auto"/>
        </w:rPr>
      </w:pPr>
    </w:p>
    <w:p>
      <w:pPr>
        <w:ind w:left="460" w:right="260" w:firstLine="438"/>
        <w:spacing w:after="0" w:line="26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60"/>
          </w:cols>
          <w:pgMar w:left="240" w:top="274" w:right="299" w:bottom="1440" w:gutter="0" w:footer="0" w:header="0"/>
        </w:sectPr>
      </w:pPr>
    </w:p>
    <w:bookmarkStart w:id="204" w:name="page205"/>
    <w:bookmarkEnd w:id="204"/>
    <w:p>
      <w:pPr>
        <w:ind w:left="460" w:right="20" w:firstLine="438"/>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arising under the Loan Documents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79" w:lineRule="exact"/>
        <w:rPr>
          <w:sz w:val="20"/>
          <w:szCs w:val="20"/>
          <w:color w:val="auto"/>
        </w:rPr>
      </w:pPr>
    </w:p>
    <w:p>
      <w:pPr>
        <w:ind w:left="460" w:right="360" w:firstLine="438"/>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73" w:lineRule="exact"/>
        <w:rPr>
          <w:sz w:val="20"/>
          <w:szCs w:val="20"/>
          <w:color w:val="auto"/>
        </w:rPr>
      </w:pPr>
    </w:p>
    <w:p>
      <w:pPr>
        <w:ind w:left="460" w:right="60" w:firstLine="438"/>
        <w:spacing w:after="0" w:line="257"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(a) payment of that portion of the Obligations constituting unpaid principal of the Loans and L/C Borrowings, (b) payment of Obligations then owing under any Secured Hedge Agreements, (c) payment of Obligations then owing under any Secured Cash Management Agreements and (d) Cash Collateralize that portion of L/C Obligations comprised of the aggregate undrawn amount of Letters of Credit, ratably among the Lenders, the L/C Issuer, the Hedge Banks and the Cash Management Banks in proportion to the respective amounts described in this clause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held by them; and</w:t>
      </w:r>
    </w:p>
    <w:p>
      <w:pPr>
        <w:spacing w:after="0" w:line="80" w:lineRule="exact"/>
        <w:rPr>
          <w:sz w:val="20"/>
          <w:szCs w:val="20"/>
          <w:color w:val="auto"/>
        </w:rPr>
      </w:pPr>
    </w:p>
    <w:p>
      <w:pPr>
        <w:ind w:left="900"/>
        <w:spacing w:after="0"/>
        <w:rPr>
          <w:sz w:val="20"/>
          <w:szCs w:val="20"/>
          <w:color w:val="auto"/>
        </w:rPr>
      </w:pPr>
      <w:r>
        <w:rPr>
          <w:rFonts w:ascii="Arial" w:cs="Arial" w:eastAsia="Arial" w:hAnsi="Arial"/>
          <w:sz w:val="17"/>
          <w:szCs w:val="17"/>
          <w:u w:val="single" w:color="auto"/>
          <w:color w:val="auto"/>
        </w:rPr>
        <w:t>Last</w:t>
      </w:r>
      <w:r>
        <w:rPr>
          <w:rFonts w:ascii="Arial" w:cs="Arial" w:eastAsia="Arial" w:hAnsi="Arial"/>
          <w:sz w:val="17"/>
          <w:szCs w:val="17"/>
          <w:color w:val="auto"/>
        </w:rPr>
        <w:t>, the balance, if any, after all of the Obligations have been indefeasibly paid in full, to the Borrower or as otherwise required by Law.</w:t>
      </w:r>
    </w:p>
    <w:p>
      <w:pPr>
        <w:spacing w:after="0" w:line="23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2.14</w:t>
      </w:r>
      <w:r>
        <w:rPr>
          <w:rFonts w:ascii="Arial" w:cs="Arial" w:eastAsia="Arial" w:hAnsi="Arial"/>
          <w:sz w:val="16"/>
          <w:szCs w:val="16"/>
          <w:color w:val="auto"/>
        </w:rPr>
        <w:t xml:space="preserve">, amounts used to Cash Collateralize the aggregate undrawn amount of Letters of Credit pursuant to clause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Guarantor shall not be paid with amounts received from such Guarantor or such Guarantor’s assets, but appropriate adjustments shall be made with respect to payments from other Loan Parties to preserve the allocation to Obligations otherwise set forth above in this Section.</w:t>
      </w:r>
    </w:p>
    <w:p>
      <w:pPr>
        <w:spacing w:after="0" w:line="158"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Notwithstanding the foregoing, Obligations arising under Secured Cash Management Agreements and Secured Hedge Agreements shall be excluded from the application described above if the Administrative Agent has not received a written notice, together with such supporting documentation as the Administrative Agent may request, from the applicable Cash Management Bank or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Article X for itself and its Affiliates as if a “Lender” party hereto.</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ADMINISTRATIVE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10.01 </w:t>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225"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4" w:right="239" w:bottom="1440" w:gutter="0" w:footer="0" w:header="0"/>
        </w:sectPr>
      </w:pPr>
    </w:p>
    <w:bookmarkStart w:id="205" w:name="page206"/>
    <w:bookmarkEnd w:id="205"/>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reasonably incidental thereto. The provisions of this Article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8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Administrative Agent shall also act as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xml:space="preserve">” under the Loan Documents, and each of the Lenders (in its capacities as a Lender, Swing Line Lender (if applicable), potential Hedge Banks and potential Cash Management Banks) and the L/C Issuer hereby irrevocably appoints and authorizes the Administrative Agent to act as the agent of such Lender and the L/C Issuer for purposes of acquiring, holding and enforcing any and all Liens on Collateral,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11.04(c)</w:t>
      </w:r>
      <w:r>
        <w:rPr>
          <w:rFonts w:ascii="Arial" w:cs="Arial" w:eastAsia="Arial" w:hAnsi="Arial"/>
          <w:sz w:val="16"/>
          <w:szCs w:val="16"/>
          <w:color w:val="auto"/>
        </w:rPr>
        <w:t>, as though such co-agents, sub-agents and attorneys-in-fact were the “collateral agent” under the Loan Documents) as if set forth in full herein with respect thereto.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w:t>
      </w:r>
    </w:p>
    <w:p>
      <w:pPr>
        <w:spacing w:after="0" w:line="225"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225" w:lineRule="exact"/>
        <w:rPr>
          <w:sz w:val="20"/>
          <w:szCs w:val="20"/>
          <w:color w:val="auto"/>
        </w:rPr>
      </w:pPr>
    </w:p>
    <w:p>
      <w:pPr>
        <w:ind w:right="380" w:firstLine="456"/>
        <w:spacing w:after="0" w:line="308" w:lineRule="auto"/>
        <w:rPr>
          <w:sz w:val="20"/>
          <w:szCs w:val="20"/>
          <w:color w:val="auto"/>
        </w:rPr>
      </w:pPr>
      <w:r>
        <w:rPr>
          <w:rFonts w:ascii="Arial" w:cs="Arial" w:eastAsia="Arial" w:hAnsi="Arial"/>
          <w:sz w:val="17"/>
          <w:szCs w:val="17"/>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38" w:lineRule="exact"/>
        <w:rPr>
          <w:sz w:val="20"/>
          <w:szCs w:val="20"/>
          <w:color w:val="auto"/>
        </w:rPr>
      </w:pPr>
    </w:p>
    <w:p>
      <w:pPr>
        <w:ind w:left="1140" w:hanging="237"/>
        <w:spacing w:after="0"/>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17" w:lineRule="exact"/>
        <w:rPr>
          <w:rFonts w:ascii="Arial" w:cs="Arial" w:eastAsia="Arial" w:hAnsi="Arial"/>
          <w:sz w:val="18"/>
          <w:szCs w:val="18"/>
          <w:color w:val="auto"/>
        </w:rPr>
      </w:pPr>
    </w:p>
    <w:p>
      <w:pPr>
        <w:ind w:left="460" w:right="20" w:firstLine="443"/>
        <w:spacing w:after="0" w:line="255" w:lineRule="auto"/>
        <w:tabs>
          <w:tab w:leader="none" w:pos="1153"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206" w:name="page207"/>
    <w:bookmarkEnd w:id="206"/>
    <w:p>
      <w:pPr>
        <w:ind w:left="460" w:right="160" w:firstLine="443"/>
        <w:spacing w:after="0" w:line="264" w:lineRule="auto"/>
        <w:tabs>
          <w:tab w:leader="none" w:pos="1143" w:val="left"/>
        </w:tabs>
        <w:numPr>
          <w:ilvl w:val="0"/>
          <w:numId w:val="1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except as expressly set forth herein and in the other Loan Documents, have any duty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8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6"/>
          <w:szCs w:val="16"/>
          <w:u w:val="single" w:color="auto"/>
          <w:color w:val="auto"/>
        </w:rPr>
        <w:t>Sections 11.01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9.02</w:t>
      </w:r>
      <w:r>
        <w:rPr>
          <w:rFonts w:ascii="Arial" w:cs="Arial" w:eastAsia="Arial" w:hAnsi="Arial"/>
          <w:sz w:val="16"/>
          <w:szCs w:val="16"/>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a Loan Party, a Lender or the L/C Issuer.</w:t>
      </w:r>
    </w:p>
    <w:p>
      <w:pPr>
        <w:spacing w:after="0" w:line="15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elsewhere herein, other than to confirm receipt of items expressly required to be delivered to the Administrative Agent.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274" w:right="259" w:bottom="1440" w:gutter="0" w:footer="0" w:header="0"/>
        </w:sectPr>
      </w:pPr>
    </w:p>
    <w:bookmarkStart w:id="207" w:name="page208"/>
    <w:bookmarkEnd w:id="207"/>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10.06 </w:t>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90" w:lineRule="auto"/>
        <w:tabs>
          <w:tab w:leader="none" w:pos="70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Administrative Agent may at any time give notice of its resignation to the Lenders, the L/C Issuer and the Borrower. Upon receipt of any such notice of resignation, the Required Lenders shall have the right, subject to the consent of the Borrower (such consent not to be unreasonably withheld or delayed) provided that no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days after the retiring Administrative Agent gives notice of its resignation (or such earlier day as shall be agreed by the Required Lenders) (the “</w:t>
      </w:r>
      <w:r>
        <w:rPr>
          <w:rFonts w:ascii="Arial" w:cs="Arial" w:eastAsia="Arial" w:hAnsi="Arial"/>
          <w:sz w:val="16"/>
          <w:szCs w:val="16"/>
          <w:u w:val="single" w:color="auto"/>
          <w:color w:val="auto"/>
        </w:rPr>
        <w:t>Resignation Effective Date</w:t>
      </w:r>
      <w:r>
        <w:rPr>
          <w:rFonts w:ascii="Arial" w:cs="Arial" w:eastAsia="Arial" w:hAnsi="Arial"/>
          <w:sz w:val="16"/>
          <w:szCs w:val="16"/>
          <w:color w:val="auto"/>
        </w:rPr>
        <w:t>”), then the retiring Administrative Agent may (but shall not be obligated to) on behalf of the Lenders and the L/C Issuer, appoint a successor Administrative Agent meeting the qualifications set forth above. Whether or not a successor has been appointed, such resignation shall become effective in accordance with such notice on the Resignation Effective Date.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274" w:right="259" w:bottom="1440" w:gutter="0" w:footer="0" w:header="0"/>
        </w:sectPr>
      </w:pPr>
    </w:p>
    <w:bookmarkStart w:id="208" w:name="page209"/>
    <w:bookmarkEnd w:id="208"/>
    <w:p>
      <w:pPr>
        <w:jc w:val="both"/>
        <w:ind w:left="-20" w:right="60" w:firstLine="464"/>
        <w:spacing w:after="0" w:line="273" w:lineRule="auto"/>
        <w:tabs>
          <w:tab w:leader="none" w:pos="691" w:val="left"/>
        </w:tabs>
        <w:numPr>
          <w:ilvl w:val="0"/>
          <w:numId w:val="1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the Person serving as Administrative Agent is a Defaulting Lender pursuant to </w:t>
      </w:r>
      <w:r>
        <w:rPr>
          <w:rFonts w:ascii="Arial" w:cs="Arial" w:eastAsia="Arial" w:hAnsi="Arial"/>
          <w:sz w:val="17"/>
          <w:szCs w:val="17"/>
          <w:u w:val="single" w:color="auto"/>
          <w:color w:val="auto"/>
        </w:rPr>
        <w:t>clause (d)</w:t>
      </w:r>
      <w:r>
        <w:rPr>
          <w:rFonts w:ascii="Arial" w:cs="Arial" w:eastAsia="Arial" w:hAnsi="Arial"/>
          <w:sz w:val="17"/>
          <w:szCs w:val="17"/>
          <w:color w:val="auto"/>
        </w:rPr>
        <w:t xml:space="preserve"> of the definition thereof, the Required Lenders may, to the extent permitted by applicable law, by notice in writing to the Borrower and such Person remove such Person as Administrative Agent and, subject to the consent of the Borrower (such consent not to be unreasonably withheld or delayed) provided that no Event of Default has occurred and is continuing, appoint a successor. If no such successor shall have been so appointed by the Required Lenders and shall have accepted such appointment within thirty days (or such earlier day as shall be agreed by the Required Lenders) (the “</w:t>
      </w:r>
      <w:r>
        <w:rPr>
          <w:rFonts w:ascii="Arial" w:cs="Arial" w:eastAsia="Arial" w:hAnsi="Arial"/>
          <w:sz w:val="17"/>
          <w:szCs w:val="17"/>
          <w:u w:val="single" w:color="auto"/>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178" w:lineRule="exact"/>
        <w:rPr>
          <w:rFonts w:ascii="Arial" w:cs="Arial" w:eastAsia="Arial" w:hAnsi="Arial"/>
          <w:sz w:val="17"/>
          <w:szCs w:val="17"/>
          <w:color w:val="auto"/>
        </w:rPr>
      </w:pPr>
    </w:p>
    <w:p>
      <w:pPr>
        <w:ind w:left="-20" w:firstLine="464"/>
        <w:spacing w:after="0" w:line="268" w:lineRule="auto"/>
        <w:tabs>
          <w:tab w:leader="none" w:pos="681"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7"/>
          <w:szCs w:val="17"/>
          <w:u w:val="single" w:color="auto"/>
          <w:color w:val="auto"/>
        </w:rPr>
        <w:t>Section 3.01(g)</w:t>
      </w:r>
      <w:r>
        <w:rPr>
          <w:rFonts w:ascii="Arial" w:cs="Arial" w:eastAsia="Arial" w:hAnsi="Arial"/>
          <w:sz w:val="17"/>
          <w:szCs w:val="17"/>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spacing w:after="0" w:line="180" w:lineRule="exact"/>
        <w:rPr>
          <w:rFonts w:ascii="Arial" w:cs="Arial" w:eastAsia="Arial" w:hAnsi="Arial"/>
          <w:sz w:val="17"/>
          <w:szCs w:val="17"/>
          <w:color w:val="auto"/>
        </w:rPr>
      </w:pPr>
    </w:p>
    <w:p>
      <w:pPr>
        <w:ind w:left="-20" w:firstLine="464"/>
        <w:spacing w:after="0" w:line="288" w:lineRule="auto"/>
        <w:tabs>
          <w:tab w:leader="none" w:pos="691"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Any resignation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by the Borrower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380"/>
          </w:cols>
          <w:pgMar w:left="260" w:top="274" w:right="259" w:bottom="1440" w:gutter="0" w:footer="0" w:header="0"/>
        </w:sectPr>
      </w:pPr>
    </w:p>
    <w:bookmarkStart w:id="209" w:name="page210"/>
    <w:bookmarkEnd w:id="209"/>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Non-Reliance on Administrative Agent and Other Lenders</w:t>
      </w:r>
      <w:r>
        <w:rPr>
          <w:rFonts w:ascii="Arial" w:cs="Arial" w:eastAsia="Arial" w:hAnsi="Arial"/>
          <w:sz w:val="18"/>
          <w:szCs w:val="18"/>
          <w:color w:val="auto"/>
        </w:rPr>
        <w:t>.</w:t>
      </w:r>
    </w:p>
    <w:p>
      <w:pPr>
        <w:spacing w:after="0" w:line="225"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10.08 </w:t>
      </w:r>
      <w:r>
        <w:rPr>
          <w:rFonts w:ascii="Arial" w:cs="Arial" w:eastAsia="Arial" w:hAnsi="Arial"/>
          <w:sz w:val="18"/>
          <w:szCs w:val="18"/>
          <w:u w:val="single" w:color="auto"/>
          <w:color w:val="auto"/>
        </w:rPr>
        <w:t>No Other Duties; Etc</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79" w:lineRule="exact"/>
        <w:rPr>
          <w:sz w:val="20"/>
          <w:szCs w:val="20"/>
          <w:color w:val="auto"/>
        </w:rPr>
      </w:pPr>
    </w:p>
    <w:p>
      <w:pPr>
        <w:ind w:left="460" w:right="60" w:firstLine="443"/>
        <w:spacing w:after="0" w:line="297" w:lineRule="auto"/>
        <w:tabs>
          <w:tab w:leader="none" w:pos="1143" w:val="left"/>
        </w:tabs>
        <w:numPr>
          <w:ilvl w:val="0"/>
          <w:numId w:val="189"/>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6"/>
          <w:szCs w:val="16"/>
          <w:u w:val="single" w:color="auto"/>
          <w:color w:val="auto"/>
        </w:rPr>
        <w:t>Sections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11.04</w:t>
      </w:r>
      <w:r>
        <w:rPr>
          <w:rFonts w:ascii="Arial" w:cs="Arial" w:eastAsia="Arial" w:hAnsi="Arial"/>
          <w:sz w:val="16"/>
          <w:szCs w:val="16"/>
          <w:color w:val="auto"/>
        </w:rPr>
        <w:t>) allowed in such judicial proceeding; and</w:t>
      </w:r>
    </w:p>
    <w:p>
      <w:pPr>
        <w:spacing w:after="0" w:line="50" w:lineRule="exact"/>
        <w:rPr>
          <w:rFonts w:ascii="Arial" w:cs="Arial" w:eastAsia="Arial" w:hAnsi="Arial"/>
          <w:sz w:val="16"/>
          <w:szCs w:val="16"/>
          <w:color w:val="auto"/>
        </w:rPr>
      </w:pPr>
    </w:p>
    <w:p>
      <w:pPr>
        <w:ind w:left="1160" w:hanging="257"/>
        <w:spacing w:after="0"/>
        <w:tabs>
          <w:tab w:leader="none" w:pos="11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274" w:right="239" w:bottom="1440" w:gutter="0" w:footer="0" w:header="0"/>
        </w:sectPr>
      </w:pPr>
    </w:p>
    <w:bookmarkStart w:id="210" w:name="page211"/>
    <w:bookmarkEnd w:id="210"/>
    <w:p>
      <w:pPr>
        <w:ind w:right="2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Collateral and Guaranty Matters</w:t>
      </w:r>
      <w:r>
        <w:rPr>
          <w:rFonts w:ascii="Arial" w:cs="Arial" w:eastAsia="Arial" w:hAnsi="Arial"/>
          <w:sz w:val="18"/>
          <w:szCs w:val="18"/>
          <w:color w:val="auto"/>
        </w:rPr>
        <w:t>.</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Without limiting the provisions of </w:t>
      </w:r>
      <w:r>
        <w:rPr>
          <w:rFonts w:ascii="Arial" w:cs="Arial" w:eastAsia="Arial" w:hAnsi="Arial"/>
          <w:sz w:val="18"/>
          <w:szCs w:val="18"/>
          <w:u w:val="single" w:color="auto"/>
          <w:color w:val="auto"/>
        </w:rPr>
        <w:t>Section 10.09</w:t>
      </w:r>
      <w:r>
        <w:rPr>
          <w:rFonts w:ascii="Arial" w:cs="Arial" w:eastAsia="Arial" w:hAnsi="Arial"/>
          <w:sz w:val="18"/>
          <w:szCs w:val="18"/>
          <w:color w:val="auto"/>
        </w:rPr>
        <w:t>, each of the Lenders (including in its capacities as a potential Cash Management Bank and a potential Hedge Bank) and the L/C Issuer irrevocably authorize the Administrative Agent, at its option and in its discretion,</w:t>
      </w:r>
    </w:p>
    <w:p>
      <w:pPr>
        <w:spacing w:after="0" w:line="62" w:lineRule="exact"/>
        <w:rPr>
          <w:sz w:val="20"/>
          <w:szCs w:val="20"/>
          <w:color w:val="auto"/>
        </w:rPr>
      </w:pPr>
    </w:p>
    <w:p>
      <w:pPr>
        <w:ind w:left="460" w:firstLine="443"/>
        <w:spacing w:after="0" w:line="255" w:lineRule="auto"/>
        <w:tabs>
          <w:tab w:leader="none" w:pos="114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to release any Lien on any property granted to or held by the Administrative Agent under any Loan Document (i) upon termination of the Aggregate Revolving Commitments and payment in full of the Obligations (other than (A) contingent indemnification obligations and (B) obligations and liabilities under Secured Cash Management Agreements and Secured Hedge Agreements as to which arrangements satisfactory to the applicable Cash Management Bank or Hedge Bank shall have been made) and the expiration or termination of all Letters of Credit (other than Letters of Credit as to which other arrangements satisfactory to the Administrative Agent and the L/C Issuer shall have been made), (ii) that is sold or otherwise disposed of as part of or in connection with any sale or other disposition permitted hereunder or under any other Loan Document or (iii) as approved in accordance with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8.01(i)</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60" w:right="60" w:firstLine="443"/>
        <w:spacing w:after="0" w:line="277" w:lineRule="auto"/>
        <w:tabs>
          <w:tab w:leader="none" w:pos="114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to release any Guarantor from its obligations under the Guaranty if such Person ceases to be a Subsidiary as a result of a transaction permitted under the Loan Documents.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Secured Cash Management Agreements and Secured Hedge Agreements</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No Cash Management Bank or Hedge Bank that obtains the benefit of the provisions of </w:t>
      </w:r>
      <w:r>
        <w:rPr>
          <w:rFonts w:ascii="Arial" w:cs="Arial" w:eastAsia="Arial" w:hAnsi="Arial"/>
          <w:sz w:val="18"/>
          <w:szCs w:val="18"/>
          <w:u w:val="single" w:color="auto"/>
          <w:color w:val="auto"/>
        </w:rPr>
        <w:t>Section 9.03</w:t>
      </w:r>
      <w:r>
        <w:rPr>
          <w:rFonts w:ascii="Arial" w:cs="Arial" w:eastAsia="Arial" w:hAnsi="Arial"/>
          <w:sz w:val="18"/>
          <w:szCs w:val="18"/>
          <w:color w:val="auto"/>
        </w:rPr>
        <w:t>,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74" w:right="239" w:bottom="1440" w:gutter="0" w:footer="0" w:header="0"/>
        </w:sectPr>
      </w:pPr>
    </w:p>
    <w:bookmarkStart w:id="211" w:name="page212"/>
    <w:bookmarkEnd w:id="211"/>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case, only to the extent expressly provided in the Loan Documents. Notwithstanding any other provision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except to the extent expressly provided herein and unless the Administrative Agent has received written notice of such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Obligations arising under Secured Cash Management Agreements and Secured Hedge Agreements in the case of a Maturity Date.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11.01 </w:t>
      </w:r>
      <w:r>
        <w:rPr>
          <w:rFonts w:ascii="Arial" w:cs="Arial" w:eastAsia="Arial" w:hAnsi="Arial"/>
          <w:sz w:val="18"/>
          <w:szCs w:val="18"/>
          <w:u w:val="single" w:color="auto"/>
          <w:color w:val="auto"/>
        </w:rPr>
        <w:t>Amendments, Etc</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No amendment or waiver of any provision of this Agreement or any other Loan Document, and no consent to any departure by any Loan Party therefrom, shall be effective unless in writing signed by the Required Lenders and the applicable Loan Party, and acknowledged by the Administrative Agent, and each such waiver or consent shall be effective only in the specific instance and for the specific purpose for which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pacing w:after="0" w:line="39" w:lineRule="exact"/>
        <w:rPr>
          <w:sz w:val="20"/>
          <w:szCs w:val="20"/>
          <w:color w:val="auto"/>
        </w:rPr>
      </w:pPr>
    </w:p>
    <w:p>
      <w:pPr>
        <w:ind w:left="1140" w:hanging="237"/>
        <w:spacing w:after="0"/>
        <w:tabs>
          <w:tab w:leader="none" w:pos="11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no such amendment, waiver or consent shall:</w:t>
      </w:r>
    </w:p>
    <w:p>
      <w:pPr>
        <w:spacing w:after="0" w:line="117" w:lineRule="exact"/>
        <w:rPr>
          <w:rFonts w:ascii="Arial" w:cs="Arial" w:eastAsia="Arial" w:hAnsi="Arial"/>
          <w:sz w:val="18"/>
          <w:szCs w:val="18"/>
          <w:color w:val="auto"/>
        </w:rPr>
      </w:pPr>
    </w:p>
    <w:p>
      <w:pPr>
        <w:jc w:val="both"/>
        <w:ind w:left="920" w:right="460" w:firstLine="421"/>
        <w:spacing w:after="0" w:line="312" w:lineRule="auto"/>
        <w:tabs>
          <w:tab w:leader="none" w:pos="1555" w:val="left"/>
        </w:tabs>
        <w:numPr>
          <w:ilvl w:val="1"/>
          <w:numId w:val="191"/>
        </w:numPr>
        <w:rPr>
          <w:rFonts w:ascii="Arial" w:cs="Arial" w:eastAsia="Arial" w:hAnsi="Arial"/>
          <w:sz w:val="16"/>
          <w:szCs w:val="16"/>
          <w:color w:val="auto"/>
        </w:rPr>
      </w:pPr>
      <w:r>
        <w:rPr>
          <w:rFonts w:ascii="Arial" w:cs="Arial" w:eastAsia="Arial" w:hAnsi="Arial"/>
          <w:sz w:val="16"/>
          <w:szCs w:val="16"/>
          <w:color w:val="auto"/>
        </w:rPr>
        <w:t xml:space="preserve">extend or increase the Commitment of any Lender (or reinstate any Commitment terminated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without the written consent of such Lender (it being understood and agreed that a waiver of any condition precedent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or of any Default or a mandatory reduction in Commitments is not considered an extension or increase in Commitments of any Lender);</w:t>
      </w:r>
    </w:p>
    <w:p>
      <w:pPr>
        <w:spacing w:after="0" w:line="38" w:lineRule="exact"/>
        <w:rPr>
          <w:rFonts w:ascii="Arial" w:cs="Arial" w:eastAsia="Arial" w:hAnsi="Arial"/>
          <w:sz w:val="16"/>
          <w:szCs w:val="16"/>
          <w:color w:val="auto"/>
        </w:rPr>
      </w:pPr>
    </w:p>
    <w:p>
      <w:pPr>
        <w:jc w:val="both"/>
        <w:ind w:left="920" w:right="440" w:firstLine="421"/>
        <w:spacing w:after="0" w:line="259" w:lineRule="auto"/>
        <w:tabs>
          <w:tab w:leader="none" w:pos="1605" w:val="left"/>
        </w:tabs>
        <w:numPr>
          <w:ilvl w:val="1"/>
          <w:numId w:val="191"/>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or any scheduled or mandatory reduction of the Commitments hereunder or under any other Loan Document without the written consent of each Lender entitled to receive such payment or whose Commitments are to be reduced;</w:t>
      </w:r>
    </w:p>
    <w:p>
      <w:pPr>
        <w:spacing w:after="0" w:line="78" w:lineRule="exact"/>
        <w:rPr>
          <w:rFonts w:ascii="Arial" w:cs="Arial" w:eastAsia="Arial" w:hAnsi="Arial"/>
          <w:sz w:val="18"/>
          <w:szCs w:val="18"/>
          <w:color w:val="auto"/>
        </w:rPr>
      </w:pPr>
    </w:p>
    <w:p>
      <w:pPr>
        <w:ind w:left="920" w:right="120" w:firstLine="421"/>
        <w:spacing w:after="0" w:line="273" w:lineRule="auto"/>
        <w:tabs>
          <w:tab w:leader="none" w:pos="1655" w:val="left"/>
        </w:tabs>
        <w:numPr>
          <w:ilvl w:val="1"/>
          <w:numId w:val="191"/>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L/C Borrowing, or (subject to clause (i) of the final proviso to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any fees or other amounts payable hereunder or under any other Loan Document without the written consent of each Lender entitled to receive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only the consent of the Required Lenders shall be necessary (A) to amend the definition of “Default Rate” or to waive any obligation of the Borrower to pay interest or Letter of Credit Fees at the Default Rate or (B) to amend any financial covenant hereunder (or any defined term used therein) even if the effect of such amendment would be to reduce the rate of interest on any Loan or L/C Borrowing or to reduce any fee payable hereunder;</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274" w:right="279" w:bottom="1440" w:gutter="0" w:footer="0" w:header="0"/>
        </w:sectPr>
      </w:pPr>
    </w:p>
    <w:bookmarkStart w:id="212" w:name="page213"/>
    <w:bookmarkEnd w:id="212"/>
    <w:p>
      <w:pPr>
        <w:ind w:left="920" w:right="60" w:firstLine="421"/>
        <w:spacing w:after="0" w:line="277" w:lineRule="auto"/>
        <w:tabs>
          <w:tab w:leader="none" w:pos="1645" w:val="left"/>
        </w:tabs>
        <w:numPr>
          <w:ilvl w:val="1"/>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change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in a manner that would alter the pro rata sharing of payments required thereby without the written consent of each Lender directly affected thereby;</w:t>
      </w:r>
    </w:p>
    <w:p>
      <w:pPr>
        <w:spacing w:after="0" w:line="62" w:lineRule="exact"/>
        <w:rPr>
          <w:rFonts w:ascii="Arial" w:cs="Arial" w:eastAsia="Arial" w:hAnsi="Arial"/>
          <w:sz w:val="18"/>
          <w:szCs w:val="18"/>
          <w:color w:val="auto"/>
        </w:rPr>
      </w:pPr>
    </w:p>
    <w:p>
      <w:pPr>
        <w:ind w:left="920" w:right="120" w:firstLine="421"/>
        <w:spacing w:after="0" w:line="277" w:lineRule="auto"/>
        <w:tabs>
          <w:tab w:leader="none" w:pos="159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change any provision of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or the definition of “Required Lenders” without the written consent of each Lender directly affected thereby;</w:t>
      </w:r>
    </w:p>
    <w:p>
      <w:pPr>
        <w:spacing w:after="0" w:line="62" w:lineRule="exact"/>
        <w:rPr>
          <w:rFonts w:ascii="Arial" w:cs="Arial" w:eastAsia="Arial" w:hAnsi="Arial"/>
          <w:sz w:val="18"/>
          <w:szCs w:val="18"/>
          <w:color w:val="auto"/>
        </w:rPr>
      </w:pPr>
    </w:p>
    <w:p>
      <w:pPr>
        <w:ind w:left="920" w:right="460" w:firstLine="421"/>
        <w:spacing w:after="0" w:line="277" w:lineRule="auto"/>
        <w:tabs>
          <w:tab w:leader="none" w:pos="164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without the written consent of each Lender whose Obligations are secured by such Collateral;</w:t>
      </w:r>
    </w:p>
    <w:p>
      <w:pPr>
        <w:spacing w:after="0" w:line="62" w:lineRule="exact"/>
        <w:rPr>
          <w:rFonts w:ascii="Arial" w:cs="Arial" w:eastAsia="Arial" w:hAnsi="Arial"/>
          <w:sz w:val="18"/>
          <w:szCs w:val="18"/>
          <w:color w:val="auto"/>
        </w:rPr>
      </w:pPr>
    </w:p>
    <w:p>
      <w:pPr>
        <w:ind w:left="920" w:right="120" w:firstLine="421"/>
        <w:spacing w:after="0" w:line="259" w:lineRule="auto"/>
        <w:tabs>
          <w:tab w:leader="none" w:pos="1695" w:val="left"/>
        </w:tabs>
        <w:numPr>
          <w:ilvl w:val="1"/>
          <w:numId w:val="192"/>
        </w:numPr>
        <w:rPr>
          <w:rFonts w:ascii="Arial" w:cs="Arial" w:eastAsia="Arial" w:hAnsi="Arial"/>
          <w:sz w:val="18"/>
          <w:szCs w:val="18"/>
          <w:color w:val="auto"/>
        </w:rPr>
      </w:pPr>
      <w:r>
        <w:rPr>
          <w:rFonts w:ascii="Arial" w:cs="Arial" w:eastAsia="Arial" w:hAnsi="Arial"/>
          <w:sz w:val="18"/>
          <w:szCs w:val="18"/>
          <w:color w:val="auto"/>
        </w:rPr>
        <w:t xml:space="preserve">release the Borrower without the consent of each Lender, or, except in connection with a transaction permitted under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all or substantially all of the value of the Guaranty without the written consent of each Lender whose Obligations are guaranteed thereby, except to the extent such release is permitted pursuant to </w:t>
      </w: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(in which case such release may be made by the Administrative Agent acting alone); or</w:t>
      </w:r>
    </w:p>
    <w:p>
      <w:pPr>
        <w:spacing w:after="0" w:line="78" w:lineRule="exact"/>
        <w:rPr>
          <w:rFonts w:ascii="Arial" w:cs="Arial" w:eastAsia="Arial" w:hAnsi="Arial"/>
          <w:sz w:val="18"/>
          <w:szCs w:val="18"/>
          <w:color w:val="auto"/>
        </w:rPr>
      </w:pPr>
    </w:p>
    <w:p>
      <w:pPr>
        <w:ind w:left="460" w:right="200" w:firstLine="443"/>
        <w:spacing w:after="0" w:line="259" w:lineRule="auto"/>
        <w:tabs>
          <w:tab w:leader="none" w:pos="115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prior to the termination of the Revolving Commitments, unless also signed by Required Revolving Lenders, no such amendment, waiver or consent shall, (i) waive any Default for purposes of </w:t>
      </w:r>
      <w:r>
        <w:rPr>
          <w:rFonts w:ascii="Arial" w:cs="Arial" w:eastAsia="Arial" w:hAnsi="Arial"/>
          <w:sz w:val="18"/>
          <w:szCs w:val="18"/>
          <w:u w:val="single" w:color="auto"/>
          <w:color w:val="auto"/>
        </w:rPr>
        <w:t>Section 5.02(b)</w:t>
      </w:r>
      <w:r>
        <w:rPr>
          <w:rFonts w:ascii="Arial" w:cs="Arial" w:eastAsia="Arial" w:hAnsi="Arial"/>
          <w:sz w:val="18"/>
          <w:szCs w:val="18"/>
          <w:color w:val="auto"/>
        </w:rPr>
        <w:t xml:space="preserve">, (ii) amend, change, waive, discharge or terminate </w:t>
      </w:r>
      <w:r>
        <w:rPr>
          <w:rFonts w:ascii="Arial" w:cs="Arial" w:eastAsia="Arial" w:hAnsi="Arial"/>
          <w:sz w:val="18"/>
          <w:szCs w:val="18"/>
          <w:u w:val="single" w:color="auto"/>
          <w:color w:val="auto"/>
        </w:rPr>
        <w:t>Sections 5.02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9.01</w:t>
      </w:r>
      <w:r>
        <w:rPr>
          <w:rFonts w:ascii="Arial" w:cs="Arial" w:eastAsia="Arial" w:hAnsi="Arial"/>
          <w:sz w:val="18"/>
          <w:szCs w:val="18"/>
          <w:color w:val="auto"/>
        </w:rPr>
        <w:t xml:space="preserve"> in a manner adverse to such Lenders or (iii) amend, change, waive, discharge or terminate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(or any defined term used therein) or this </w:t>
      </w:r>
      <w:r>
        <w:rPr>
          <w:rFonts w:ascii="Arial" w:cs="Arial" w:eastAsia="Arial" w:hAnsi="Arial"/>
          <w:sz w:val="18"/>
          <w:szCs w:val="18"/>
          <w:u w:val="single" w:color="auto"/>
          <w:color w:val="auto"/>
        </w:rPr>
        <w:t>Section 11.01(b)</w:t>
      </w:r>
      <w:r>
        <w:rPr>
          <w:rFonts w:ascii="Arial" w:cs="Arial" w:eastAsia="Arial" w:hAnsi="Arial"/>
          <w:sz w:val="18"/>
          <w:szCs w:val="18"/>
          <w:color w:val="auto"/>
        </w:rPr>
        <w:t>; or</w:t>
      </w:r>
    </w:p>
    <w:p>
      <w:pPr>
        <w:spacing w:after="0" w:line="78" w:lineRule="exact"/>
        <w:rPr>
          <w:rFonts w:ascii="Arial" w:cs="Arial" w:eastAsia="Arial" w:hAnsi="Arial"/>
          <w:sz w:val="18"/>
          <w:szCs w:val="18"/>
          <w:color w:val="auto"/>
        </w:rPr>
      </w:pPr>
    </w:p>
    <w:p>
      <w:pPr>
        <w:ind w:left="460" w:right="60" w:firstLine="443"/>
        <w:spacing w:after="0" w:line="277" w:lineRule="auto"/>
        <w:tabs>
          <w:tab w:leader="none" w:pos="114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unless also signed by the L/C Issuer, no amendment, waiver or consent shall affect the rights or duties of the L/C Issuer under this Agreement or any Issuer Document relating to any Letter of Credit issued or to be issued by it;</w:t>
      </w:r>
    </w:p>
    <w:p>
      <w:pPr>
        <w:spacing w:after="0" w:line="62" w:lineRule="exact"/>
        <w:rPr>
          <w:rFonts w:ascii="Arial" w:cs="Arial" w:eastAsia="Arial" w:hAnsi="Arial"/>
          <w:sz w:val="18"/>
          <w:szCs w:val="18"/>
          <w:color w:val="auto"/>
        </w:rPr>
      </w:pPr>
    </w:p>
    <w:p>
      <w:pPr>
        <w:ind w:left="460" w:right="380" w:firstLine="443"/>
        <w:spacing w:after="0" w:line="277" w:lineRule="auto"/>
        <w:tabs>
          <w:tab w:leader="none" w:pos="115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unless also signed by the Swing Line Lender, no amendment, waiver or consent shall affect the rights or duties of the Swing Line Lender under this Agreement; and</w:t>
      </w:r>
    </w:p>
    <w:p>
      <w:pPr>
        <w:spacing w:after="0" w:line="62" w:lineRule="exact"/>
        <w:rPr>
          <w:rFonts w:ascii="Arial" w:cs="Arial" w:eastAsia="Arial" w:hAnsi="Arial"/>
          <w:sz w:val="18"/>
          <w:szCs w:val="18"/>
          <w:color w:val="auto"/>
        </w:rPr>
      </w:pPr>
    </w:p>
    <w:p>
      <w:pPr>
        <w:ind w:left="460" w:right="40" w:firstLine="443"/>
        <w:spacing w:after="0" w:line="277" w:lineRule="auto"/>
        <w:tabs>
          <w:tab w:leader="none" w:pos="114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unless also signed by the Administrative Agent, no amendment, waiver or consent shall affect the rights or duties of the Administrative Agent under this Agreement or any other Loan Document;</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notwithstanding anything to the contrary herein, (i) the Fee Letter may be amended, or rights or privileges thereunder waived, in a writing executed only by the parties thereto, (ii) no Defaulting Lender shall have any right to approve or disapprove any amendment, waiver or consent hereunder (any amendment, waiver or consent which by its terms requires the consent of all Lenders or each affected Lender may be effected with the consent of the applicable Lenders other than Defaulting Lenders), except that (A) the Commitment of such Lender may not be increased or extended without the consent of such Lender and (B) any waiver, amendment or modification requiring the consent of all Lenders or each affected Lender that by its terms affects any Defaulting Lender disproportionately adversely relative to other affected Lenders shall require the consent of such Defaulting Lender, (iii)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and (iv) the Required Lenders shall determine whether or not to allow a Loan Party to use cash collateral in the context of a bankruptcy or insolvency proceeding and such determination shall be binding on all of the Lenders.</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Notwithstanding any provision herein to the contrary, this Agreement may be amended with the written consent of the Required Lenders, the Administrative Agent and the Loan Parties (i) to add one or more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274" w:right="259" w:bottom="1440" w:gutter="0" w:footer="0" w:header="0"/>
        </w:sectPr>
      </w:pPr>
    </w:p>
    <w:bookmarkStart w:id="213" w:name="page214"/>
    <w:bookmarkEnd w:id="213"/>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w:t>
      </w:r>
    </w:p>
    <w:p>
      <w:pPr>
        <w:ind w:right="460" w:firstLine="8"/>
        <w:spacing w:after="0" w:line="255" w:lineRule="auto"/>
        <w:tabs>
          <w:tab w:leader="none" w:pos="26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11.02 </w:t>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225" w:lineRule="exact"/>
        <w:rPr>
          <w:sz w:val="20"/>
          <w:szCs w:val="20"/>
          <w:color w:val="auto"/>
        </w:rPr>
      </w:pPr>
    </w:p>
    <w:p>
      <w:pPr>
        <w:ind w:right="60" w:firstLine="464"/>
        <w:spacing w:after="0" w:line="259" w:lineRule="auto"/>
        <w:tabs>
          <w:tab w:leader="none" w:pos="701" w:val="left"/>
        </w:tabs>
        <w:numPr>
          <w:ilvl w:val="0"/>
          <w:numId w:val="195"/>
        </w:numPr>
        <w:rPr>
          <w:rFonts w:ascii="Arial" w:cs="Arial" w:eastAsia="Arial" w:hAnsi="Arial"/>
          <w:sz w:val="18"/>
          <w:szCs w:val="18"/>
          <w:color w:val="auto"/>
        </w:rPr>
      </w:pPr>
      <w:r>
        <w:rPr>
          <w:rFonts w:ascii="Arial" w:cs="Arial" w:eastAsia="Arial" w:hAnsi="Arial"/>
          <w:sz w:val="18"/>
          <w:szCs w:val="18"/>
          <w:u w:val="single" w:color="auto"/>
          <w:color w:val="auto"/>
        </w:rPr>
        <w:t>Notices Generally</w:t>
      </w:r>
      <w:r>
        <w:rPr>
          <w:rFonts w:ascii="Arial" w:cs="Arial" w:eastAsia="Arial" w:hAnsi="Arial"/>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78" w:lineRule="exact"/>
        <w:rPr>
          <w:rFonts w:ascii="Arial" w:cs="Arial" w:eastAsia="Arial" w:hAnsi="Arial"/>
          <w:sz w:val="18"/>
          <w:szCs w:val="18"/>
          <w:color w:val="auto"/>
        </w:rPr>
      </w:pPr>
    </w:p>
    <w:p>
      <w:pPr>
        <w:ind w:left="460" w:right="360" w:firstLine="443"/>
        <w:spacing w:after="0" w:line="277" w:lineRule="auto"/>
        <w:tabs>
          <w:tab w:leader="none" w:pos="1113"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if to any Loan Party, the Administrative Agent, the L/C Issuer or the Swing Line Lender, to the address, facsimile number, electronic mail address or telephone number specified for such Person on </w:t>
      </w:r>
      <w:r>
        <w:rPr>
          <w:rFonts w:ascii="Arial" w:cs="Arial" w:eastAsia="Arial" w:hAnsi="Arial"/>
          <w:sz w:val="18"/>
          <w:szCs w:val="18"/>
          <w:u w:val="single" w:color="auto"/>
          <w:color w:val="auto"/>
        </w:rPr>
        <w:t>Schedule 11.02</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60" w:right="380" w:firstLine="443"/>
        <w:spacing w:after="0" w:line="286" w:lineRule="auto"/>
        <w:tabs>
          <w:tab w:leader="none" w:pos="1163" w:val="left"/>
        </w:tabs>
        <w:numPr>
          <w:ilvl w:val="1"/>
          <w:numId w:val="195"/>
        </w:numPr>
        <w:rPr>
          <w:rFonts w:ascii="Arial" w:cs="Arial" w:eastAsia="Arial" w:hAnsi="Arial"/>
          <w:sz w:val="17"/>
          <w:szCs w:val="17"/>
          <w:color w:val="auto"/>
        </w:rPr>
      </w:pPr>
      <w:r>
        <w:rPr>
          <w:rFonts w:ascii="Arial" w:cs="Arial" w:eastAsia="Arial" w:hAnsi="Arial"/>
          <w:sz w:val="17"/>
          <w:szCs w:val="17"/>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66"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88" w:lineRule="exact"/>
        <w:rPr>
          <w:sz w:val="20"/>
          <w:szCs w:val="20"/>
          <w:color w:val="auto"/>
        </w:rPr>
      </w:pPr>
    </w:p>
    <w:p>
      <w:pPr>
        <w:ind w:firstLine="464"/>
        <w:spacing w:after="0" w:line="293" w:lineRule="auto"/>
        <w:tabs>
          <w:tab w:leader="none" w:pos="711"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 xml:space="preserve">. Notices and other communications to the Lenders and the L/C Issuer hereunder may be delivered or furnished by electronic communication (including e-mail and Internet or intranet websites)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or the L/C Issuer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Borrower may each,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274" w:right="259" w:bottom="1440" w:gutter="0" w:footer="0" w:header="0"/>
        </w:sectPr>
      </w:pPr>
    </w:p>
    <w:bookmarkStart w:id="214" w:name="page215"/>
    <w:bookmarkEnd w:id="214"/>
    <w:p>
      <w:pPr>
        <w:ind w:right="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described in the foregoing clause (i) of notification that such notice or communication is available and identifying the website address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both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66" w:lineRule="exact"/>
        <w:rPr>
          <w:sz w:val="20"/>
          <w:szCs w:val="20"/>
          <w:color w:val="auto"/>
        </w:rPr>
      </w:pPr>
    </w:p>
    <w:p>
      <w:pPr>
        <w:ind w:right="40" w:firstLine="464"/>
        <w:spacing w:after="0" w:line="253" w:lineRule="auto"/>
        <w:tabs>
          <w:tab w:leader="none" w:pos="701" w:val="left"/>
        </w:tabs>
        <w:numPr>
          <w:ilvl w:val="1"/>
          <w:numId w:val="197"/>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any Loan Party, any Lender, the L/C Issuer or any other Person for losses, claims, damages, liabilities or expenses of any kind (whether in tort, contract or otherwise) arising out of any Loan Party’s or the Administrative Agent’s transmission of Borrower Materials through the Internet, except, as to any Agent Party, to the extent that such losses, claims, damages, liabilities or expenses are determined by a court of competent jurisdiction by a final and non-appealable judgment to have resulted from the gross negligence or willful misconduct of such Agent Party.</w:t>
      </w:r>
    </w:p>
    <w:p>
      <w:pPr>
        <w:spacing w:after="0" w:line="192" w:lineRule="exact"/>
        <w:rPr>
          <w:rFonts w:ascii="Arial" w:cs="Arial" w:eastAsia="Arial" w:hAnsi="Arial"/>
          <w:sz w:val="18"/>
          <w:szCs w:val="18"/>
          <w:color w:val="auto"/>
        </w:rPr>
      </w:pPr>
    </w:p>
    <w:p>
      <w:pPr>
        <w:ind w:firstLine="464"/>
        <w:spacing w:after="0" w:line="285" w:lineRule="auto"/>
        <w:tabs>
          <w:tab w:leader="none" w:pos="711" w:val="left"/>
        </w:tabs>
        <w:numPr>
          <w:ilvl w:val="1"/>
          <w:numId w:val="197"/>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Loan Party,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each Loan Party,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w:t>
      </w:r>
    </w:p>
    <w:p>
      <w:pPr>
        <w:spacing w:after="0" w:line="2" w:lineRule="exact"/>
        <w:rPr>
          <w:rFonts w:ascii="Arial" w:cs="Arial" w:eastAsia="Arial" w:hAnsi="Arial"/>
          <w:sz w:val="16"/>
          <w:szCs w:val="16"/>
          <w:color w:val="auto"/>
        </w:rPr>
      </w:pPr>
    </w:p>
    <w:p>
      <w:pPr>
        <w:ind w:right="140" w:firstLine="8"/>
        <w:spacing w:after="0" w:line="292" w:lineRule="auto"/>
        <w:tabs>
          <w:tab w:leader="none" w:pos="26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62" w:lineRule="exact"/>
        <w:rPr>
          <w:rFonts w:ascii="Arial" w:cs="Arial" w:eastAsia="Arial" w:hAnsi="Arial"/>
          <w:sz w:val="16"/>
          <w:szCs w:val="16"/>
          <w:color w:val="auto"/>
        </w:rPr>
      </w:pPr>
    </w:p>
    <w:p>
      <w:pPr>
        <w:ind w:right="40" w:firstLine="464"/>
        <w:spacing w:after="0" w:line="254" w:lineRule="auto"/>
        <w:tabs>
          <w:tab w:leader="none" w:pos="701" w:val="left"/>
        </w:tabs>
        <w:numPr>
          <w:ilvl w:val="1"/>
          <w:numId w:val="198"/>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 and Lenders</w:t>
      </w:r>
      <w:r>
        <w:rPr>
          <w:rFonts w:ascii="Arial" w:cs="Arial" w:eastAsia="Arial" w:hAnsi="Arial"/>
          <w:sz w:val="18"/>
          <w:szCs w:val="18"/>
          <w:color w:val="auto"/>
        </w:rPr>
        <w:t>. The Administrative Agent, the L/C Issuer and the Lenders shall be entitled to rely in good faith and act upon any notices (including telephonic or electronic Loan Notices, Letter of Credit Applications, Notice of Loan Prepayment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74"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11.03 </w:t>
      </w:r>
      <w:r>
        <w:rPr>
          <w:rFonts w:ascii="Arial" w:cs="Arial" w:eastAsia="Arial" w:hAnsi="Arial"/>
          <w:sz w:val="18"/>
          <w:szCs w:val="18"/>
          <w:u w:val="single" w:color="auto"/>
          <w:color w:val="auto"/>
        </w:rPr>
        <w:t>No Waiver; Cumulative Remedies; Enforcement</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for the benefit of all the Lenders and the L/C Issuer;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6"/>
          <w:szCs w:val="16"/>
          <w:u w:val="single" w:color="auto"/>
          <w:color w:val="auto"/>
        </w:rPr>
        <w:t>Section 11.08</w:t>
      </w:r>
      <w:r>
        <w:rPr>
          <w:rFonts w:ascii="Arial" w:cs="Arial" w:eastAsia="Arial" w:hAnsi="Arial"/>
          <w:sz w:val="16"/>
          <w:szCs w:val="16"/>
          <w:color w:val="auto"/>
        </w:rPr>
        <w:t xml:space="preserve"> (subject to the terms of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and (ii) in addition to the matters set forth in clauses (b), (c) and (d) of the preceding proviso and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any Lender may, with the consent of the Required Lenders, enforce any rights and remedies available to it and as authorized by the Required Lenders.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11.04 </w:t>
      </w:r>
      <w:r>
        <w:rPr>
          <w:rFonts w:ascii="Arial" w:cs="Arial" w:eastAsia="Arial" w:hAnsi="Arial"/>
          <w:sz w:val="18"/>
          <w:szCs w:val="18"/>
          <w:u w:val="single" w:color="auto"/>
          <w:color w:val="auto"/>
        </w:rPr>
        <w:t>Expenses; Indemnity; Damage Waiver</w:t>
      </w:r>
      <w:r>
        <w:rPr>
          <w:rFonts w:ascii="Arial" w:cs="Arial" w:eastAsia="Arial" w:hAnsi="Arial"/>
          <w:sz w:val="18"/>
          <w:szCs w:val="18"/>
          <w:color w:val="auto"/>
        </w:rPr>
        <w:t>.</w:t>
      </w:r>
    </w:p>
    <w:p>
      <w:pPr>
        <w:spacing w:after="0" w:line="225" w:lineRule="exact"/>
        <w:rPr>
          <w:sz w:val="20"/>
          <w:szCs w:val="20"/>
          <w:color w:val="auto"/>
        </w:rPr>
      </w:pPr>
    </w:p>
    <w:p>
      <w:pPr>
        <w:ind w:right="40" w:firstLine="464"/>
        <w:spacing w:after="0" w:line="288" w:lineRule="auto"/>
        <w:tabs>
          <w:tab w:leader="none" w:pos="701" w:val="left"/>
        </w:tabs>
        <w:numPr>
          <w:ilvl w:val="0"/>
          <w:numId w:val="199"/>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Loan Parties shall pay (i) all reasonable documented out-of-pocket expenses incurred by the Administrative Agent and its Affiliates (including the reasonable documented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documented out-of-pocket expenses incurred by the L/C Issuer in connection with the issuance, amendment, renewal or extension of any Letter of Credit or any demand for payment thereunder and (iii) all reasonable documented out-of-pocket expenses incurred by the Administrative Agent, any Lender or the L/C Issuer (including the reasonable documented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274" w:right="259" w:bottom="1440" w:gutter="0" w:footer="0" w:header="0"/>
        </w:sectPr>
      </w:pPr>
    </w:p>
    <w:bookmarkStart w:id="216" w:name="page217"/>
    <w:bookmarkEnd w:id="216"/>
    <w:p>
      <w:pPr>
        <w:ind w:right="20" w:firstLine="464"/>
        <w:spacing w:after="0" w:line="284" w:lineRule="auto"/>
        <w:tabs>
          <w:tab w:leader="none" w:pos="711" w:val="left"/>
        </w:tabs>
        <w:numPr>
          <w:ilvl w:val="1"/>
          <w:numId w:val="2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Indemnification by the Loan Parties</w:t>
      </w:r>
      <w:r>
        <w:rPr>
          <w:rFonts w:ascii="Arial" w:cs="Arial" w:eastAsia="Arial" w:hAnsi="Arial"/>
          <w:sz w:val="16"/>
          <w:szCs w:val="16"/>
          <w:color w:val="auto"/>
        </w:rPr>
        <w:t>. The Loan Parties shall indemnify the Administrative Agent (and any sub-agent thereof), each Lender and the L/C Issuer, and each Related Party of any of the foregoing Persons (each such Person being called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against, and hold each Indemnitee harmless from, any and all losses, claims, damages, liabilities and related expenses (including the reasonable documented fees, charges and disbursements of any counsel for any Indemnitee) incurred by any Indemnitee or asserted against any Indemnitee by any Person (including any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6"/>
          <w:szCs w:val="16"/>
          <w:u w:val="single" w:color="auto"/>
          <w:color w:val="auto"/>
        </w:rPr>
        <w:t>Section 3.01</w:t>
      </w:r>
      <w:r>
        <w:rPr>
          <w:rFonts w:ascii="Arial" w:cs="Arial" w:eastAsia="Arial" w:hAnsi="Arial"/>
          <w:sz w:val="16"/>
          <w:szCs w:val="16"/>
          <w:color w:val="auto"/>
        </w:rPr>
        <w:t>),</w:t>
      </w:r>
    </w:p>
    <w:p>
      <w:pPr>
        <w:spacing w:after="0" w:line="1" w:lineRule="exact"/>
        <w:rPr>
          <w:rFonts w:ascii="Arial" w:cs="Arial" w:eastAsia="Arial" w:hAnsi="Arial"/>
          <w:sz w:val="16"/>
          <w:szCs w:val="16"/>
          <w:color w:val="auto"/>
        </w:rPr>
      </w:pPr>
    </w:p>
    <w:p>
      <w:pPr>
        <w:ind w:right="20" w:firstLine="8"/>
        <w:spacing w:after="0" w:line="281" w:lineRule="auto"/>
        <w:tabs>
          <w:tab w:leader="none" w:pos="26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Subsidiary, or any Environmental Liability related in any way to the Borrower or any Subsidiary, or (iv) any actual or prospective claim, litigation, investigation or proceeding relating to any of the foregoing, whether based on contract, tort or any other theory, whether brought by a third party or by any Loan Party,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related expenses (including fees, charges and disbursements of counsel for such Indemnitee) (x) are determined by a court of competent jurisdiction by final and nonappealable judgment to have resulted from the gross negligence or willful misconduct of such Indemnitee, (y) result from a claim brought by any Loan Party against an Indemnitee for breach in bad faith of such Indemnitee’s obligations hereunder or under any other Loan Document, if such Loan Party has obtained a final and nonappealable judgment in its favor on such claim as determined by a court of competent jurisdiction or (z) arise from disputes between or among Indemnitees that do not involve an act or omission by (1) the Borrower, any Subsidiary or any Affiliate of the Borrower or (2) the Administrative Agent or the Arranger acting in its capacity as such. Without limiting the provisions of </w:t>
      </w:r>
      <w:r>
        <w:rPr>
          <w:rFonts w:ascii="Arial" w:cs="Arial" w:eastAsia="Arial" w:hAnsi="Arial"/>
          <w:sz w:val="16"/>
          <w:szCs w:val="16"/>
          <w:u w:val="single" w:color="auto"/>
          <w:color w:val="auto"/>
        </w:rPr>
        <w:t>Section 3.01(c)</w:t>
      </w:r>
      <w:r>
        <w:rPr>
          <w:rFonts w:ascii="Arial" w:cs="Arial" w:eastAsia="Arial" w:hAnsi="Arial"/>
          <w:sz w:val="16"/>
          <w:szCs w:val="16"/>
          <w:color w:val="auto"/>
        </w:rPr>
        <w:t>, this</w:t>
      </w:r>
    </w:p>
    <w:p>
      <w:pPr>
        <w:spacing w:after="0" w:line="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u w:val="single" w:color="auto"/>
          <w:color w:val="auto"/>
        </w:rPr>
        <w:t>Section 11.04(b)</w:t>
      </w:r>
      <w:r>
        <w:rPr>
          <w:rFonts w:ascii="Arial" w:cs="Arial" w:eastAsia="Arial" w:hAnsi="Arial"/>
          <w:sz w:val="16"/>
          <w:szCs w:val="16"/>
          <w:color w:val="auto"/>
        </w:rPr>
        <w:t xml:space="preserve"> shall not apply with respect to Taxes other than any Taxes that represent losses, claims, damages, etc. arising from any non-Tax claim.</w:t>
      </w:r>
    </w:p>
    <w:p>
      <w:pPr>
        <w:spacing w:after="0" w:line="233" w:lineRule="exact"/>
        <w:rPr>
          <w:rFonts w:ascii="Arial" w:cs="Arial" w:eastAsia="Arial" w:hAnsi="Arial"/>
          <w:sz w:val="16"/>
          <w:szCs w:val="16"/>
          <w:color w:val="auto"/>
        </w:rPr>
      </w:pPr>
    </w:p>
    <w:p>
      <w:pPr>
        <w:ind w:firstLine="464"/>
        <w:spacing w:after="0" w:line="269" w:lineRule="auto"/>
        <w:tabs>
          <w:tab w:leader="none" w:pos="701" w:val="left"/>
        </w:tabs>
        <w:numPr>
          <w:ilvl w:val="1"/>
          <w:numId w:val="201"/>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the Borrower for any reason fails to indefeasibly pay any amount required under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are subject to the provisions of </w:t>
      </w:r>
      <w:r>
        <w:rPr>
          <w:rFonts w:ascii="Arial" w:cs="Arial" w:eastAsia="Arial" w:hAnsi="Arial"/>
          <w:sz w:val="17"/>
          <w:szCs w:val="17"/>
          <w:u w:val="single" w:color="auto"/>
          <w:color w:val="auto"/>
        </w:rPr>
        <w:t>Section 2.12(d)</w:t>
      </w:r>
      <w:r>
        <w:rPr>
          <w:rFonts w:ascii="Arial" w:cs="Arial" w:eastAsia="Arial" w:hAnsi="Arial"/>
          <w:sz w:val="17"/>
          <w:szCs w:val="17"/>
          <w:color w:val="auto"/>
        </w:rPr>
        <w:t>.</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274" w:right="279" w:bottom="1440" w:gutter="0" w:footer="0" w:header="0"/>
        </w:sectPr>
      </w:pPr>
    </w:p>
    <w:bookmarkStart w:id="217" w:name="page218"/>
    <w:bookmarkEnd w:id="217"/>
    <w:p>
      <w:pPr>
        <w:ind w:right="60" w:firstLine="464"/>
        <w:spacing w:after="0" w:line="290" w:lineRule="auto"/>
        <w:tabs>
          <w:tab w:leader="none" w:pos="711"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 of Consequential Damages, Etc.</w:t>
      </w:r>
      <w:r>
        <w:rPr>
          <w:rFonts w:ascii="Arial" w:cs="Arial" w:eastAsia="Arial" w:hAnsi="Arial"/>
          <w:sz w:val="16"/>
          <w:szCs w:val="16"/>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66" w:lineRule="exact"/>
        <w:rPr>
          <w:rFonts w:ascii="Arial" w:cs="Arial" w:eastAsia="Arial" w:hAnsi="Arial"/>
          <w:sz w:val="16"/>
          <w:szCs w:val="16"/>
          <w:color w:val="auto"/>
        </w:rPr>
      </w:pPr>
    </w:p>
    <w:p>
      <w:pPr>
        <w:ind w:left="700" w:hanging="236"/>
        <w:spacing w:after="0"/>
        <w:tabs>
          <w:tab w:leader="none" w:pos="70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225" w:lineRule="exact"/>
        <w:rPr>
          <w:rFonts w:ascii="Arial" w:cs="Arial" w:eastAsia="Arial" w:hAnsi="Arial"/>
          <w:sz w:val="18"/>
          <w:szCs w:val="18"/>
          <w:color w:val="auto"/>
        </w:rPr>
      </w:pPr>
    </w:p>
    <w:p>
      <w:pPr>
        <w:ind w:right="40" w:firstLine="464"/>
        <w:spacing w:after="0" w:line="264" w:lineRule="auto"/>
        <w:tabs>
          <w:tab w:leader="none" w:pos="681"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provisions of </w:t>
      </w:r>
      <w:r>
        <w:rPr>
          <w:rFonts w:ascii="Arial" w:cs="Arial" w:eastAsia="Arial" w:hAnsi="Arial"/>
          <w:sz w:val="18"/>
          <w:szCs w:val="18"/>
          <w:u w:val="single" w:color="auto"/>
          <w:color w:val="auto"/>
        </w:rPr>
        <w:t>Section 11.02(e)</w:t>
      </w:r>
      <w:r>
        <w:rPr>
          <w:rFonts w:ascii="Arial" w:cs="Arial" w:eastAsia="Arial" w:hAnsi="Arial"/>
          <w:sz w:val="18"/>
          <w:szCs w:val="18"/>
          <w:color w:val="auto"/>
        </w:rPr>
        <w:t xml:space="preserve"> shall survive the resignation of the Administrative Agent, the L/C Issuer and the Swing Line Lender, the replacement of any Lender, the termination of the Aggregate Revolving Commitments and the repayment, satisfaction or discharge of all the other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11.05 </w:t>
      </w:r>
      <w:r>
        <w:rPr>
          <w:rFonts w:ascii="Arial" w:cs="Arial" w:eastAsia="Arial" w:hAnsi="Arial"/>
          <w:sz w:val="18"/>
          <w:szCs w:val="18"/>
          <w:u w:val="single" w:color="auto"/>
          <w:color w:val="auto"/>
        </w:rPr>
        <w:t>Payments Set Aside</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91" w:lineRule="auto"/>
        <w:tabs>
          <w:tab w:leader="none" w:pos="701"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00"/>
          </w:cols>
          <w:pgMar w:left="240" w:top="274" w:right="259" w:bottom="1440" w:gutter="0" w:footer="0" w:header="0"/>
        </w:sectPr>
      </w:pPr>
    </w:p>
    <w:bookmarkStart w:id="218" w:name="page219"/>
    <w:bookmarkEnd w:id="218"/>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81" w:lineRule="exact"/>
        <w:rPr>
          <w:sz w:val="20"/>
          <w:szCs w:val="20"/>
          <w:color w:val="auto"/>
        </w:rPr>
      </w:pPr>
    </w:p>
    <w:p>
      <w:pPr>
        <w:ind w:right="240" w:firstLine="464"/>
        <w:spacing w:after="0" w:line="259" w:lineRule="auto"/>
        <w:tabs>
          <w:tab w:leader="none" w:pos="711"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credit facility) any such assignment shall be subject to the following conditions:</w:t>
      </w:r>
    </w:p>
    <w:p>
      <w:pPr>
        <w:spacing w:after="0" w:line="78" w:lineRule="exact"/>
        <w:rPr>
          <w:rFonts w:ascii="Arial" w:cs="Arial" w:eastAsia="Arial" w:hAnsi="Arial"/>
          <w:sz w:val="18"/>
          <w:szCs w:val="18"/>
          <w:color w:val="auto"/>
        </w:rPr>
      </w:pPr>
    </w:p>
    <w:p>
      <w:pPr>
        <w:ind w:left="1120" w:hanging="217"/>
        <w:spacing w:after="0"/>
        <w:tabs>
          <w:tab w:leader="none" w:pos="1120"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20" w:right="180" w:firstLine="421"/>
        <w:spacing w:after="0" w:line="302" w:lineRule="auto"/>
        <w:tabs>
          <w:tab w:leader="none" w:pos="1635" w:val="left"/>
        </w:tabs>
        <w:numPr>
          <w:ilvl w:val="2"/>
          <w:numId w:val="204"/>
        </w:numPr>
        <w:rPr>
          <w:rFonts w:ascii="Arial" w:cs="Arial" w:eastAsia="Arial" w:hAnsi="Arial"/>
          <w:sz w:val="16"/>
          <w:szCs w:val="16"/>
          <w:color w:val="auto"/>
        </w:rPr>
      </w:pPr>
      <w:r>
        <w:rPr>
          <w:rFonts w:ascii="Arial" w:cs="Arial" w:eastAsia="Arial" w:hAnsi="Arial"/>
          <w:sz w:val="16"/>
          <w:szCs w:val="16"/>
          <w:color w:val="auto"/>
        </w:rPr>
        <w:t xml:space="preserve">in the case of an assignment of the entire remaining amount of the assigning Lender’s Commitment under any credit facility provided hereunder and/or the Loans at the time owing to it (in each case with respect to any credit facility provided hereunder) or contemporaneous assignments to related Approved Funds that equal at least the amount specified in </w:t>
      </w:r>
      <w:r>
        <w:rPr>
          <w:rFonts w:ascii="Arial" w:cs="Arial" w:eastAsia="Arial" w:hAnsi="Arial"/>
          <w:sz w:val="16"/>
          <w:szCs w:val="16"/>
          <w:u w:val="single" w:color="auto"/>
          <w:color w:val="auto"/>
        </w:rPr>
        <w:t>paragraph (b)(i)(B)</w:t>
      </w:r>
      <w:r>
        <w:rPr>
          <w:rFonts w:ascii="Arial" w:cs="Arial" w:eastAsia="Arial" w:hAnsi="Arial"/>
          <w:sz w:val="16"/>
          <w:szCs w:val="16"/>
          <w:color w:val="auto"/>
        </w:rPr>
        <w:t xml:space="preserve"> of this Section in the aggregate or in the case of an assignment to a Lender, an Affiliate of a Lender or an Approved Fund, no minimum amount need be assigned; and</w:t>
      </w:r>
    </w:p>
    <w:p>
      <w:pPr>
        <w:spacing w:after="0" w:line="46" w:lineRule="exact"/>
        <w:rPr>
          <w:rFonts w:ascii="Arial" w:cs="Arial" w:eastAsia="Arial" w:hAnsi="Arial"/>
          <w:sz w:val="16"/>
          <w:szCs w:val="16"/>
          <w:color w:val="auto"/>
        </w:rPr>
      </w:pPr>
    </w:p>
    <w:p>
      <w:pPr>
        <w:ind w:left="920" w:firstLine="421"/>
        <w:spacing w:after="0" w:line="291" w:lineRule="auto"/>
        <w:tabs>
          <w:tab w:leader="none" w:pos="1625" w:val="left"/>
        </w:tabs>
        <w:numPr>
          <w:ilvl w:val="2"/>
          <w:numId w:val="204"/>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subsection (b)(i)(A)</w:t>
      </w:r>
      <w:r>
        <w:rPr>
          <w:rFonts w:ascii="Arial" w:cs="Arial" w:eastAsia="Arial" w:hAnsi="Arial"/>
          <w:sz w:val="16"/>
          <w:szCs w:val="16"/>
          <w:color w:val="auto"/>
        </w:rPr>
        <w:t xml:space="preserve">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provided hereunder, or $1,000,000, in the case of any assignment in respect of the term loan facility provided hereunder, unless each of the Administrative Agent and, so long as no Event of Default has occurred and is continuing, the Borrower otherwise consents (each such consent not to be unreasonably withheld or delayed).</w:t>
      </w:r>
    </w:p>
    <w:p>
      <w:pPr>
        <w:spacing w:after="0" w:line="59" w:lineRule="exact"/>
        <w:rPr>
          <w:rFonts w:ascii="Arial" w:cs="Arial" w:eastAsia="Arial" w:hAnsi="Arial"/>
          <w:sz w:val="16"/>
          <w:szCs w:val="16"/>
          <w:color w:val="auto"/>
        </w:rPr>
      </w:pPr>
    </w:p>
    <w:p>
      <w:pPr>
        <w:ind w:left="460" w:right="40" w:firstLine="443"/>
        <w:spacing w:after="0" w:line="257" w:lineRule="auto"/>
        <w:tabs>
          <w:tab w:leader="none" w:pos="1163"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clause (ii) shall not (A) apply to the Swing Line Lender’s rights and obligations in respect of Swing Line Loans or (B) prohibit any Lender from assigning all or a portion of its rights and obligations among the revolving credit facility provided hereunder and any separate revolving credit or term loan facilities provided pursuant to the last paragraph of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on a non-pro rata basis;</w:t>
      </w:r>
    </w:p>
    <w:p>
      <w:pPr>
        <w:spacing w:after="0" w:line="80" w:lineRule="exact"/>
        <w:rPr>
          <w:rFonts w:ascii="Arial" w:cs="Arial" w:eastAsia="Arial" w:hAnsi="Arial"/>
          <w:sz w:val="18"/>
          <w:szCs w:val="18"/>
          <w:color w:val="auto"/>
        </w:rPr>
      </w:pPr>
    </w:p>
    <w:p>
      <w:pPr>
        <w:ind w:left="460" w:right="60" w:firstLine="443"/>
        <w:spacing w:after="0" w:line="277" w:lineRule="auto"/>
        <w:tabs>
          <w:tab w:leader="none" w:pos="1213" w:val="left"/>
        </w:tabs>
        <w:numPr>
          <w:ilvl w:val="1"/>
          <w:numId w:val="204"/>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subsection (b)(i)(B) of this Section and, in addition:</w:t>
      </w:r>
    </w:p>
    <w:p>
      <w:pPr>
        <w:spacing w:after="0" w:line="62" w:lineRule="exact"/>
        <w:rPr>
          <w:rFonts w:ascii="Arial" w:cs="Arial" w:eastAsia="Arial" w:hAnsi="Arial"/>
          <w:sz w:val="18"/>
          <w:szCs w:val="18"/>
          <w:color w:val="auto"/>
        </w:rPr>
      </w:pPr>
    </w:p>
    <w:p>
      <w:pPr>
        <w:ind w:left="920" w:right="60" w:firstLine="421"/>
        <w:spacing w:after="0" w:line="279" w:lineRule="auto"/>
        <w:tabs>
          <w:tab w:leader="none" w:pos="1635" w:val="left"/>
        </w:tabs>
        <w:numPr>
          <w:ilvl w:val="2"/>
          <w:numId w:val="204"/>
        </w:numPr>
        <w:rPr>
          <w:rFonts w:ascii="Arial" w:cs="Arial" w:eastAsia="Arial" w:hAnsi="Arial"/>
          <w:sz w:val="17"/>
          <w:szCs w:val="17"/>
          <w:color w:val="auto"/>
        </w:rPr>
      </w:pPr>
      <w:r>
        <w:rPr>
          <w:rFonts w:ascii="Arial" w:cs="Arial" w:eastAsia="Arial" w:hAnsi="Arial"/>
          <w:sz w:val="17"/>
          <w:szCs w:val="17"/>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deemed to have consented to any such assignment unless it shall object thereto by written notice to the Administrative Agent within five (5) Business Days after having received written notice thereof;</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4" w:right="239" w:bottom="1440" w:gutter="0" w:footer="0" w:header="0"/>
        </w:sectPr>
      </w:pPr>
    </w:p>
    <w:bookmarkStart w:id="219" w:name="page220"/>
    <w:bookmarkEnd w:id="219"/>
    <w:p>
      <w:pPr>
        <w:jc w:val="both"/>
        <w:ind w:left="920" w:right="60" w:firstLine="421"/>
        <w:spacing w:after="0" w:line="279" w:lineRule="auto"/>
        <w:tabs>
          <w:tab w:leader="none" w:pos="1625" w:val="left"/>
        </w:tabs>
        <w:numPr>
          <w:ilvl w:val="2"/>
          <w:numId w:val="2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consent of the Administrative Agent (such consent not to be unreasonably withheld or delayed) shall be required for assignments in respect of (1) any unfunded Term Loan Commitment or any Revolving Commitment if such assignment is to a Person that is not a Lender with a Commitment in respect of the applicable credit facility, an Affiliate of such Lender or an Approved Fund with respect to such Lender or (2) any Term Loan to a Person that is not a Lender, an Affiliate of a Lender or an Approved Fund; and</w:t>
      </w:r>
    </w:p>
    <w:p>
      <w:pPr>
        <w:spacing w:after="0" w:line="63" w:lineRule="exact"/>
        <w:rPr>
          <w:rFonts w:ascii="Arial" w:cs="Arial" w:eastAsia="Arial" w:hAnsi="Arial"/>
          <w:sz w:val="17"/>
          <w:szCs w:val="17"/>
          <w:color w:val="auto"/>
        </w:rPr>
      </w:pPr>
    </w:p>
    <w:p>
      <w:pPr>
        <w:ind w:left="920" w:right="120" w:firstLine="421"/>
        <w:spacing w:after="0" w:line="277" w:lineRule="auto"/>
        <w:tabs>
          <w:tab w:leader="none" w:pos="1625" w:val="left"/>
        </w:tabs>
        <w:numPr>
          <w:ilvl w:val="2"/>
          <w:numId w:val="205"/>
        </w:numPr>
        <w:rPr>
          <w:rFonts w:ascii="Arial" w:cs="Arial" w:eastAsia="Arial" w:hAnsi="Arial"/>
          <w:sz w:val="18"/>
          <w:szCs w:val="18"/>
          <w:color w:val="auto"/>
        </w:rPr>
      </w:pPr>
      <w:r>
        <w:rPr>
          <w:rFonts w:ascii="Arial" w:cs="Arial" w:eastAsia="Arial" w:hAnsi="Arial"/>
          <w:sz w:val="18"/>
          <w:szCs w:val="18"/>
          <w:color w:val="auto"/>
        </w:rPr>
        <w:t>the consent of the L/C Issuer and the Swing Line Lender shall be required for any assignment in respect of the revolving credit facility provided hereunder.</w:t>
      </w:r>
    </w:p>
    <w:p>
      <w:pPr>
        <w:spacing w:after="0" w:line="62" w:lineRule="exact"/>
        <w:rPr>
          <w:rFonts w:ascii="Arial" w:cs="Arial" w:eastAsia="Arial" w:hAnsi="Arial"/>
          <w:sz w:val="18"/>
          <w:szCs w:val="18"/>
          <w:color w:val="auto"/>
        </w:rPr>
      </w:pPr>
    </w:p>
    <w:p>
      <w:pPr>
        <w:ind w:left="460" w:right="100" w:firstLine="443"/>
        <w:spacing w:after="0" w:line="259" w:lineRule="auto"/>
        <w:tabs>
          <w:tab w:leader="none" w:pos="1203" w:val="left"/>
        </w:tabs>
        <w:numPr>
          <w:ilvl w:val="1"/>
          <w:numId w:val="206"/>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left="1160" w:hanging="257"/>
        <w:spacing w:after="0"/>
        <w:tabs>
          <w:tab w:leader="none" w:pos="1160" w:val="left"/>
        </w:tabs>
        <w:numPr>
          <w:ilvl w:val="1"/>
          <w:numId w:val="206"/>
        </w:numPr>
        <w:rPr>
          <w:rFonts w:ascii="Arial" w:cs="Arial" w:eastAsia="Arial" w:hAnsi="Arial"/>
          <w:sz w:val="16"/>
          <w:szCs w:val="16"/>
          <w:color w:val="auto"/>
        </w:rPr>
      </w:pPr>
      <w:r>
        <w:rPr>
          <w:rFonts w:ascii="Arial" w:cs="Arial" w:eastAsia="Arial" w:hAnsi="Arial"/>
          <w:sz w:val="16"/>
          <w:szCs w:val="16"/>
          <w:u w:val="single" w:color="auto"/>
          <w:color w:val="auto"/>
        </w:rPr>
        <w:t>No Assignment to Certain Persons</w:t>
      </w:r>
      <w:r>
        <w:rPr>
          <w:rFonts w:ascii="Arial" w:cs="Arial" w:eastAsia="Arial" w:hAnsi="Arial"/>
          <w:sz w:val="16"/>
          <w:szCs w:val="16"/>
          <w:color w:val="auto"/>
        </w:rPr>
        <w:t>. No such assignment shall be made (A) to the Borrower or any of the Borrower’s Affiliates or Subsidiaries,</w:t>
      </w:r>
    </w:p>
    <w:p>
      <w:pPr>
        <w:spacing w:after="0" w:line="46" w:lineRule="exact"/>
        <w:rPr>
          <w:rFonts w:ascii="Arial" w:cs="Arial" w:eastAsia="Arial" w:hAnsi="Arial"/>
          <w:sz w:val="16"/>
          <w:szCs w:val="16"/>
          <w:color w:val="auto"/>
        </w:rPr>
      </w:pPr>
    </w:p>
    <w:p>
      <w:pPr>
        <w:ind w:left="460" w:right="160" w:firstLine="4"/>
        <w:spacing w:after="0" w:line="261" w:lineRule="auto"/>
        <w:tabs>
          <w:tab w:leader="none" w:pos="74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any Defaulting Lender or any of its Subsidiaries, or any Person who, upon becoming a Lender hereunder, would constitute any of the foregoing Persons described in this clause (B), or (C) to a natural Person.</w:t>
      </w:r>
    </w:p>
    <w:p>
      <w:pPr>
        <w:spacing w:after="0" w:line="75" w:lineRule="exact"/>
        <w:rPr>
          <w:rFonts w:ascii="Arial" w:cs="Arial" w:eastAsia="Arial" w:hAnsi="Arial"/>
          <w:sz w:val="18"/>
          <w:szCs w:val="18"/>
          <w:color w:val="auto"/>
        </w:rPr>
      </w:pPr>
    </w:p>
    <w:p>
      <w:pPr>
        <w:ind w:left="460" w:firstLine="443"/>
        <w:spacing w:after="0" w:line="269" w:lineRule="auto"/>
        <w:tabs>
          <w:tab w:leader="none" w:pos="1203" w:val="left"/>
        </w:tabs>
        <w:numPr>
          <w:ilvl w:val="1"/>
          <w:numId w:val="207"/>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8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74" w:right="239" w:bottom="1440" w:gutter="0" w:footer="0" w:header="0"/>
        </w:sectPr>
      </w:pPr>
    </w:p>
    <w:bookmarkStart w:id="220" w:name="page221"/>
    <w:bookmarkEnd w:id="220"/>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xml:space="preserve"> with respect to facts and circumstances occurring prior to the effective date of such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8" w:lineRule="exact"/>
        <w:rPr>
          <w:sz w:val="20"/>
          <w:szCs w:val="20"/>
          <w:color w:val="auto"/>
        </w:rPr>
      </w:pPr>
    </w:p>
    <w:p>
      <w:pPr>
        <w:ind w:firstLine="464"/>
        <w:spacing w:after="0" w:line="272" w:lineRule="auto"/>
        <w:tabs>
          <w:tab w:leader="none" w:pos="701"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an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77" w:lineRule="exact"/>
        <w:rPr>
          <w:rFonts w:ascii="Arial" w:cs="Arial" w:eastAsia="Arial" w:hAnsi="Arial"/>
          <w:sz w:val="17"/>
          <w:szCs w:val="17"/>
          <w:color w:val="auto"/>
        </w:rPr>
      </w:pPr>
    </w:p>
    <w:p>
      <w:pPr>
        <w:ind w:right="60" w:firstLine="464"/>
        <w:spacing w:after="0" w:line="271" w:lineRule="auto"/>
        <w:tabs>
          <w:tab w:leader="none" w:pos="711"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the Borrower or the Administrative Agent, sell participations to any Person (other than a natural Person, a Defaulting Lender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without regard to the existence of any participation.</w:t>
      </w:r>
    </w:p>
    <w:p>
      <w:pPr>
        <w:spacing w:after="0" w:line="179" w:lineRule="exact"/>
        <w:rPr>
          <w:sz w:val="20"/>
          <w:szCs w:val="20"/>
          <w:color w:val="auto"/>
        </w:rPr>
      </w:pPr>
    </w:p>
    <w:p>
      <w:pPr>
        <w:ind w:right="100" w:firstLine="456"/>
        <w:spacing w:after="0" w:line="269" w:lineRule="auto"/>
        <w:rPr>
          <w:sz w:val="20"/>
          <w:szCs w:val="20"/>
          <w:color w:val="auto"/>
        </w:rPr>
      </w:pPr>
      <w:r>
        <w:rPr>
          <w:rFonts w:ascii="Arial" w:cs="Arial" w:eastAsia="Arial" w:hAnsi="Arial"/>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that affects such Participant. The Borrower agrees that each Participant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(it being understood that the documentation required under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 agrees to be subject to the provisions of </w:t>
      </w:r>
      <w:r>
        <w:rPr>
          <w:rFonts w:ascii="Arial" w:cs="Arial" w:eastAsia="Arial" w:hAnsi="Arial"/>
          <w:sz w:val="17"/>
          <w:szCs w:val="17"/>
          <w:u w:val="single" w:color="auto"/>
          <w:color w:val="auto"/>
        </w:rPr>
        <w:t>Sections 3.06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11.13</w:t>
      </w:r>
      <w:r>
        <w:rPr>
          <w:rFonts w:ascii="Arial" w:cs="Arial" w:eastAsia="Arial" w:hAnsi="Arial"/>
          <w:sz w:val="17"/>
          <w:szCs w:val="17"/>
          <w:color w:val="auto"/>
        </w:rPr>
        <w:t xml:space="preserve"> as if it were an assignee under paragraph (b) of this Section and (B) shall not be entitled to receive any greater payment under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7"/>
          <w:szCs w:val="17"/>
          <w:u w:val="single" w:color="auto"/>
          <w:color w:val="auto"/>
        </w:rPr>
        <w:t>Section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274" w:right="239" w:bottom="1440" w:gutter="0" w:footer="0" w:header="0"/>
        </w:sectPr>
      </w:pPr>
    </w:p>
    <w:bookmarkStart w:id="221" w:name="page222"/>
    <w:bookmarkEnd w:id="221"/>
    <w:p>
      <w:pPr>
        <w:ind w:right="60"/>
        <w:spacing w:after="0" w:line="26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3.06</w:t>
      </w:r>
      <w:r>
        <w:rPr>
          <w:rFonts w:ascii="Arial" w:cs="Arial" w:eastAsia="Arial" w:hAnsi="Arial"/>
          <w:sz w:val="17"/>
          <w:szCs w:val="17"/>
          <w:color w:val="auto"/>
        </w:rPr>
        <w:t xml:space="preserve"> with respect to any Participant. To the extent permitted by law, each Participant also shall be entitled to the benefits of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83" w:lineRule="exact"/>
        <w:rPr>
          <w:sz w:val="20"/>
          <w:szCs w:val="20"/>
          <w:color w:val="auto"/>
        </w:rPr>
      </w:pPr>
    </w:p>
    <w:p>
      <w:pPr>
        <w:ind w:right="140" w:firstLine="464"/>
        <w:spacing w:after="0" w:line="259" w:lineRule="auto"/>
        <w:tabs>
          <w:tab w:leader="none" w:pos="701"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86" w:lineRule="exact"/>
        <w:rPr>
          <w:rFonts w:ascii="Arial" w:cs="Arial" w:eastAsia="Arial" w:hAnsi="Arial"/>
          <w:sz w:val="18"/>
          <w:szCs w:val="18"/>
          <w:color w:val="auto"/>
        </w:rPr>
      </w:pPr>
    </w:p>
    <w:p>
      <w:pPr>
        <w:ind w:firstLine="464"/>
        <w:spacing w:after="0" w:line="268" w:lineRule="auto"/>
        <w:tabs>
          <w:tab w:leader="none" w:pos="681"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Resignation as L/C Issuer or Swing Line Lender after Assignment</w:t>
      </w:r>
      <w:r>
        <w:rPr>
          <w:rFonts w:ascii="Arial" w:cs="Arial" w:eastAsia="Arial" w:hAnsi="Arial"/>
          <w:sz w:val="17"/>
          <w:szCs w:val="17"/>
          <w:color w:val="auto"/>
        </w:rPr>
        <w:t xml:space="preserve">. Notwithstanding anything to the contrary contained herein, if at any time Bank of America assigns all of its Revolving Commitment and Revolving Loans pursuant to subsection (b) above, Bank of America may, (i) upon thirty days’ notice to the Borrower and the Lenders, resign as L/C Issuer and/or (ii) upon thirty days’ notice to the Borrower, resign as Swing Line Lender. In the event of any such resignation as L/C Issuer or Swing Line Lender, the Borrower shall be entitled to appoint from among the Lenders a successor L/C Issuer or Swing Line Lender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11.07 </w:t>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w:t>
      </w:r>
    </w:p>
    <w:p>
      <w:pPr>
        <w:spacing w:after="0" w:line="225"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Each of the Administrative Agent, the Lenders and the L/C Issuer agrees to maintain the confidentiality of the Information (as defined below), except that Information may be disclosed (a) to its Affiliates and to its Related Parties (it being understood that the Persons to whom such disclosure is made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74" w:right="239" w:bottom="1440" w:gutter="0" w:footer="0" w:header="0"/>
        </w:sectPr>
      </w:pPr>
    </w:p>
    <w:bookmarkStart w:id="222" w:name="page223"/>
    <w:bookmarkEnd w:id="222"/>
    <w:p>
      <w:pPr>
        <w:ind w:right="2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w:t>
      </w:r>
    </w:p>
    <w:p>
      <w:pPr>
        <w:ind w:right="40" w:firstLine="8"/>
        <w:spacing w:after="0" w:line="285" w:lineRule="auto"/>
        <w:tabs>
          <w:tab w:leader="none" w:pos="255" w:val="left"/>
        </w:tabs>
        <w:numPr>
          <w:ilvl w:val="0"/>
          <w:numId w:val="210"/>
        </w:numPr>
        <w:rPr>
          <w:rFonts w:ascii="Arial" w:cs="Arial" w:eastAsia="Arial" w:hAnsi="Arial"/>
          <w:sz w:val="16"/>
          <w:szCs w:val="16"/>
          <w:color w:val="auto"/>
        </w:rPr>
      </w:pPr>
      <w:r>
        <w:rPr>
          <w:rFonts w:ascii="Arial" w:cs="Arial" w:eastAsia="Arial" w:hAnsi="Arial"/>
          <w:sz w:val="16"/>
          <w:szCs w:val="16"/>
          <w:color w:val="auto"/>
        </w:rPr>
        <w:t>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such Information (i) becomes publicly available other than as a result of a breach of this Section or (ii) becomes available to the Administrative Agent, any Lender, the L/C Issuer or any of their respective Affiliates on a nonconfidential basis from a source other than the Borrower. For purposes of this Section, “Information”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8"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11.08 </w:t>
      </w:r>
      <w:r>
        <w:rPr>
          <w:rFonts w:ascii="Arial" w:cs="Arial" w:eastAsia="Arial" w:hAnsi="Arial"/>
          <w:sz w:val="18"/>
          <w:szCs w:val="18"/>
          <w:u w:val="single" w:color="auto"/>
          <w:color w:val="auto"/>
        </w:rPr>
        <w:t>Right of Setoff</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or are owed to a branch, office or Affiliate of such Lender or the L/C Issuer different from the branch, office or Affiliate holding such deposit or obligated on such indebtedness; provided that in the event that any Defaulting Lender shall exercise any such right of setoff,</w:t>
      </w:r>
    </w:p>
    <w:p>
      <w:pPr>
        <w:spacing w:after="0" w:line="1" w:lineRule="exact"/>
        <w:rPr>
          <w:sz w:val="20"/>
          <w:szCs w:val="20"/>
          <w:color w:val="auto"/>
        </w:rPr>
      </w:pPr>
    </w:p>
    <w:p>
      <w:pPr>
        <w:jc w:val="both"/>
        <w:ind w:right="60" w:firstLine="8"/>
        <w:spacing w:after="0" w:line="255" w:lineRule="auto"/>
        <w:tabs>
          <w:tab w:leader="none" w:pos="25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the L/C Issuer and the Lenders, and (y) the Defaulting Lender shall provide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274" w:right="239" w:bottom="1440" w:gutter="0" w:footer="0" w:header="0"/>
        </w:sectPr>
      </w:pPr>
    </w:p>
    <w:bookmarkStart w:id="223" w:name="page224"/>
    <w:bookmarkEnd w:id="223"/>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to give such notice shall not affect the validity of such setoff and application.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11.09 </w:t>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7"/>
          <w:szCs w:val="17"/>
          <w:u w:val="single" w:color="auto"/>
          <w:color w:val="auto"/>
        </w:rPr>
        <w:t>Maximum Rate</w:t>
      </w:r>
      <w:r>
        <w:rPr>
          <w:rFonts w:ascii="Arial" w:cs="Arial" w:eastAsia="Arial" w:hAnsi="Arial"/>
          <w:sz w:val="17"/>
          <w:szCs w:val="17"/>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Counterparts; Integration; Effectiveness</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This Agreement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5.01</w:t>
      </w:r>
      <w:r>
        <w:rPr>
          <w:rFonts w:ascii="Arial" w:cs="Arial" w:eastAsia="Arial" w:hAnsi="Arial"/>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other electronic imaging means (e.g., “pdf” or “tif”) shall be effective as delivery of a manually executed counterpart of this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274" w:right="259" w:bottom="1440" w:gutter="0" w:footer="0" w:header="0"/>
        </w:sectPr>
      </w:pPr>
    </w:p>
    <w:bookmarkStart w:id="224" w:name="page225"/>
    <w:bookmarkEnd w:id="224"/>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Replacement of Lenders</w:t>
      </w:r>
      <w:r>
        <w:rPr>
          <w:rFonts w:ascii="Arial" w:cs="Arial" w:eastAsia="Arial" w:hAnsi="Arial"/>
          <w:sz w:val="18"/>
          <w:szCs w:val="18"/>
          <w:color w:val="auto"/>
        </w:rPr>
        <w:t>.</w:t>
      </w:r>
    </w:p>
    <w:p>
      <w:pPr>
        <w:spacing w:after="0" w:line="225"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If the Borrower is entitled to replace a Lender pursuant to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11.06</w:t>
      </w:r>
      <w:r>
        <w:rPr>
          <w:rFonts w:ascii="Arial" w:cs="Arial" w:eastAsia="Arial" w:hAnsi="Arial"/>
          <w:sz w:val="16"/>
          <w:szCs w:val="16"/>
          <w:color w:val="auto"/>
        </w:rPr>
        <w:t xml:space="preserve">), all of its interests, rights (other than its existing rights to payments pursuant to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3.04</w:t>
      </w:r>
      <w:r>
        <w:rPr>
          <w:rFonts w:ascii="Arial" w:cs="Arial" w:eastAsia="Arial" w:hAnsi="Arial"/>
          <w:sz w:val="16"/>
          <w:szCs w:val="16"/>
          <w:color w:val="auto"/>
        </w:rPr>
        <w:t>) and obligations under this Agreement and the related Loan Documents to an Eligible Assignee that shall assume such obligations (which assignee may be another Lender, if a Lender accepts such assignment), provided that:</w:t>
      </w:r>
    </w:p>
    <w:p>
      <w:pPr>
        <w:spacing w:after="0" w:line="50" w:lineRule="exact"/>
        <w:rPr>
          <w:sz w:val="20"/>
          <w:szCs w:val="20"/>
          <w:color w:val="auto"/>
        </w:rPr>
      </w:pPr>
    </w:p>
    <w:p>
      <w:pPr>
        <w:ind w:left="700" w:hanging="236"/>
        <w:spacing w:after="0"/>
        <w:tabs>
          <w:tab w:leader="none" w:pos="7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(if any) specified in </w:t>
      </w:r>
      <w:r>
        <w:rPr>
          <w:rFonts w:ascii="Arial" w:cs="Arial" w:eastAsia="Arial" w:hAnsi="Arial"/>
          <w:sz w:val="18"/>
          <w:szCs w:val="18"/>
          <w:u w:val="single" w:color="auto"/>
          <w:color w:val="auto"/>
        </w:rPr>
        <w:t>Section 11.06(b)</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60" w:right="100" w:firstLine="4"/>
        <w:spacing w:after="0" w:line="312" w:lineRule="auto"/>
        <w:tabs>
          <w:tab w:leader="none" w:pos="71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6"/>
          <w:szCs w:val="16"/>
          <w:u w:val="single" w:color="auto"/>
          <w:color w:val="auto"/>
        </w:rPr>
        <w:t>Section 3.05</w:t>
      </w:r>
      <w:r>
        <w:rPr>
          <w:rFonts w:ascii="Arial" w:cs="Arial" w:eastAsia="Arial" w:hAnsi="Arial"/>
          <w:sz w:val="16"/>
          <w:szCs w:val="16"/>
          <w:color w:val="auto"/>
        </w:rPr>
        <w:t>) from the assignee (to the extent of such outstanding principal and accrued interest and fees) or the Borrower (in the case of all other amounts);</w:t>
      </w:r>
    </w:p>
    <w:p>
      <w:pPr>
        <w:spacing w:after="0" w:line="38" w:lineRule="exact"/>
        <w:rPr>
          <w:rFonts w:ascii="Arial" w:cs="Arial" w:eastAsia="Arial" w:hAnsi="Arial"/>
          <w:sz w:val="16"/>
          <w:szCs w:val="16"/>
          <w:color w:val="auto"/>
        </w:rPr>
      </w:pPr>
    </w:p>
    <w:p>
      <w:pPr>
        <w:ind w:left="460" w:right="580" w:firstLine="4"/>
        <w:spacing w:after="0" w:line="277" w:lineRule="auto"/>
        <w:tabs>
          <w:tab w:leader="none" w:pos="70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17" w:lineRule="exact"/>
        <w:rPr>
          <w:rFonts w:ascii="Arial" w:cs="Arial" w:eastAsia="Arial" w:hAnsi="Arial"/>
          <w:sz w:val="18"/>
          <w:szCs w:val="18"/>
          <w:color w:val="auto"/>
        </w:rPr>
      </w:pPr>
    </w:p>
    <w:p>
      <w:pPr>
        <w:ind w:left="460" w:right="500" w:firstLine="4"/>
        <w:spacing w:after="0" w:line="277" w:lineRule="auto"/>
        <w:tabs>
          <w:tab w:leader="none" w:pos="70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u w:val="single" w:color="auto"/>
          <w:color w:val="auto"/>
        </w:rPr>
        <w:t>Governing Law; Jurisdiction; Etc</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7" w:lineRule="auto"/>
        <w:tabs>
          <w:tab w:leader="none" w:pos="701"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274" w:right="279" w:bottom="1440" w:gutter="0" w:footer="0" w:header="0"/>
        </w:sectPr>
      </w:pPr>
    </w:p>
    <w:bookmarkStart w:id="225" w:name="page226"/>
    <w:bookmarkEnd w:id="225"/>
    <w:p>
      <w:pPr>
        <w:ind w:right="20" w:firstLine="464"/>
        <w:spacing w:after="0" w:line="252" w:lineRule="auto"/>
        <w:tabs>
          <w:tab w:leader="none" w:pos="711"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SUBMISSION TO JURISDICTION</w:t>
      </w:r>
      <w:r>
        <w:rPr>
          <w:rFonts w:ascii="Arial" w:cs="Arial" w:eastAsia="Arial" w:hAnsi="Arial"/>
          <w:sz w:val="18"/>
          <w:szCs w:val="18"/>
          <w:color w:val="auto"/>
        </w:rPr>
        <w:t>. EACH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LOAN PARTY OR ITS PROPERTIES IN THE COURTS OF ANY JURISDICTION.</w:t>
      </w:r>
    </w:p>
    <w:p>
      <w:pPr>
        <w:spacing w:after="0" w:line="197" w:lineRule="exact"/>
        <w:rPr>
          <w:rFonts w:ascii="Arial" w:cs="Arial" w:eastAsia="Arial" w:hAnsi="Arial"/>
          <w:sz w:val="18"/>
          <w:szCs w:val="18"/>
          <w:color w:val="auto"/>
        </w:rPr>
      </w:pPr>
    </w:p>
    <w:p>
      <w:pPr>
        <w:ind w:right="160" w:firstLine="464"/>
        <w:spacing w:after="0" w:line="255" w:lineRule="auto"/>
        <w:tabs>
          <w:tab w:leader="none" w:pos="701"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93" w:lineRule="exact"/>
        <w:rPr>
          <w:rFonts w:ascii="Arial" w:cs="Arial" w:eastAsia="Arial" w:hAnsi="Arial"/>
          <w:sz w:val="18"/>
          <w:szCs w:val="18"/>
          <w:color w:val="auto"/>
        </w:rPr>
      </w:pPr>
    </w:p>
    <w:p>
      <w:pPr>
        <w:jc w:val="both"/>
        <w:ind w:firstLine="464"/>
        <w:spacing w:after="0" w:line="264" w:lineRule="auto"/>
        <w:tabs>
          <w:tab w:leader="none" w:pos="711"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11.02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60"/>
          </w:cols>
          <w:pgMar w:left="240" w:top="274" w:right="299" w:bottom="1440" w:gutter="0" w:footer="0" w:header="0"/>
        </w:sectPr>
      </w:pPr>
    </w:p>
    <w:bookmarkStart w:id="226" w:name="page227"/>
    <w:bookmarkEnd w:id="226"/>
    <w:p>
      <w:pPr>
        <w:ind w:right="6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225" w:lineRule="exact"/>
        <w:rPr>
          <w:sz w:val="20"/>
          <w:szCs w:val="20"/>
          <w:color w:val="auto"/>
        </w:rPr>
      </w:pPr>
    </w:p>
    <w:p>
      <w:pPr>
        <w:ind w:right="200" w:firstLine="456"/>
        <w:spacing w:after="0" w:line="285" w:lineRule="auto"/>
        <w:rPr>
          <w:sz w:val="20"/>
          <w:szCs w:val="20"/>
          <w:color w:val="auto"/>
        </w:rPr>
      </w:pPr>
      <w:r>
        <w:rPr>
          <w:rFonts w:ascii="Arial" w:cs="Arial" w:eastAsia="Arial" w:hAnsi="Arial"/>
          <w:sz w:val="16"/>
          <w:szCs w:val="16"/>
          <w:color w:val="auto"/>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 and the Lenders are arm’s-length commercial transactions between the Loan Parties and their respective Affiliates, on the one hand, and the Administrative Agent, the Arranger and the Lenders, on the other hand, (B) each of the Loan Parties has consulted its own legal, accounting, regulatory and tax advisors to the extent it has deemed appropriate, and</w:t>
      </w:r>
    </w:p>
    <w:p>
      <w:pPr>
        <w:spacing w:after="0" w:line="2" w:lineRule="exact"/>
        <w:rPr>
          <w:sz w:val="20"/>
          <w:szCs w:val="20"/>
          <w:color w:val="auto"/>
        </w:rPr>
      </w:pPr>
    </w:p>
    <w:p>
      <w:pPr>
        <w:ind w:firstLine="8"/>
        <w:spacing w:after="0" w:line="286" w:lineRule="auto"/>
        <w:tabs>
          <w:tab w:leader="none" w:pos="28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each of the Loan Parties is capable of evaluating, and understands and accepts, the terms, risks and conditions of the transactions contemplated hereby and by the other Loan Documents; (ii) (A) the Administrative Agent, the Arranger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 nor any Lender has any obligation to the Loan Parties or any of their respective Affiliates with respect to the transactions contemplated hereby except those obligations expressly set forth herein and in the other Loan Documents; and (iii) the Administrative Agent, the Arranger, the Lenders and their respective Affiliates may be engaged in a broad range of transactions that involve interests that differ from those of the Loan Parties and their respective Affiliates, and neither the Administrative Agent, the Arranger nor any Lender has any obligation to disclose any of such interests to the Loan Parties and their respective Affiliates. To the fullest extent permitted by Law, each of the Loan Parties hereby waives and releases any claims that it may have against the Administrative Agent, the Arranger or any Lender with respect to any breach or alleged breach of agency or fiduciary duty in connection with any aspect of any transaction contemplated hereby.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u w:val="single" w:color="auto"/>
          <w:color w:val="auto"/>
        </w:rPr>
        <w:t>Electronic Execution of Assignments and Certain Other Documents</w:t>
      </w:r>
      <w:r>
        <w:rPr>
          <w:rFonts w:ascii="Arial" w:cs="Arial" w:eastAsia="Arial" w:hAnsi="Arial"/>
          <w:sz w:val="18"/>
          <w:szCs w:val="18"/>
          <w:color w:val="auto"/>
        </w:rPr>
        <w:t>.</w:t>
      </w:r>
    </w:p>
    <w:p>
      <w:pPr>
        <w:spacing w:after="0" w:line="225" w:lineRule="exact"/>
        <w:rPr>
          <w:sz w:val="20"/>
          <w:szCs w:val="20"/>
          <w:color w:val="auto"/>
        </w:rPr>
      </w:pPr>
    </w:p>
    <w:p>
      <w:pPr>
        <w:ind w:right="140" w:firstLine="456"/>
        <w:spacing w:after="0" w:line="293" w:lineRule="auto"/>
        <w:rPr>
          <w:sz w:val="20"/>
          <w:szCs w:val="20"/>
          <w:color w:val="auto"/>
        </w:rPr>
      </w:pPr>
      <w:r>
        <w:rPr>
          <w:rFonts w:ascii="Arial" w:cs="Arial" w:eastAsia="Arial" w:hAnsi="Arial"/>
          <w:sz w:val="16"/>
          <w:szCs w:val="16"/>
          <w:color w:val="auto"/>
        </w:rPr>
        <w:t>The words “execute” “execution,” “signed,” “signature,” and words of like import in any Assignment and Assumption or in any amendment or other modification hereof (including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u w:val="single" w:color="auto"/>
          <w:color w:val="auto"/>
        </w:rPr>
        <w:t>Subordination of Intercompany Indebtedness</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Each Loan Party (a “</w:t>
      </w:r>
      <w:r>
        <w:rPr>
          <w:rFonts w:ascii="Arial" w:cs="Arial" w:eastAsia="Arial" w:hAnsi="Arial"/>
          <w:sz w:val="16"/>
          <w:szCs w:val="16"/>
          <w:u w:val="single" w:color="auto"/>
          <w:color w:val="auto"/>
        </w:rPr>
        <w:t>Subordinating Loan Party</w:t>
      </w:r>
      <w:r>
        <w:rPr>
          <w:rFonts w:ascii="Arial" w:cs="Arial" w:eastAsia="Arial" w:hAnsi="Arial"/>
          <w:sz w:val="16"/>
          <w:szCs w:val="16"/>
          <w:color w:val="auto"/>
        </w:rPr>
        <w:t>”) agrees that the payment of all obligations and indebtedness, whether principal, interest, fees and other amounts and whether now owing or hereafter arising, owing to such Subordinating Loan Party by any other Loan Party is expressly subordinated to the payment in full in cash of the Obligations. If the Administrative Agent so requests, any such obligation or indebtedness shall be enforced and performance received by the Subordinating Loan Party as trustee for the holders of the Obligations and the proceeds thereof shall be paid over to the holders of the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274" w:right="239" w:bottom="1440" w:gutter="0" w:footer="0" w:header="0"/>
        </w:sectPr>
      </w:pPr>
    </w:p>
    <w:bookmarkStart w:id="227" w:name="page228"/>
    <w:bookmarkEnd w:id="227"/>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Obligations on account of the Obligations, but without reducing or affecting in any manner the liability of the Subordinating Loan Party under this Agreement or any other Loan Document. Without limitation of the foregoing, so long as no Default has occurred and is continuing, the Loan Parties may make and receive payments with respect to any such obligations and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that in the event that any Loan Party receives any payment of any such obligations and indebtedness at a time when such payment is prohibited by this Section, such payment shall be held by such Loan Party, in trust for the benefit of, and shall be paid forthwith over and delivered, upon written request, to the Administrative Agent.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11.19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Each Lender that is subject to the Act (as hereinafter defined) and the Administrative Agent (for itself and not on behalf of any Lender) hereby notifies the Loan Parties that pursuant to the requirements of the USA PATRIOT Act (Title III 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the Loan Parties, which information includes the name and address of the Loan Parties and other information that will allow such Lender or the Administrative Agent, as applicable, to identify the Loan Parties in accordance with the Act. The Loan Parties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74"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21.0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500" w:type="dxa"/>
            <w:vAlign w:val="bottom"/>
          </w:tcPr>
          <w:p>
            <w:pPr>
              <w:spacing w:after="0"/>
              <w:rPr>
                <w:sz w:val="20"/>
                <w:szCs w:val="20"/>
                <w:color w:val="auto"/>
              </w:rPr>
            </w:pPr>
            <w:r>
              <w:rPr>
                <w:rFonts w:ascii="Arial" w:cs="Arial" w:eastAsia="Arial" w:hAnsi="Arial"/>
                <w:sz w:val="14"/>
                <w:szCs w:val="14"/>
                <w:color w:val="auto"/>
                <w:w w:val="92"/>
              </w:rPr>
              <w:t>Subsidiaries of Registrant</w:t>
            </w:r>
          </w:p>
        </w:tc>
        <w:tc>
          <w:tcPr>
            <w:tcW w:w="3860" w:type="dxa"/>
            <w:vAlign w:val="bottom"/>
          </w:tcPr>
          <w:p>
            <w:pPr>
              <w:spacing w:after="0"/>
              <w:rPr>
                <w:sz w:val="14"/>
                <w:szCs w:val="14"/>
                <w:color w:val="auto"/>
              </w:rPr>
            </w:pPr>
          </w:p>
        </w:tc>
        <w:tc>
          <w:tcPr>
            <w:tcW w:w="4200" w:type="dxa"/>
            <w:vAlign w:val="bottom"/>
            <w:gridSpan w:val="2"/>
          </w:tcPr>
          <w:p>
            <w:pPr>
              <w:jc w:val="center"/>
              <w:ind w:left="2488"/>
              <w:spacing w:after="0"/>
              <w:rPr>
                <w:sz w:val="20"/>
                <w:szCs w:val="20"/>
                <w:color w:val="auto"/>
              </w:rPr>
            </w:pPr>
            <w:r>
              <w:rPr>
                <w:rFonts w:ascii="Arial" w:cs="Arial" w:eastAsia="Arial" w:hAnsi="Arial"/>
                <w:sz w:val="14"/>
                <w:szCs w:val="14"/>
                <w:color w:val="auto"/>
                <w:w w:val="95"/>
              </w:rPr>
              <w:t>Jurisdiction of Incorporation</w:t>
            </w:r>
          </w:p>
        </w:tc>
      </w:tr>
      <w:tr>
        <w:trPr>
          <w:trHeight w:val="20"/>
        </w:trPr>
        <w:tc>
          <w:tcPr>
            <w:tcW w:w="15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r>
        <w:trPr>
          <w:trHeight w:val="303"/>
        </w:trPr>
        <w:tc>
          <w:tcPr>
            <w:tcW w:w="5360" w:type="dxa"/>
            <w:vAlign w:val="bottom"/>
            <w:gridSpan w:val="2"/>
          </w:tcPr>
          <w:p>
            <w:pPr>
              <w:spacing w:after="0"/>
              <w:rPr>
                <w:sz w:val="20"/>
                <w:szCs w:val="20"/>
                <w:color w:val="auto"/>
              </w:rPr>
            </w:pPr>
            <w:r>
              <w:rPr>
                <w:rFonts w:ascii="Arial" w:cs="Arial" w:eastAsia="Arial" w:hAnsi="Arial"/>
                <w:sz w:val="18"/>
                <w:szCs w:val="18"/>
                <w:color w:val="auto"/>
              </w:rPr>
              <w:t>Grand Canyon University, Inc.</w:t>
            </w:r>
          </w:p>
        </w:tc>
        <w:tc>
          <w:tcPr>
            <w:tcW w:w="256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Canyon Golf,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Canyon Hospitality,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Tierra Vista Inversiones,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5"/>
              </w:rPr>
              <w:t>DE</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Nueva Ventura,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Casa de Amistad,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Amigos de Torrejon,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Piedras Bonitas Inversiones,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La Sonrisa de Siena,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Nuevo Comienzo,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El Vecino de Amigos,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La Fuente de la Comunidad,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Rentwise Properties,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Mid-State Rental Properties, LLC</w:t>
            </w:r>
          </w:p>
        </w:tc>
        <w:tc>
          <w:tcPr>
            <w:tcW w:w="2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r>
        <w:trPr>
          <w:trHeight w:val="230"/>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REG 5160, LLC</w:t>
            </w:r>
          </w:p>
        </w:tc>
        <w:tc>
          <w:tcPr>
            <w:tcW w:w="2560" w:type="dxa"/>
            <w:vAlign w:val="bottom"/>
          </w:tcPr>
          <w:p>
            <w:pPr>
              <w:spacing w:after="0"/>
              <w:rPr>
                <w:sz w:val="20"/>
                <w:szCs w:val="20"/>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rPr>
              <w:t>AZ</w:t>
            </w:r>
          </w:p>
        </w:tc>
      </w:tr>
    </w:tbl>
    <w:p>
      <w:pPr>
        <w:sectPr>
          <w:pgSz w:w="11900" w:h="16838" w:orient="portrait"/>
          <w:cols w:equalWidth="0" w:num="1">
            <w:col w:w="11420"/>
          </w:cols>
          <w:pgMar w:left="240" w:top="121"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Grand Canyon Education, Inc.:</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statements (Nos. 333-155973, 333-165019, and 333-179611) on Form S-8 of Grand Canyon Education, Inc. of our reports dated February 17, 2016, with respect to the consolidated balance sheets of Grand Canyon Education, Inc. and subsidiaries as of December 31, 2015 and 2014, and the related consolidated statements of income, comprehensive income, stockholders’ equity, and cash flows for each of the years in the three-year period ended December 31, 2015, and the effectiveness of internal control over financial reporting as of December 31, 2015, which reports appear in the December 31, 2015 annual report on Form 10-K of Grand Canyon Education, Inc.</w:t>
      </w:r>
    </w:p>
    <w:p>
      <w:pPr>
        <w:spacing w:after="0" w:line="17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Phoenix, Arizona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17, 2016</w:t>
      </w:r>
    </w:p>
    <w:p>
      <w:pPr>
        <w:sectPr>
          <w:pgSz w:w="11900" w:h="16838" w:orient="portrait"/>
          <w:cols w:equalWidth="0" w:num="1">
            <w:col w:w="11420"/>
          </w:cols>
          <w:pgMar w:left="240" w:top="121"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640" w:hanging="176"/>
        <w:spacing w:after="0"/>
        <w:tabs>
          <w:tab w:leader="none" w:pos="6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2015 of Grand Canyon Education,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2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308" w:lineRule="auto"/>
        <w:tabs>
          <w:tab w:leader="none" w:pos="63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260" w:firstLine="464"/>
        <w:spacing w:after="0" w:line="264" w:lineRule="auto"/>
        <w:tabs>
          <w:tab w:leader="none" w:pos="636"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2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21"/>
        <w:spacing w:after="0" w:line="277" w:lineRule="auto"/>
        <w:tabs>
          <w:tab w:leader="none" w:pos="109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921"/>
        <w:spacing w:after="0" w:line="277" w:lineRule="auto"/>
        <w:tabs>
          <w:tab w:leader="none" w:pos="1108"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February 17, 2016</w:t>
      </w:r>
      <w:r>
        <w:rPr>
          <w:sz w:val="20"/>
          <w:szCs w:val="20"/>
          <w:color w:val="auto"/>
        </w:rPr>
        <w:tab/>
      </w:r>
      <w:r>
        <w:rPr>
          <w:rFonts w:ascii="Arial" w:cs="Arial" w:eastAsia="Arial" w:hAnsi="Arial"/>
          <w:sz w:val="17"/>
          <w:szCs w:val="17"/>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33629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640" w:hanging="176"/>
        <w:spacing w:after="0"/>
        <w:tabs>
          <w:tab w:leader="none" w:pos="6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2015 of Grand Canyon Education, Inc.;</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2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00" w:firstLine="464"/>
        <w:spacing w:after="0" w:line="308" w:lineRule="auto"/>
        <w:tabs>
          <w:tab w:leader="none" w:pos="63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right="260" w:firstLine="464"/>
        <w:spacing w:after="0" w:line="264" w:lineRule="auto"/>
        <w:tabs>
          <w:tab w:leader="none" w:pos="636"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right="100" w:firstLine="921"/>
        <w:spacing w:after="0" w:line="264" w:lineRule="auto"/>
        <w:tabs>
          <w:tab w:leader="none" w:pos="109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921"/>
        <w:spacing w:after="0" w:line="264" w:lineRule="auto"/>
        <w:tabs>
          <w:tab w:leader="none" w:pos="110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620" w:firstLine="921"/>
        <w:spacing w:after="0" w:line="342" w:lineRule="auto"/>
        <w:tabs>
          <w:tab w:leader="none" w:pos="1098" w:val="left"/>
        </w:tabs>
        <w:numPr>
          <w:ilvl w:val="1"/>
          <w:numId w:val="2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80" w:firstLine="921"/>
        <w:spacing w:after="0" w:line="264" w:lineRule="auto"/>
        <w:tabs>
          <w:tab w:leader="none" w:pos="110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464"/>
        <w:spacing w:after="0" w:line="308" w:lineRule="auto"/>
        <w:tabs>
          <w:tab w:leader="none" w:pos="63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firstLine="921"/>
        <w:spacing w:after="0" w:line="277" w:lineRule="auto"/>
        <w:tabs>
          <w:tab w:leader="none" w:pos="109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921"/>
        <w:spacing w:after="0" w:line="277" w:lineRule="auto"/>
        <w:tabs>
          <w:tab w:leader="none" w:pos="1108"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February 17, 2016</w:t>
      </w:r>
      <w:r>
        <w:rPr>
          <w:sz w:val="20"/>
          <w:szCs w:val="20"/>
          <w:color w:val="auto"/>
        </w:rPr>
        <w:tab/>
      </w:r>
      <w:r>
        <w:rPr>
          <w:rFonts w:ascii="Arial" w:cs="Arial" w:eastAsia="Arial" w:hAnsi="Arial"/>
          <w:sz w:val="16"/>
          <w:szCs w:val="16"/>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33629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 and Principal Accounting Officer)</w:t>
      </w:r>
    </w:p>
    <w:p>
      <w:pPr>
        <w:sectPr>
          <w:pgSz w:w="11900" w:h="16838" w:orient="portrait"/>
          <w:cols w:equalWidth="0" w:num="1">
            <w:col w:w="11420"/>
          </w:cols>
          <w:pgMar w:left="240" w:top="121"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2015 as filed with the Securities and Exchange Commission on the date hereof (the “Report”), I, Brian E. Mueller, Chief Executive Officer, of the University, certify, pursuant to § 906 of the Sarbanes-Oxley Act of 2002,18 U.S.C. § 1350, as adopted pursuant to Section 906 of the Sarbanes-Oxley Act of 2002, that to the best of my knowledge:</w:t>
      </w:r>
    </w:p>
    <w:p>
      <w:pPr>
        <w:spacing w:after="0" w:line="92"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or 78o);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2016</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connection with the Annual Report on Form 10-K of Grand Canyon Education, Inc. (the “University”) for the year ending December 31, 2015 as filed with the Securities and Exchange Commission on the date hereof (the “Report”), I, Daniel E. Bachus, Chief Financial Officer, of the University, certify, pursuant to § 906 of the Sarbanes-Oxley Act of 2002,18 U.S.C. § 1350, as adopted pursuant to Section 906 of the Sarbanes-Oxley Act of 2002, that to the best of my knowledge:</w:t>
      </w:r>
    </w:p>
    <w:p>
      <w:pPr>
        <w:spacing w:after="0" w:line="92" w:lineRule="exact"/>
        <w:rPr>
          <w:sz w:val="20"/>
          <w:szCs w:val="20"/>
          <w:color w:val="auto"/>
        </w:rPr>
      </w:pPr>
    </w:p>
    <w:p>
      <w:pPr>
        <w:ind w:left="460" w:hanging="452"/>
        <w:spacing w:after="0"/>
        <w:tabs>
          <w:tab w:leader="none" w:pos="4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or 78o); and</w:t>
      </w:r>
    </w:p>
    <w:p>
      <w:pPr>
        <w:spacing w:after="0" w:line="142" w:lineRule="exact"/>
        <w:rPr>
          <w:rFonts w:ascii="Arial" w:cs="Arial" w:eastAsia="Arial" w:hAnsi="Arial"/>
          <w:sz w:val="17"/>
          <w:szCs w:val="17"/>
          <w:color w:val="auto"/>
        </w:rPr>
      </w:pPr>
    </w:p>
    <w:p>
      <w:pPr>
        <w:ind w:left="460" w:hanging="452"/>
        <w:spacing w:after="0"/>
        <w:tabs>
          <w:tab w:leader="none" w:pos="4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University.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17, 2016</w:t>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and Principal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
      <w:numFmt w:val="bullet"/>
      <w:start w:val="1"/>
    </w:lvl>
  </w:abstractNum>
  <w:abstractNum w:abstractNumId="1">
    <w:nsid w:val="1CA0C5FA"/>
    <w:multiLevelType w:val="hybridMultilevel"/>
    <w:lvl w:ilvl="0">
      <w:lvlJc w:val="left"/>
      <w:lvlText w:val="☐"/>
      <w:numFmt w:val="bullet"/>
      <w:start w:val="1"/>
    </w:lvl>
  </w:abstractNum>
  <w:abstractNum w:abstractNumId="2">
    <w:nsid w:val="53584BCB"/>
    <w:multiLevelType w:val="hybridMultilevel"/>
    <w:lvl w:ilvl="0">
      <w:lvlJc w:val="left"/>
      <w:lvlText w:val="•"/>
      <w:numFmt w:val="bullet"/>
      <w:start w:val="1"/>
    </w:lvl>
  </w:abstractNum>
  <w:abstractNum w:abstractNumId="3">
    <w:nsid w:val="415E286C"/>
    <w:multiLevelType w:val="hybridMultilevel"/>
    <w:lvl w:ilvl="0">
      <w:lvlJc w:val="left"/>
      <w:lvlText w:val="•"/>
      <w:numFmt w:val="bullet"/>
      <w:start w:val="1"/>
    </w:lvl>
  </w:abstractNum>
  <w:abstractNum w:abstractNumId="4">
    <w:nsid w:val="7C58FD05"/>
    <w:multiLevelType w:val="hybridMultilevel"/>
    <w:lvl w:ilvl="0">
      <w:lvlJc w:val="left"/>
      <w:lvlText w:val="•"/>
      <w:numFmt w:val="bullet"/>
      <w:start w:val="1"/>
    </w:lvl>
  </w:abstractNum>
  <w:abstractNum w:abstractNumId="5">
    <w:nsid w:val="23D86AAC"/>
    <w:multiLevelType w:val="hybridMultilevel"/>
    <w:lvl w:ilvl="0">
      <w:lvlJc w:val="left"/>
      <w:lvlText w:val="•"/>
      <w:numFmt w:val="bullet"/>
      <w:start w:val="1"/>
    </w:lvl>
  </w:abstractNum>
  <w:abstractNum w:abstractNumId="6">
    <w:nsid w:val="45E6D486"/>
    <w:multiLevelType w:val="hybridMultilevel"/>
    <w:lvl w:ilvl="0">
      <w:lvlJc w:val="left"/>
      <w:lvlText w:val="(%1)"/>
      <w:numFmt w:val="decimal"/>
      <w:start w:val="1"/>
    </w:lvl>
  </w:abstractNum>
  <w:abstractNum w:abstractNumId="7">
    <w:nsid w:val="5C10FE21"/>
    <w:multiLevelType w:val="hybridMultilevel"/>
    <w:lvl w:ilvl="0">
      <w:lvlJc w:val="left"/>
      <w:lvlText w:val="•"/>
      <w:numFmt w:val="bullet"/>
      <w:start w:val="1"/>
    </w:lvl>
  </w:abstractNum>
  <w:abstractNum w:abstractNumId="8">
    <w:nsid w:val="E7FFA2B"/>
    <w:multiLevelType w:val="hybridMultilevel"/>
    <w:lvl w:ilvl="0">
      <w:lvlJc w:val="left"/>
      <w:lvlText w:val="•"/>
      <w:numFmt w:val="bullet"/>
      <w:start w:val="1"/>
    </w:lvl>
  </w:abstractNum>
  <w:abstractNum w:abstractNumId="9">
    <w:nsid w:val="3C5991AA"/>
    <w:multiLevelType w:val="hybridMultilevel"/>
    <w:lvl w:ilvl="0">
      <w:lvlJc w:val="left"/>
      <w:lvlText w:val="•"/>
      <w:numFmt w:val="bullet"/>
      <w:start w:val="1"/>
    </w:lvl>
  </w:abstractNum>
  <w:abstractNum w:abstractNumId="10">
    <w:nsid w:val="4BD8591A"/>
    <w:multiLevelType w:val="hybridMultilevel"/>
    <w:lvl w:ilvl="0">
      <w:lvlJc w:val="left"/>
      <w:lvlText w:val="•"/>
      <w:numFmt w:val="bullet"/>
      <w:start w:val="1"/>
    </w:lvl>
  </w:abstractNum>
  <w:abstractNum w:abstractNumId="11">
    <w:nsid w:val="78DF6A55"/>
    <w:multiLevelType w:val="hybridMultilevel"/>
    <w:lvl w:ilvl="0">
      <w:lvlJc w:val="left"/>
      <w:lvlText w:val="•"/>
      <w:numFmt w:val="bullet"/>
      <w:start w:val="1"/>
    </w:lvl>
  </w:abstractNum>
  <w:abstractNum w:abstractNumId="12">
    <w:nsid w:val="39B7AAA2"/>
    <w:multiLevelType w:val="hybridMultilevel"/>
    <w:lvl w:ilvl="0">
      <w:lvlJc w:val="left"/>
      <w:lvlText w:val="•"/>
      <w:numFmt w:val="bullet"/>
      <w:start w:val="1"/>
    </w:lvl>
  </w:abstractNum>
  <w:abstractNum w:abstractNumId="13">
    <w:nsid w:val="2B0D8DBE"/>
    <w:multiLevelType w:val="hybridMultilevel"/>
    <w:lvl w:ilvl="0">
      <w:lvlJc w:val="left"/>
      <w:lvlText w:val="•"/>
      <w:numFmt w:val="bullet"/>
      <w:start w:val="1"/>
    </w:lvl>
  </w:abstractNum>
  <w:abstractNum w:abstractNumId="14">
    <w:nsid w:val="6C80EC70"/>
    <w:multiLevelType w:val="hybridMultilevel"/>
    <w:lvl w:ilvl="0">
      <w:lvlJc w:val="left"/>
      <w:lvlText w:val="•"/>
      <w:numFmt w:val="bullet"/>
      <w:start w:val="1"/>
    </w:lvl>
  </w:abstractNum>
  <w:abstractNum w:abstractNumId="15">
    <w:nsid w:val="379E21B5"/>
    <w:multiLevelType w:val="hybridMultilevel"/>
    <w:lvl w:ilvl="0">
      <w:lvlJc w:val="left"/>
      <w:lvlText w:val="•"/>
      <w:numFmt w:val="bullet"/>
      <w:start w:val="1"/>
    </w:lvl>
  </w:abstractNum>
  <w:abstractNum w:abstractNumId="16">
    <w:nsid w:val="69E373"/>
    <w:multiLevelType w:val="hybridMultilevel"/>
    <w:lvl w:ilvl="0">
      <w:lvlJc w:val="left"/>
      <w:lvlText w:val="•"/>
      <w:numFmt w:val="bullet"/>
      <w:start w:val="1"/>
    </w:lvl>
  </w:abstractNum>
  <w:abstractNum w:abstractNumId="17">
    <w:nsid w:val="2C27173B"/>
    <w:multiLevelType w:val="hybridMultilevel"/>
    <w:lvl w:ilvl="0">
      <w:lvlJc w:val="left"/>
      <w:lvlText w:val="•"/>
      <w:numFmt w:val="bullet"/>
      <w:start w:val="1"/>
    </w:lvl>
  </w:abstractNum>
  <w:abstractNum w:abstractNumId="18">
    <w:nsid w:val="4C9B0904"/>
    <w:multiLevelType w:val="hybridMultilevel"/>
    <w:lvl w:ilvl="0">
      <w:lvlJc w:val="left"/>
      <w:lvlText w:val="•"/>
      <w:numFmt w:val="bullet"/>
      <w:start w:val="1"/>
    </w:lvl>
  </w:abstractNum>
  <w:abstractNum w:abstractNumId="19">
    <w:nsid w:val="6AA7B75C"/>
    <w:multiLevelType w:val="hybridMultilevel"/>
    <w:lvl w:ilvl="0">
      <w:lvlJc w:val="left"/>
      <w:lvlText w:val="(%1)"/>
      <w:numFmt w:val="decimal"/>
      <w:start w:val="1"/>
    </w:lvl>
  </w:abstractNum>
  <w:abstractNum w:abstractNumId="20">
    <w:nsid w:val="1DF029D3"/>
    <w:multiLevelType w:val="hybridMultilevel"/>
    <w:lvl w:ilvl="0">
      <w:lvlJc w:val="left"/>
      <w:lvlText w:val="•"/>
      <w:numFmt w:val="bullet"/>
      <w:start w:val="1"/>
    </w:lvl>
  </w:abstractNum>
  <w:abstractNum w:abstractNumId="21">
    <w:nsid w:val="5675FF36"/>
    <w:multiLevelType w:val="hybridMultilevel"/>
    <w:lvl w:ilvl="0">
      <w:lvlJc w:val="left"/>
      <w:lvlText w:val="•"/>
      <w:numFmt w:val="bullet"/>
      <w:start w:val="1"/>
    </w:lvl>
  </w:abstractNum>
  <w:abstractNum w:abstractNumId="22">
    <w:nsid w:val="3DD15094"/>
    <w:multiLevelType w:val="hybridMultilevel"/>
    <w:lvl w:ilvl="0">
      <w:lvlJc w:val="left"/>
      <w:lvlText w:val="(%1)"/>
      <w:numFmt w:val="lowerLetter"/>
      <w:start w:val="1"/>
    </w:lvl>
  </w:abstractNum>
  <w:abstractNum w:abstractNumId="23">
    <w:nsid w:val="3DB012B3"/>
    <w:multiLevelType w:val="hybridMultilevel"/>
    <w:lvl w:ilvl="0">
      <w:lvlJc w:val="left"/>
      <w:lvlText w:val="•"/>
      <w:numFmt w:val="bullet"/>
      <w:start w:val="1"/>
    </w:lvl>
  </w:abstractNum>
  <w:abstractNum w:abstractNumId="24">
    <w:nsid w:val="2708C9AF"/>
    <w:multiLevelType w:val="hybridMultilevel"/>
    <w:lvl w:ilvl="0">
      <w:lvlJc w:val="left"/>
      <w:lvlText w:val="(%1)"/>
      <w:numFmt w:val="decimal"/>
      <w:start w:val="1"/>
    </w:lvl>
  </w:abstractNum>
  <w:abstractNum w:abstractNumId="25">
    <w:nsid w:val="5B25ACE2"/>
    <w:multiLevelType w:val="hybridMultilevel"/>
    <w:lvl w:ilvl="0">
      <w:lvlJc w:val="left"/>
      <w:lvlText w:val="(%1)"/>
      <w:numFmt w:val="decimal"/>
      <w:start w:val="1"/>
    </w:lvl>
  </w:abstractNum>
  <w:abstractNum w:abstractNumId="26">
    <w:nsid w:val="175DFCF0"/>
    <w:multiLevelType w:val="hybridMultilevel"/>
    <w:lvl w:ilvl="0">
      <w:lvlJc w:val="left"/>
      <w:lvlText w:val="(%1)"/>
      <w:numFmt w:val="decimal"/>
      <w:start w:val="1"/>
    </w:lvl>
  </w:abstractNum>
  <w:abstractNum w:abstractNumId="27">
    <w:nsid w:val="4F97E3E4"/>
    <w:multiLevelType w:val="hybridMultilevel"/>
    <w:lvl w:ilvl="0">
      <w:lvlJc w:val="left"/>
      <w:lvlText w:val="(%1)"/>
      <w:numFmt w:val="decimal"/>
      <w:start w:val="1"/>
    </w:lvl>
  </w:abstractNum>
  <w:abstractNum w:abstractNumId="28">
    <w:nsid w:val="53B0A9E"/>
    <w:multiLevelType w:val="hybridMultilevel"/>
    <w:lvl w:ilvl="0">
      <w:lvlJc w:val="left"/>
      <w:lvlText w:val="(%1)"/>
      <w:numFmt w:val="decimal"/>
      <w:start w:val="1"/>
    </w:lvl>
  </w:abstractNum>
  <w:abstractNum w:abstractNumId="29">
    <w:nsid w:val="34FD6B4F"/>
    <w:multiLevelType w:val="hybridMultilevel"/>
    <w:lvl w:ilvl="0">
      <w:lvlJc w:val="left"/>
      <w:lvlText w:val="(%1)"/>
      <w:numFmt w:val="lowerRoman"/>
      <w:start w:val="1"/>
    </w:lvl>
  </w:abstractNum>
  <w:abstractNum w:abstractNumId="30">
    <w:nsid w:val="5915FF32"/>
    <w:multiLevelType w:val="hybridMultilevel"/>
    <w:lvl w:ilvl="0">
      <w:lvlJc w:val="left"/>
      <w:lvlText w:val="(%1)"/>
      <w:numFmt w:val="decimal"/>
      <w:start w:val="3"/>
    </w:lvl>
  </w:abstractNum>
  <w:abstractNum w:abstractNumId="31">
    <w:nsid w:val="56438D15"/>
    <w:multiLevelType w:val="hybridMultilevel"/>
    <w:lvl w:ilvl="0">
      <w:lvlJc w:val="left"/>
      <w:lvlText w:val="%1."/>
      <w:numFmt w:val="decimal"/>
      <w:start w:val="3"/>
    </w:lvl>
  </w:abstractNum>
  <w:abstractNum w:abstractNumId="32">
    <w:nsid w:val="519E3149"/>
    <w:multiLevelType w:val="hybridMultilevel"/>
    <w:lvl w:ilvl="0">
      <w:lvlJc w:val="left"/>
      <w:lvlText w:val="†"/>
      <w:numFmt w:val="bullet"/>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1."/>
      <w:numFmt w:val="decimal"/>
      <w:start w:val="2"/>
    </w:lvl>
  </w:abstractNum>
  <w:abstractNum w:abstractNumId="35">
    <w:nsid w:val="4DF72E4E"/>
    <w:multiLevelType w:val="hybridMultilevel"/>
    <w:lvl w:ilvl="0">
      <w:lvlJc w:val="left"/>
      <w:lvlText w:val="%1."/>
      <w:numFmt w:val="decimal"/>
      <w:start w:val="2"/>
    </w:lvl>
  </w:abstractNum>
  <w:abstractNum w:abstractNumId="36">
    <w:nsid w:val="5046B5A9"/>
    <w:multiLevelType w:val="hybridMultilevel"/>
    <w:lvl w:ilvl="0">
      <w:lvlJc w:val="left"/>
      <w:lvlText w:val="%1."/>
      <w:numFmt w:val="decimal"/>
      <w:start w:val="2"/>
    </w:lvl>
  </w:abstractNum>
  <w:abstractNum w:abstractNumId="37">
    <w:nsid w:val="5D888A08"/>
    <w:multiLevelType w:val="hybridMultilevel"/>
    <w:lvl w:ilvl="0">
      <w:lvlJc w:val="left"/>
      <w:lvlText w:val="%1."/>
      <w:numFmt w:val="decimal"/>
      <w:start w:val="2"/>
    </w:lvl>
  </w:abstractNum>
  <w:abstractNum w:abstractNumId="38">
    <w:nsid w:val="2A082C70"/>
    <w:multiLevelType w:val="hybridMultilevel"/>
    <w:lvl w:ilvl="0">
      <w:lvlJc w:val="left"/>
      <w:lvlText w:val="%1."/>
      <w:numFmt w:val="decimal"/>
      <w:start w:val="2"/>
    </w:lvl>
  </w:abstractNum>
  <w:abstractNum w:abstractNumId="39">
    <w:nsid w:val="5EC6AFD4"/>
    <w:multiLevelType w:val="hybridMultilevel"/>
    <w:lvl w:ilvl="0">
      <w:lvlJc w:val="left"/>
      <w:lvlText w:val="%1."/>
      <w:numFmt w:val="decimal"/>
      <w:start w:val="1"/>
    </w:lvl>
  </w:abstractNum>
  <w:abstractNum w:abstractNumId="40">
    <w:nsid w:val="19E21BB2"/>
    <w:multiLevelType w:val="hybridMultilevel"/>
    <w:lvl w:ilvl="0">
      <w:lvlJc w:val="left"/>
      <w:lvlText w:val="%1."/>
      <w:numFmt w:val="decimal"/>
      <w:start w:val="3"/>
    </w:lvl>
  </w:abstractNum>
  <w:abstractNum w:abstractNumId="41">
    <w:nsid w:val="75E0858A"/>
    <w:multiLevelType w:val="hybridMultilevel"/>
    <w:lvl w:ilvl="0">
      <w:lvlJc w:val="left"/>
      <w:lvlText w:val="%1"/>
      <w:numFmt w:val="decimal"/>
      <w:start w:val="1"/>
    </w:lvl>
    <w:lvl w:ilvl="1">
      <w:lvlJc w:val="left"/>
      <w:lvlText w:val="(%2)"/>
      <w:numFmt w:val="lowerLetter"/>
      <w:start w:val="1"/>
    </w:lvl>
  </w:abstractNum>
  <w:abstractNum w:abstractNumId="42">
    <w:nsid w:val="57A61A29"/>
    <w:multiLevelType w:val="hybridMultilevel"/>
    <w:lvl w:ilvl="0">
      <w:lvlJc w:val="left"/>
      <w:lvlText w:val="%1."/>
      <w:numFmt w:val="decimal"/>
      <w:start w:val="5"/>
    </w:lvl>
    <w:lvl w:ilvl="1">
      <w:lvlJc w:val="left"/>
      <w:lvlText w:val="%2"/>
      <w:numFmt w:val="lowerLetter"/>
      <w:start w:val="1"/>
    </w:lvl>
  </w:abstractNum>
  <w:abstractNum w:abstractNumId="43">
    <w:nsid w:val="5399C654"/>
    <w:multiLevelType w:val="hybridMultilevel"/>
    <w:lvl w:ilvl="0">
      <w:lvlJc w:val="left"/>
      <w:lvlText w:val="%1."/>
      <w:numFmt w:val="decimal"/>
      <w:start w:val="9"/>
    </w:lvl>
  </w:abstractNum>
  <w:abstractNum w:abstractNumId="44">
    <w:nsid w:val="20EE1348"/>
    <w:multiLevelType w:val="hybridMultilevel"/>
    <w:lvl w:ilvl="0">
      <w:lvlJc w:val="left"/>
      <w:lvlText w:val="A"/>
      <w:numFmt w:val="bullet"/>
      <w:start w:val="1"/>
    </w:lvl>
  </w:abstractNum>
  <w:abstractNum w:abstractNumId="45">
    <w:nsid w:val="4427069A"/>
    <w:multiLevelType w:val="hybridMultilevel"/>
    <w:lvl w:ilvl="0">
      <w:lvlJc w:val="left"/>
      <w:lvlText w:val="B"/>
      <w:numFmt w:val="bullet"/>
      <w:start w:val="1"/>
    </w:lvl>
  </w:abstractNum>
  <w:abstractNum w:abstractNumId="46">
    <w:nsid w:val="B37E80A"/>
    <w:multiLevelType w:val="hybridMultilevel"/>
    <w:lvl w:ilvl="0">
      <w:lvlJc w:val="left"/>
      <w:lvlText w:val="(%1)"/>
      <w:numFmt w:val="lowerLetter"/>
      <w:start w:val="1"/>
    </w:lvl>
  </w:abstractNum>
  <w:abstractNum w:abstractNumId="47">
    <w:nsid w:val="2157F6BC"/>
    <w:multiLevelType w:val="hybridMultilevel"/>
    <w:lvl w:ilvl="0">
      <w:lvlJc w:val="left"/>
      <w:lvlText w:val="(%1)"/>
      <w:numFmt w:val="lowerLetter"/>
      <w:start w:val="1"/>
    </w:lvl>
  </w:abstractNum>
  <w:abstractNum w:abstractNumId="48">
    <w:nsid w:val="704E1DD5"/>
    <w:multiLevelType w:val="hybridMultilevel"/>
    <w:lvl w:ilvl="0">
      <w:lvlJc w:val="left"/>
      <w:lvlText w:val="(%1)"/>
      <w:numFmt w:val="lowerRoman"/>
      <w:start w:val="2"/>
    </w:lvl>
  </w:abstractNum>
  <w:abstractNum w:abstractNumId="49">
    <w:nsid w:val="57D2F10E"/>
    <w:multiLevelType w:val="hybridMultilevel"/>
    <w:lvl w:ilvl="0">
      <w:lvlJc w:val="left"/>
      <w:lvlText w:val="(%1)"/>
      <w:numFmt w:val="lowerLetter"/>
      <w:start w:val="1"/>
    </w:lvl>
  </w:abstractNum>
  <w:abstractNum w:abstractNumId="50">
    <w:nsid w:val="BFFAE18"/>
    <w:multiLevelType w:val="hybridMultilevel"/>
    <w:lvl w:ilvl="0">
      <w:lvlJc w:val="left"/>
      <w:lvlText w:val="(%1)"/>
      <w:numFmt w:val="lowerLetter"/>
      <w:start w:val="1"/>
    </w:lvl>
  </w:abstractNum>
  <w:abstractNum w:abstractNumId="51">
    <w:nsid w:val="E3E47A8"/>
    <w:multiLevelType w:val="hybridMultilevel"/>
    <w:lvl w:ilvl="0">
      <w:lvlJc w:val="left"/>
      <w:lvlText w:val="(%1)"/>
      <w:numFmt w:val="lowerLetter"/>
      <w:start w:val="22"/>
    </w:lvl>
  </w:abstractNum>
  <w:abstractNum w:abstractNumId="52">
    <w:nsid w:val="2E48F044"/>
    <w:multiLevelType w:val="hybridMultilevel"/>
    <w:lvl w:ilvl="0">
      <w:lvlJc w:val="left"/>
      <w:lvlText w:val="(%1)"/>
      <w:numFmt w:val="lowerRoman"/>
      <w:start w:val="1"/>
    </w:lvl>
  </w:abstractNum>
  <w:abstractNum w:abstractNumId="53">
    <w:nsid w:val="49D0FEAC"/>
    <w:multiLevelType w:val="hybridMultilevel"/>
    <w:lvl w:ilvl="0">
      <w:lvlJc w:val="left"/>
      <w:lvlText w:val="(%1)"/>
      <w:numFmt w:val="lowerLetter"/>
      <w:start w:val="1"/>
    </w:lvl>
  </w:abstractNum>
  <w:abstractNum w:abstractNumId="54">
    <w:nsid w:val="4BEE5A5B"/>
    <w:multiLevelType w:val="hybridMultilevel"/>
    <w:lvl w:ilvl="0">
      <w:lvlJc w:val="left"/>
      <w:lvlText w:val="(%1)"/>
      <w:numFmt w:val="lowerLetter"/>
      <w:start w:val="4"/>
    </w:lvl>
  </w:abstractNum>
  <w:abstractNum w:abstractNumId="55">
    <w:nsid w:val="5551B9F3"/>
    <w:multiLevelType w:val="hybridMultilevel"/>
    <w:lvl w:ilvl="0">
      <w:lvlJc w:val="left"/>
      <w:lvlText w:val="(%1)"/>
      <w:numFmt w:val="lowerLetter"/>
      <w:start w:val="2"/>
    </w:lvl>
  </w:abstractNum>
  <w:abstractNum w:abstractNumId="56">
    <w:nsid w:val="24F6AB8E"/>
    <w:multiLevelType w:val="hybridMultilevel"/>
    <w:lvl w:ilvl="0">
      <w:lvlJc w:val="left"/>
      <w:lvlText w:val="(%1)"/>
      <w:numFmt w:val="lowerLetter"/>
      <w:start w:val="1"/>
    </w:lvl>
  </w:abstractNum>
  <w:abstractNum w:abstractNumId="57">
    <w:nsid w:val="634C574C"/>
    <w:multiLevelType w:val="hybridMultilevel"/>
    <w:lvl w:ilvl="0">
      <w:lvlJc w:val="left"/>
      <w:lvlText w:val="%1"/>
      <w:numFmt w:val="lowerLetter"/>
      <w:start w:val="1"/>
    </w:lvl>
    <w:lvl w:ilvl="1">
      <w:lvlJc w:val="left"/>
      <w:lvlText w:val="(%2)"/>
      <w:numFmt w:val="lowerLetter"/>
      <w:start w:val="3"/>
    </w:lvl>
  </w:abstractNum>
  <w:abstractNum w:abstractNumId="58">
    <w:nsid w:val="24E99DD7"/>
    <w:multiLevelType w:val="hybridMultilevel"/>
    <w:lvl w:ilvl="0">
      <w:lvlJc w:val="left"/>
      <w:lvlText w:val="(%1)"/>
      <w:numFmt w:val="lowerLetter"/>
      <w:start w:val="4"/>
    </w:lvl>
    <w:lvl w:ilvl="1">
      <w:lvlJc w:val="left"/>
      <w:lvlText w:val="(%2)"/>
      <w:numFmt w:val="lowerLetter"/>
      <w:start w:val="7"/>
    </w:lvl>
  </w:abstractNum>
  <w:abstractNum w:abstractNumId="59">
    <w:nsid w:val="2A31B62D"/>
    <w:multiLevelType w:val="hybridMultilevel"/>
    <w:lvl w:ilvl="0">
      <w:lvlJc w:val="left"/>
      <w:lvlText w:val="(%1)"/>
      <w:numFmt w:val="lowerRoman"/>
      <w:start w:val="1"/>
    </w:lvl>
  </w:abstractNum>
  <w:abstractNum w:abstractNumId="60">
    <w:nsid w:val="1849C29B"/>
    <w:multiLevelType w:val="hybridMultilevel"/>
    <w:lvl w:ilvl="0">
      <w:lvlJc w:val="left"/>
      <w:lvlText w:val="(%1)"/>
      <w:numFmt w:val="lowerLetter"/>
      <w:start w:val="1"/>
    </w:lvl>
  </w:abstractNum>
  <w:abstractNum w:abstractNumId="61">
    <w:nsid w:val="7DFF9D09"/>
    <w:multiLevelType w:val="hybridMultilevel"/>
    <w:lvl w:ilvl="0">
      <w:lvlJc w:val="left"/>
      <w:lvlText w:val="(%1)"/>
      <w:numFmt w:val="lowerLetter"/>
      <w:start w:val="6"/>
    </w:lvl>
  </w:abstractNum>
  <w:abstractNum w:abstractNumId="62">
    <w:nsid w:val="754342"/>
    <w:multiLevelType w:val="hybridMultilevel"/>
    <w:lvl w:ilvl="0">
      <w:lvlJc w:val="left"/>
      <w:lvlText w:val="(%1)"/>
      <w:numFmt w:val="lowerLetter"/>
      <w:start w:val="1"/>
    </w:lvl>
  </w:abstractNum>
  <w:abstractNum w:abstractNumId="63">
    <w:nsid w:val="69E7F3E5"/>
    <w:multiLevelType w:val="hybridMultilevel"/>
    <w:lvl w:ilvl="0">
      <w:lvlJc w:val="left"/>
      <w:lvlText w:val="(%1)"/>
      <w:numFmt w:val="lowerLetter"/>
      <w:start w:val="9"/>
    </w:lvl>
  </w:abstractNum>
  <w:abstractNum w:abstractNumId="64">
    <w:nsid w:val="2A6DE806"/>
    <w:multiLevelType w:val="hybridMultilevel"/>
    <w:lvl w:ilvl="0">
      <w:lvlJc w:val="left"/>
      <w:lvlText w:val="(%1)"/>
      <w:numFmt w:val="lowerLetter"/>
      <w:start w:val="1"/>
    </w:lvl>
  </w:abstractNum>
  <w:abstractNum w:abstractNumId="65">
    <w:nsid w:val="1816F8C4"/>
    <w:multiLevelType w:val="hybridMultilevel"/>
    <w:lvl w:ilvl="0">
      <w:lvlJc w:val="left"/>
      <w:lvlText w:val="(%1)"/>
      <w:numFmt w:val="lowerRoman"/>
      <w:start w:val="2"/>
    </w:lvl>
  </w:abstractNum>
  <w:abstractNum w:abstractNumId="66">
    <w:nsid w:val="37DF2233"/>
    <w:multiLevelType w:val="hybridMultilevel"/>
    <w:lvl w:ilvl="0">
      <w:lvlJc w:val="left"/>
      <w:lvlText w:val="(%1)"/>
      <w:numFmt w:val="lowerLetter"/>
      <w:start w:val="3"/>
    </w:lvl>
  </w:abstractNum>
  <w:abstractNum w:abstractNumId="67">
    <w:nsid w:val="7AB49DAF"/>
    <w:multiLevelType w:val="hybridMultilevel"/>
    <w:lvl w:ilvl="0">
      <w:lvlJc w:val="left"/>
      <w:lvlText w:val="(%1)"/>
      <w:numFmt w:val="lowerLetter"/>
      <w:start w:val="2"/>
    </w:lvl>
  </w:abstractNum>
  <w:abstractNum w:abstractNumId="68">
    <w:nsid w:val="759F82CD"/>
    <w:multiLevelType w:val="hybridMultilevel"/>
    <w:lvl w:ilvl="0">
      <w:lvlJc w:val="left"/>
      <w:lvlText w:val="(%1)"/>
      <w:numFmt w:val="lowerLetter"/>
      <w:start w:val="1"/>
    </w:lvl>
  </w:abstractNum>
  <w:abstractNum w:abstractNumId="69">
    <w:nsid w:val="61E74EA3"/>
    <w:multiLevelType w:val="hybridMultilevel"/>
    <w:lvl w:ilvl="0">
      <w:lvlJc w:val="left"/>
      <w:lvlText w:val="(%1)"/>
      <w:numFmt w:val="lowerLetter"/>
      <w:start w:val="2"/>
    </w:lvl>
  </w:abstractNum>
  <w:abstractNum w:abstractNumId="70">
    <w:nsid w:val="597B4D84"/>
    <w:multiLevelType w:val="hybridMultilevel"/>
    <w:lvl w:ilvl="0">
      <w:lvlJc w:val="left"/>
      <w:lvlText w:val="(%1)"/>
      <w:numFmt w:val="lowerLetter"/>
      <w:start w:val="1"/>
    </w:lvl>
  </w:abstractNum>
  <w:abstractNum w:abstractNumId="71">
    <w:nsid w:val="F819E7F"/>
    <w:multiLevelType w:val="hybridMultilevel"/>
    <w:lvl w:ilvl="0">
      <w:lvlJc w:val="left"/>
      <w:lvlText w:val="(%1)"/>
      <w:numFmt w:val="lowerLetter"/>
      <w:start w:val="3"/>
    </w:lvl>
  </w:abstractNum>
  <w:abstractNum w:abstractNumId="72">
    <w:nsid w:val="57C7D42D"/>
    <w:multiLevelType w:val="hybridMultilevel"/>
    <w:lvl w:ilvl="0">
      <w:lvlJc w:val="left"/>
      <w:lvlText w:val="(%1)"/>
      <w:numFmt w:val="lowerLetter"/>
      <w:start w:val="1"/>
    </w:lvl>
  </w:abstractNum>
  <w:abstractNum w:abstractNumId="73">
    <w:nsid w:val="312167AD"/>
    <w:multiLevelType w:val="hybridMultilevel"/>
    <w:lvl w:ilvl="0">
      <w:lvlJc w:val="left"/>
      <w:lvlText w:val="(%1)"/>
      <w:numFmt w:val="lowerLetter"/>
      <w:start w:val="2"/>
    </w:lvl>
  </w:abstractNum>
  <w:abstractNum w:abstractNumId="74">
    <w:nsid w:val="631B64D4"/>
    <w:multiLevelType w:val="hybridMultilevel"/>
    <w:lvl w:ilvl="0">
      <w:lvlJc w:val="left"/>
      <w:lvlText w:val="%1"/>
      <w:numFmt w:val="lowerLetter"/>
      <w:start w:val="1"/>
    </w:lvl>
    <w:lvl w:ilvl="1">
      <w:lvlJc w:val="left"/>
      <w:lvlText w:val="(%2)"/>
      <w:numFmt w:val="lowerLetter"/>
      <w:start w:val="1"/>
    </w:lvl>
  </w:abstractNum>
  <w:abstractNum w:abstractNumId="75">
    <w:nsid w:val="78B5E776"/>
    <w:multiLevelType w:val="hybridMultilevel"/>
    <w:lvl w:ilvl="0">
      <w:lvlJc w:val="left"/>
      <w:lvlText w:val="(%1)"/>
      <w:numFmt w:val="lowerLetter"/>
      <w:start w:val="22"/>
    </w:lvl>
    <w:lvl w:ilvl="1">
      <w:lvlJc w:val="left"/>
      <w:lvlText w:val="(%2)"/>
      <w:numFmt w:val="lowerLetter"/>
      <w:start w:val="2"/>
    </w:lvl>
  </w:abstractNum>
  <w:abstractNum w:abstractNumId="76">
    <w:nsid w:val="75486E47"/>
    <w:multiLevelType w:val="hybridMultilevel"/>
    <w:lvl w:ilvl="0">
      <w:lvlJc w:val="left"/>
      <w:lvlText w:val="(%1)"/>
      <w:numFmt w:val="lowerLetter"/>
      <w:start w:val="3"/>
    </w:lvl>
  </w:abstractNum>
  <w:abstractNum w:abstractNumId="77">
    <w:nsid w:val="6E534CD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8">
    <w:nsid w:val="1A0DDE32"/>
    <w:multiLevelType w:val="hybridMultilevel"/>
    <w:lvl w:ilvl="0">
      <w:lvlJc w:val="left"/>
      <w:lvlText w:val="(%1)"/>
      <w:numFmt w:val="lowerRoman"/>
      <w:start w:val="3"/>
    </w:lvl>
    <w:lvl w:ilvl="1">
      <w:lvlJc w:val="left"/>
      <w:lvlText w:val="(%2)"/>
      <w:numFmt w:val="upperLetter"/>
      <w:start w:val="1"/>
    </w:lvl>
  </w:abstractNum>
  <w:abstractNum w:abstractNumId="79">
    <w:nsid w:val="65968C1C"/>
    <w:multiLevelType w:val="hybridMultilevel"/>
    <w:lvl w:ilvl="0">
      <w:lvlJc w:val="left"/>
      <w:lvlText w:val="%1"/>
      <w:numFmt w:val="lowerRoman"/>
      <w:start w:val="1"/>
    </w:lvl>
    <w:lvl w:ilvl="1">
      <w:lvlJc w:val="left"/>
      <w:lvlText w:val="(%2)"/>
      <w:numFmt w:val="upperLetter"/>
      <w:start w:val="4"/>
    </w:lvl>
  </w:abstractNum>
  <w:abstractNum w:abstractNumId="80">
    <w:nsid w:val="46263DEC"/>
    <w:multiLevelType w:val="hybridMultilevel"/>
    <w:lvl w:ilvl="0">
      <w:lvlJc w:val="left"/>
      <w:lvlText w:val="(%1)"/>
      <w:numFmt w:val="lowerRoman"/>
      <w:start w:val="4"/>
    </w:lvl>
    <w:lvl w:ilvl="1">
      <w:lvlJc w:val="left"/>
      <w:lvlText w:val="%2"/>
      <w:numFmt w:val="upperLetter"/>
      <w:start w:val="1"/>
    </w:lvl>
  </w:abstractNum>
  <w:abstractNum w:abstractNumId="81">
    <w:nsid w:val="260D8C4A"/>
    <w:multiLevelType w:val="hybridMultilevel"/>
    <w:lvl w:ilvl="0">
      <w:lvlJc w:val="left"/>
      <w:lvlText w:val="(%1)"/>
      <w:numFmt w:val="lowerLetter"/>
      <w:start w:val="2"/>
    </w:lvl>
    <w:lvl w:ilvl="1">
      <w:lvlJc w:val="left"/>
      <w:lvlText w:val="(%2)"/>
      <w:numFmt w:val="lowerRoman"/>
      <w:start w:val="1"/>
    </w:lvl>
  </w:abstractNum>
  <w:abstractNum w:abstractNumId="82">
    <w:nsid w:val="73D4D3C4"/>
    <w:multiLevelType w:val="hybridMultilevel"/>
    <w:lvl w:ilvl="0">
      <w:lvlJc w:val="left"/>
      <w:lvlText w:val="(%1)"/>
      <w:numFmt w:val="decimal"/>
      <w:start w:val="2"/>
    </w:lvl>
    <w:lvl w:ilvl="1">
      <w:lvlJc w:val="left"/>
      <w:lvlText w:val="(%2)"/>
      <w:numFmt w:val="lowerRoman"/>
      <w:start w:val="4"/>
    </w:lvl>
  </w:abstractNum>
  <w:abstractNum w:abstractNumId="83">
    <w:nsid w:val="746F2E30"/>
    <w:multiLevelType w:val="hybridMultilevel"/>
    <w:lvl w:ilvl="0">
      <w:lvlJc w:val="left"/>
      <w:lvlText w:val="(%1)"/>
      <w:numFmt w:val="lowerLetter"/>
      <w:start w:val="3"/>
    </w:lvl>
    <w:lvl w:ilvl="1">
      <w:lvlJc w:val="left"/>
      <w:lvlText w:val="(%2)"/>
      <w:numFmt w:val="lowerLetter"/>
      <w:start w:val="9"/>
    </w:lvl>
  </w:abstractNum>
  <w:abstractNum w:abstractNumId="84">
    <w:nsid w:val="6FDE8AF6"/>
    <w:multiLevelType w:val="hybridMultilevel"/>
    <w:lvl w:ilvl="0">
      <w:lvlJc w:val="left"/>
      <w:lvlText w:val="(%1)"/>
      <w:numFmt w:val="lowerRoman"/>
      <w:start w:val="2"/>
    </w:lvl>
  </w:abstractNum>
  <w:abstractNum w:abstractNumId="85">
    <w:nsid w:val="3FC32E20"/>
    <w:multiLevelType w:val="hybridMultilevel"/>
    <w:lvl w:ilvl="0">
      <w:lvlJc w:val="left"/>
      <w:lvlText w:val="%1"/>
      <w:numFmt w:val="lowerLetter"/>
      <w:start w:val="1"/>
    </w:lvl>
    <w:lvl w:ilvl="1">
      <w:lvlJc w:val="left"/>
      <w:lvlText w:val="(%2)"/>
      <w:numFmt w:val="lowerRoman"/>
      <w:start w:val="6"/>
    </w:lvl>
  </w:abstractNum>
  <w:abstractNum w:abstractNumId="86">
    <w:nsid w:val="49C0E823"/>
    <w:multiLevelType w:val="hybridMultilevel"/>
    <w:lvl w:ilvl="0">
      <w:lvlJc w:val="left"/>
      <w:lvlText w:val="(%1)"/>
      <w:numFmt w:val="lowerLetter"/>
      <w:start w:val="4"/>
    </w:lvl>
    <w:lvl w:ilvl="1">
      <w:lvlJc w:val="left"/>
      <w:lvlText w:val="(%2)"/>
      <w:numFmt w:val="lowerRoman"/>
      <w:start w:val="1"/>
    </w:lvl>
  </w:abstractNum>
  <w:abstractNum w:abstractNumId="87">
    <w:nsid w:val="14D53685"/>
    <w:multiLevelType w:val="hybridMultilevel"/>
    <w:lvl w:ilvl="0">
      <w:lvlJc w:val="left"/>
      <w:lvlText w:val="(%1)"/>
      <w:numFmt w:val="lowerRoman"/>
      <w:start w:val="3"/>
    </w:lvl>
  </w:abstractNum>
  <w:abstractNum w:abstractNumId="88">
    <w:nsid w:val="230F856C"/>
    <w:multiLevelType w:val="hybridMultilevel"/>
    <w:lvl w:ilvl="0">
      <w:lvlJc w:val="left"/>
      <w:lvlText w:val="(%1)"/>
      <w:numFmt w:val="lowerLetter"/>
      <w:start w:val="6"/>
    </w:lvl>
  </w:abstractNum>
  <w:abstractNum w:abstractNumId="89">
    <w:nsid w:val="6EAA85FB"/>
    <w:multiLevelType w:val="hybridMultilevel"/>
    <w:lvl w:ilvl="0">
      <w:lvlJc w:val="left"/>
      <w:lvlText w:val="(%1)"/>
      <w:numFmt w:val="lowerLetter"/>
      <w:start w:val="7"/>
    </w:lvl>
  </w:abstractNum>
  <w:abstractNum w:abstractNumId="90">
    <w:nsid w:val="3F06ECB2"/>
    <w:multiLevelType w:val="hybridMultilevel"/>
    <w:lvl w:ilvl="0">
      <w:lvlJc w:val="left"/>
      <w:lvlText w:val="(%1)"/>
      <w:numFmt w:val="lowerLetter"/>
      <w:start w:val="10"/>
    </w:lvl>
  </w:abstractNum>
  <w:abstractNum w:abstractNumId="91">
    <w:nsid w:val="3B594807"/>
    <w:multiLevelType w:val="hybridMultilevel"/>
    <w:lvl w:ilvl="0">
      <w:lvlJc w:val="left"/>
      <w:lvlText w:val="(%1)"/>
      <w:numFmt w:val="lowerLetter"/>
      <w:start w:val="1"/>
    </w:lvl>
  </w:abstractNum>
  <w:abstractNum w:abstractNumId="92">
    <w:nsid w:val="6CAA2304"/>
    <w:multiLevelType w:val="hybridMultilevel"/>
    <w:lvl w:ilvl="0">
      <w:lvlJc w:val="left"/>
      <w:lvlText w:val="(%1)"/>
      <w:numFmt w:val="lowerLetter"/>
      <w:start w:val="3"/>
    </w:lvl>
    <w:lvl w:ilvl="1">
      <w:lvlJc w:val="left"/>
      <w:lvlText w:val="(%2)"/>
      <w:numFmt w:val="lowerRoman"/>
      <w:start w:val="1"/>
    </w:lvl>
  </w:abstractNum>
  <w:abstractNum w:abstractNumId="93">
    <w:nsid w:val="3F7C2FF4"/>
    <w:multiLevelType w:val="hybridMultilevel"/>
    <w:lvl w:ilvl="0">
      <w:lvlJc w:val="left"/>
      <w:lvlText w:val="%1"/>
      <w:numFmt w:val="lowerLetter"/>
      <w:start w:val="1"/>
    </w:lvl>
    <w:lvl w:ilvl="1">
      <w:lvlJc w:val="left"/>
      <w:lvlText w:val="(%2)"/>
      <w:numFmt w:val="lowerRoman"/>
      <w:start w:val="4"/>
    </w:lvl>
  </w:abstractNum>
  <w:abstractNum w:abstractNumId="94">
    <w:nsid w:val="25413BEC"/>
    <w:multiLevelType w:val="hybridMultilevel"/>
    <w:lvl w:ilvl="0">
      <w:lvlJc w:val="left"/>
      <w:lvlText w:val="(%1)"/>
      <w:numFmt w:val="lowerLetter"/>
      <w:start w:val="4"/>
    </w:lvl>
    <w:lvl w:ilvl="1">
      <w:lvlJc w:val="left"/>
      <w:lvlText w:val="(%2)"/>
      <w:numFmt w:val="lowerRoman"/>
      <w:start w:val="1"/>
    </w:lvl>
  </w:abstractNum>
  <w:abstractNum w:abstractNumId="95">
    <w:nsid w:val="17180B0B"/>
    <w:multiLevelType w:val="hybridMultilevel"/>
    <w:lvl w:ilvl="0">
      <w:lvlJc w:val="left"/>
      <w:lvlText w:val="(%1)"/>
      <w:numFmt w:val="lowerLetter"/>
      <w:start w:val="1"/>
    </w:lvl>
    <w:lvl w:ilvl="1">
      <w:lvlJc w:val="left"/>
      <w:lvlText w:val="(%2)"/>
      <w:numFmt w:val="lowerRoman"/>
      <w:start w:val="1"/>
    </w:lvl>
  </w:abstractNum>
  <w:abstractNum w:abstractNumId="96">
    <w:nsid w:val="579328B9"/>
    <w:multiLevelType w:val="hybridMultilevel"/>
    <w:lvl w:ilvl="0">
      <w:lvlJc w:val="left"/>
      <w:lvlText w:val="(%1)"/>
      <w:numFmt w:val="lowerRoman"/>
      <w:start w:val="2"/>
    </w:lvl>
    <w:lvl w:ilvl="1">
      <w:lvlJc w:val="left"/>
      <w:lvlText w:val="(%2)"/>
      <w:numFmt w:val="upperLetter"/>
      <w:start w:val="1"/>
    </w:lvl>
  </w:abstractNum>
  <w:abstractNum w:abstractNumId="97">
    <w:nsid w:val="5D205E20"/>
    <w:multiLevelType w:val="hybridMultilevel"/>
    <w:lvl w:ilvl="0">
      <w:lvlJc w:val="left"/>
      <w:lvlText w:val="(%1)"/>
      <w:numFmt w:val="lowerRoman"/>
      <w:start w:val="4"/>
    </w:lvl>
  </w:abstractNum>
  <w:abstractNum w:abstractNumId="98">
    <w:nsid w:val="11CCA8BA"/>
    <w:multiLevelType w:val="hybridMultilevel"/>
    <w:lvl w:ilvl="0">
      <w:lvlJc w:val="left"/>
      <w:lvlText w:val="(%1)"/>
      <w:numFmt w:val="lowerLetter"/>
      <w:start w:val="1"/>
    </w:lvl>
  </w:abstractNum>
  <w:abstractNum w:abstractNumId="99">
    <w:nsid w:val="4D32AB86"/>
    <w:multiLevelType w:val="hybridMultilevel"/>
    <w:lvl w:ilvl="0">
      <w:lvlJc w:val="left"/>
      <w:lvlText w:val="(%1)"/>
      <w:numFmt w:val="lowerLetter"/>
      <w:start w:val="1"/>
    </w:lvl>
    <w:lvl w:ilvl="1">
      <w:lvlJc w:val="left"/>
      <w:lvlText w:val="(%2)"/>
      <w:numFmt w:val="lowerLetter"/>
      <w:start w:val="35"/>
    </w:lvl>
  </w:abstractNum>
  <w:abstractNum w:abstractNumId="100">
    <w:nsid w:val="3F07ACC3"/>
    <w:multiLevelType w:val="hybridMultilevel"/>
    <w:lvl w:ilvl="0">
      <w:lvlJc w:val="left"/>
      <w:lvlText w:val="(%1)"/>
      <w:numFmt w:val="lowerLetter"/>
      <w:start w:val="2"/>
    </w:lvl>
    <w:lvl w:ilvl="1">
      <w:lvlJc w:val="left"/>
      <w:lvlText w:val="(%2)"/>
      <w:numFmt w:val="lowerRoman"/>
      <w:start w:val="2"/>
    </w:lvl>
  </w:abstractNum>
  <w:abstractNum w:abstractNumId="101">
    <w:nsid w:val="6B47F63E"/>
    <w:multiLevelType w:val="hybridMultilevel"/>
    <w:lvl w:ilvl="0">
      <w:lvlJc w:val="left"/>
      <w:lvlText w:val="(%1)"/>
      <w:numFmt w:val="lowerLetter"/>
      <w:start w:val="1"/>
    </w:lvl>
    <w:lvl w:ilvl="1">
      <w:lvlJc w:val="left"/>
      <w:lvlText w:val="(%2)"/>
      <w:numFmt w:val="lowerLetter"/>
      <w:start w:val="9"/>
    </w:lvl>
  </w:abstractNum>
  <w:abstractNum w:abstractNumId="102">
    <w:nsid w:val="5CB44A05"/>
    <w:multiLevelType w:val="hybridMultilevel"/>
    <w:lvl w:ilvl="0">
      <w:lvlJc w:val="left"/>
      <w:lvlText w:val="(%1)"/>
      <w:numFmt w:val="lowerRoman"/>
      <w:start w:val="2"/>
    </w:lvl>
  </w:abstractNum>
  <w:abstractNum w:abstractNumId="103">
    <w:nsid w:val="16CF80F1"/>
    <w:multiLevelType w:val="hybridMultilevel"/>
    <w:lvl w:ilvl="0">
      <w:lvlJc w:val="left"/>
      <w:lvlText w:val="(%1)"/>
      <w:numFmt w:val="lowerLetter"/>
      <w:start w:val="1"/>
    </w:lvl>
  </w:abstractNum>
  <w:abstractNum w:abstractNumId="104">
    <w:nsid w:val="1C695DEC"/>
    <w:multiLevelType w:val="hybridMultilevel"/>
    <w:lvl w:ilvl="0">
      <w:lvlJc w:val="left"/>
      <w:lvlText w:val="(%1)"/>
      <w:numFmt w:val="lowerLetter"/>
      <w:start w:val="1"/>
    </w:lvl>
  </w:abstractNum>
  <w:abstractNum w:abstractNumId="105">
    <w:nsid w:val="3FCFAED9"/>
    <w:multiLevelType w:val="hybridMultilevel"/>
    <w:lvl w:ilvl="0">
      <w:lvlJc w:val="left"/>
      <w:lvlText w:val="(%1)"/>
      <w:numFmt w:val="lowerLetter"/>
      <w:start w:val="2"/>
    </w:lvl>
    <w:lvl w:ilvl="1">
      <w:lvlJc w:val="left"/>
      <w:lvlText w:val="(%2)"/>
      <w:numFmt w:val="lowerLetter"/>
      <w:start w:val="35"/>
    </w:lvl>
  </w:abstractNum>
  <w:abstractNum w:abstractNumId="106">
    <w:nsid w:val="F856867"/>
    <w:multiLevelType w:val="hybridMultilevel"/>
    <w:lvl w:ilvl="0">
      <w:lvlJc w:val="left"/>
      <w:lvlText w:val="(%1)"/>
      <w:numFmt w:val="lowerLetter"/>
      <w:start w:val="3"/>
    </w:lvl>
  </w:abstractNum>
  <w:abstractNum w:abstractNumId="107">
    <w:nsid w:val="11B1CC33"/>
    <w:multiLevelType w:val="hybridMultilevel"/>
    <w:lvl w:ilvl="0">
      <w:lvlJc w:val="left"/>
      <w:lvlText w:val="(%1)"/>
      <w:numFmt w:val="lowerLetter"/>
      <w:start w:val="4"/>
    </w:lvl>
  </w:abstractNum>
  <w:abstractNum w:abstractNumId="108">
    <w:nsid w:val="2E22FBB7"/>
    <w:multiLevelType w:val="hybridMultilevel"/>
    <w:lvl w:ilvl="0">
      <w:lvlJc w:val="left"/>
      <w:lvlText w:val="(%1)"/>
      <w:numFmt w:val="lowerRoman"/>
      <w:start w:val="1"/>
    </w:lvl>
  </w:abstractNum>
  <w:abstractNum w:abstractNumId="109">
    <w:nsid w:val="29934699"/>
    <w:multiLevelType w:val="hybridMultilevel"/>
    <w:lvl w:ilvl="0">
      <w:lvlJc w:val="left"/>
      <w:lvlText w:val="(%1)"/>
      <w:numFmt w:val="lowerLetter"/>
      <w:start w:val="1"/>
    </w:lvl>
  </w:abstractNum>
  <w:abstractNum w:abstractNumId="110">
    <w:nsid w:val="77485850"/>
    <w:multiLevelType w:val="hybridMultilevel"/>
    <w:lvl w:ilvl="0">
      <w:lvlJc w:val="left"/>
      <w:lvlText w:val="(%1)"/>
      <w:numFmt w:val="lowerLetter"/>
      <w:start w:val="2"/>
    </w:lvl>
  </w:abstractNum>
  <w:abstractNum w:abstractNumId="111">
    <w:nsid w:val="744939A3"/>
    <w:multiLevelType w:val="hybridMultilevel"/>
    <w:lvl w:ilvl="0">
      <w:lvlJc w:val="left"/>
      <w:lvlText w:val="(%1)"/>
      <w:numFmt w:val="lowerLetter"/>
      <w:start w:val="1"/>
    </w:lvl>
  </w:abstractNum>
  <w:abstractNum w:abstractNumId="112">
    <w:nsid w:val="4FA0D2E3"/>
    <w:multiLevelType w:val="hybridMultilevel"/>
    <w:lvl w:ilvl="0">
      <w:lvlJc w:val="left"/>
      <w:lvlText w:val="(%1)"/>
      <w:numFmt w:val="lowerRoman"/>
      <w:start w:val="1"/>
    </w:lvl>
    <w:lvl w:ilvl="1">
      <w:lvlJc w:val="left"/>
      <w:lvlText w:val="(%2)"/>
      <w:numFmt w:val="upperLetter"/>
      <w:start w:val="1"/>
    </w:lvl>
  </w:abstractNum>
  <w:abstractNum w:abstractNumId="113">
    <w:nsid w:val="6B1D2C14"/>
    <w:multiLevelType w:val="hybridMultilevel"/>
    <w:lvl w:ilvl="0">
      <w:lvlJc w:val="left"/>
      <w:lvlText w:val="%1"/>
      <w:numFmt w:val="lowerLetter"/>
      <w:start w:val="1"/>
    </w:lvl>
    <w:lvl w:ilvl="1">
      <w:lvlJc w:val="left"/>
      <w:lvlText w:val="(%2)"/>
      <w:numFmt w:val="upperLetter"/>
      <w:start w:val="3"/>
    </w:lvl>
  </w:abstractNum>
  <w:abstractNum w:abstractNumId="114">
    <w:nsid w:val="68B867D3"/>
    <w:multiLevelType w:val="hybridMultilevel"/>
    <w:lvl w:ilvl="0">
      <w:lvlJc w:val="left"/>
      <w:lvlText w:val="(%1)"/>
      <w:numFmt w:val="lowerLetter"/>
      <w:start w:val="2"/>
    </w:lvl>
    <w:lvl w:ilvl="1">
      <w:lvlJc w:val="left"/>
      <w:lvlText w:val="%2"/>
      <w:numFmt w:val="upperLetter"/>
      <w:start w:val="1"/>
    </w:lvl>
  </w:abstractNum>
  <w:abstractNum w:abstractNumId="115">
    <w:nsid w:val="3F7F5DD9"/>
    <w:multiLevelType w:val="hybridMultilevel"/>
    <w:lvl w:ilvl="0">
      <w:lvlJc w:val="left"/>
      <w:lvlText w:val="(%1)"/>
      <w:numFmt w:val="lowerLetter"/>
      <w:start w:val="1"/>
    </w:lvl>
    <w:lvl w:ilvl="1">
      <w:lvlJc w:val="left"/>
      <w:lvlText w:val="(%2)"/>
      <w:numFmt w:val="lowerRoman"/>
      <w:start w:val="1"/>
    </w:lvl>
  </w:abstractNum>
  <w:abstractNum w:abstractNumId="116">
    <w:nsid w:val="2AE05A34"/>
    <w:multiLevelType w:val="hybridMultilevel"/>
    <w:lvl w:ilvl="0">
      <w:lvlJc w:val="left"/>
      <w:lvlText w:val="%1"/>
      <w:numFmt w:val="lowerLetter"/>
      <w:start w:val="1"/>
    </w:lvl>
    <w:lvl w:ilvl="1">
      <w:lvlJc w:val="left"/>
      <w:lvlText w:val="(%2)"/>
      <w:numFmt w:val="lowerLetter"/>
      <w:start w:val="35"/>
    </w:lvl>
  </w:abstractNum>
  <w:abstractNum w:abstractNumId="117">
    <w:nsid w:val="32794FF7"/>
    <w:multiLevelType w:val="hybridMultilevel"/>
    <w:lvl w:ilvl="0">
      <w:lvlJc w:val="left"/>
      <w:lvlText w:val="(%1)"/>
      <w:numFmt w:val="lowerLetter"/>
      <w:start w:val="4"/>
    </w:lvl>
    <w:lvl w:ilvl="1">
      <w:lvlJc w:val="left"/>
      <w:lvlText w:val="(%2)"/>
      <w:numFmt w:val="lowerLetter"/>
      <w:start w:val="9"/>
    </w:lvl>
  </w:abstractNum>
  <w:abstractNum w:abstractNumId="118">
    <w:nsid w:val="5454945E"/>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19">
    <w:nsid w:val="4DEFDFA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20">
    <w:nsid w:val="2123D5F2"/>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21">
    <w:nsid w:val="135B8110"/>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22">
    <w:nsid w:val="94927A8"/>
    <w:multiLevelType w:val="hybridMultilevel"/>
    <w:lvl w:ilvl="0">
      <w:lvlJc w:val="left"/>
      <w:lvlText w:val="(%1)"/>
      <w:numFmt w:val="lowerLetter"/>
      <w:start w:val="7"/>
    </w:lvl>
  </w:abstractNum>
  <w:abstractNum w:abstractNumId="123">
    <w:nsid w:val="DCDF8F6"/>
    <w:multiLevelType w:val="hybridMultilevel"/>
    <w:lvl w:ilvl="0">
      <w:lvlJc w:val="left"/>
      <w:lvlText w:val="(%1)"/>
      <w:numFmt w:val="lowerLetter"/>
      <w:start w:val="1"/>
    </w:lvl>
  </w:abstractNum>
  <w:abstractNum w:abstractNumId="124">
    <w:nsid w:val="52D7B105"/>
    <w:multiLevelType w:val="hybridMultilevel"/>
    <w:lvl w:ilvl="0">
      <w:lvlJc w:val="left"/>
      <w:lvlText w:val="(%1)"/>
      <w:numFmt w:val="lowerLetter"/>
      <w:start w:val="2"/>
    </w:lvl>
  </w:abstractNum>
  <w:abstractNum w:abstractNumId="125">
    <w:nsid w:val="2E8A6394"/>
    <w:multiLevelType w:val="hybridMultilevel"/>
    <w:lvl w:ilvl="0">
      <w:lvlJc w:val="left"/>
      <w:lvlText w:val="(%1)"/>
      <w:numFmt w:val="lowerLetter"/>
      <w:start w:val="1"/>
    </w:lvl>
    <w:lvl w:ilvl="1">
      <w:lvlJc w:val="left"/>
      <w:lvlText w:val="(%2)"/>
      <w:numFmt w:val="lowerRoman"/>
      <w:start w:val="1"/>
    </w:lvl>
  </w:abstractNum>
  <w:abstractNum w:abstractNumId="126">
    <w:nsid w:val="24E60401"/>
    <w:multiLevelType w:val="hybridMultilevel"/>
    <w:lvl w:ilvl="0">
      <w:lvlJc w:val="left"/>
      <w:lvlText w:val="(%1)"/>
      <w:numFmt w:val="lowerLetter"/>
      <w:start w:val="2"/>
    </w:lvl>
  </w:abstractNum>
  <w:abstractNum w:abstractNumId="127">
    <w:nsid w:val="2A6AD9BE"/>
    <w:multiLevelType w:val="hybridMultilevel"/>
    <w:lvl w:ilvl="0">
      <w:lvlJc w:val="left"/>
      <w:lvlText w:val="(%1)"/>
      <w:numFmt w:val="lowerLetter"/>
      <w:start w:val="1"/>
    </w:lvl>
  </w:abstractNum>
  <w:abstractNum w:abstractNumId="128">
    <w:nsid w:val="BAAC1B4"/>
    <w:multiLevelType w:val="hybridMultilevel"/>
    <w:lvl w:ilvl="0">
      <w:lvlJc w:val="left"/>
      <w:lvlText w:val="(%1)"/>
      <w:numFmt w:val="lowerLetter"/>
      <w:start w:val="1"/>
    </w:lvl>
  </w:abstractNum>
  <w:abstractNum w:abstractNumId="129">
    <w:nsid w:val="36B2ACBC"/>
    <w:multiLevelType w:val="hybridMultilevel"/>
    <w:lvl w:ilvl="0">
      <w:lvlJc w:val="left"/>
      <w:lvlText w:val="(%1)"/>
      <w:numFmt w:val="lowerLetter"/>
      <w:start w:val="1"/>
    </w:lvl>
  </w:abstractNum>
  <w:abstractNum w:abstractNumId="130">
    <w:nsid w:val="779D8544"/>
    <w:multiLevelType w:val="hybridMultilevel"/>
    <w:lvl w:ilvl="0">
      <w:lvlJc w:val="left"/>
      <w:lvlText w:val="(%1)"/>
      <w:numFmt w:val="lowerLetter"/>
      <w:start w:val="2"/>
    </w:lvl>
  </w:abstractNum>
  <w:abstractNum w:abstractNumId="131">
    <w:nsid w:val="4AB26E78"/>
    <w:multiLevelType w:val="hybridMultilevel"/>
    <w:lvl w:ilvl="0">
      <w:lvlJc w:val="left"/>
      <w:lvlText w:val="(%1)"/>
      <w:numFmt w:val="lowerLetter"/>
      <w:start w:val="1"/>
    </w:lvl>
  </w:abstractNum>
  <w:abstractNum w:abstractNumId="132">
    <w:nsid w:val="21FAA2FA"/>
    <w:multiLevelType w:val="hybridMultilevel"/>
    <w:lvl w:ilvl="0">
      <w:lvlJc w:val="left"/>
      <w:lvlText w:val="(%1)"/>
      <w:numFmt w:val="lowerLetter"/>
      <w:start w:val="2"/>
    </w:lvl>
    <w:lvl w:ilvl="1">
      <w:lvlJc w:val="left"/>
      <w:lvlText w:val="(%2)"/>
      <w:numFmt w:val="lowerRoman"/>
      <w:start w:val="1"/>
    </w:lvl>
  </w:abstractNum>
  <w:abstractNum w:abstractNumId="133">
    <w:nsid w:val="5451CF49"/>
    <w:multiLevelType w:val="hybridMultilevel"/>
    <w:lvl w:ilvl="0">
      <w:lvlJc w:val="left"/>
      <w:lvlText w:val="(%1)"/>
      <w:numFmt w:val="lowerLetter"/>
      <w:start w:val="6"/>
    </w:lvl>
    <w:lvl w:ilvl="1">
      <w:lvlJc w:val="left"/>
      <w:lvlText w:val="(%2)"/>
      <w:numFmt w:val="lowerRoman"/>
      <w:start w:val="1"/>
    </w:lvl>
  </w:abstractNum>
  <w:abstractNum w:abstractNumId="134">
    <w:nsid w:val="6181EF69"/>
    <w:multiLevelType w:val="hybridMultilevel"/>
    <w:lvl w:ilvl="0">
      <w:lvlJc w:val="left"/>
      <w:lvlText w:val="%1"/>
      <w:numFmt w:val="lowerLetter"/>
      <w:start w:val="1"/>
    </w:lvl>
    <w:lvl w:ilvl="1">
      <w:lvlJc w:val="left"/>
      <w:lvlText w:val="(%2)"/>
      <w:numFmt w:val="lowerRoman"/>
      <w:start w:val="6"/>
    </w:lvl>
  </w:abstractNum>
  <w:abstractNum w:abstractNumId="135">
    <w:nsid w:val="3E6400E6"/>
    <w:multiLevelType w:val="hybridMultilevel"/>
    <w:lvl w:ilvl="0">
      <w:lvlJc w:val="left"/>
      <w:lvlText w:val="(%1)"/>
      <w:numFmt w:val="lowerLetter"/>
      <w:start w:val="7"/>
    </w:lvl>
    <w:lvl w:ilvl="1">
      <w:lvlJc w:val="left"/>
      <w:lvlText w:val="%2"/>
      <w:numFmt w:val="lowerRoman"/>
      <w:start w:val="1"/>
    </w:lvl>
  </w:abstractNum>
  <w:abstractNum w:abstractNumId="136">
    <w:nsid w:val="14217E23"/>
    <w:multiLevelType w:val="hybridMultilevel"/>
    <w:lvl w:ilvl="0">
      <w:lvlJc w:val="left"/>
      <w:lvlText w:val="(%1)"/>
      <w:numFmt w:val="lowerLetter"/>
      <w:start w:val="1"/>
    </w:lvl>
  </w:abstractNum>
  <w:abstractNum w:abstractNumId="137">
    <w:nsid w:val="710757D0"/>
    <w:multiLevelType w:val="hybridMultilevel"/>
    <w:lvl w:ilvl="0">
      <w:lvlJc w:val="left"/>
      <w:lvlText w:val="%1"/>
      <w:numFmt w:val="lowerLetter"/>
      <w:start w:val="1"/>
    </w:lvl>
    <w:lvl w:ilvl="1">
      <w:lvlJc w:val="left"/>
      <w:lvlText w:val="(%2)"/>
      <w:numFmt w:val="lowerLetter"/>
      <w:start w:val="1"/>
    </w:lvl>
  </w:abstractNum>
  <w:abstractNum w:abstractNumId="138">
    <w:nsid w:val="5015CD1A"/>
    <w:multiLevelType w:val="hybridMultilevel"/>
    <w:lvl w:ilvl="0">
      <w:lvlJc w:val="left"/>
      <w:lvlText w:val="(%1)"/>
      <w:numFmt w:val="lowerLetter"/>
      <w:start w:val="61"/>
    </w:lvl>
    <w:lvl w:ilvl="1">
      <w:lvlJc w:val="left"/>
      <w:lvlText w:val="(%2)"/>
      <w:numFmt w:val="lowerLetter"/>
      <w:start w:val="3"/>
    </w:lvl>
  </w:abstractNum>
  <w:abstractNum w:abstractNumId="139">
    <w:nsid w:val="424479DA"/>
    <w:multiLevelType w:val="hybridMultilevel"/>
    <w:lvl w:ilvl="0">
      <w:lvlJc w:val="left"/>
      <w:lvlText w:val="(%1)"/>
      <w:numFmt w:val="lowerLetter"/>
      <w:start w:val="5"/>
    </w:lvl>
  </w:abstractNum>
  <w:abstractNum w:abstractNumId="140">
    <w:nsid w:val="1A9A9E69"/>
    <w:multiLevelType w:val="hybridMultilevel"/>
    <w:lvl w:ilvl="0">
      <w:lvlJc w:val="left"/>
      <w:lvlText w:val="(%1)"/>
      <w:numFmt w:val="lowerLetter"/>
      <w:start w:val="1"/>
    </w:lvl>
  </w:abstractNum>
  <w:abstractNum w:abstractNumId="141">
    <w:nsid w:val="475E256A"/>
    <w:multiLevelType w:val="hybridMultilevel"/>
    <w:lvl w:ilvl="0">
      <w:lvlJc w:val="left"/>
      <w:lvlText w:val="(%1)"/>
      <w:numFmt w:val="lowerLetter"/>
      <w:start w:val="1"/>
    </w:lvl>
  </w:abstractNum>
  <w:abstractNum w:abstractNumId="142">
    <w:nsid w:val="368DB37E"/>
    <w:multiLevelType w:val="hybridMultilevel"/>
    <w:lvl w:ilvl="0">
      <w:lvlJc w:val="left"/>
      <w:lvlText w:val="(%1)"/>
      <w:numFmt w:val="lowerLetter"/>
      <w:start w:val="4"/>
    </w:lvl>
  </w:abstractNum>
  <w:abstractNum w:abstractNumId="143">
    <w:nsid w:val="6A3B714C"/>
    <w:multiLevelType w:val="hybridMultilevel"/>
    <w:lvl w:ilvl="0">
      <w:lvlJc w:val="left"/>
      <w:lvlText w:val="(%1)"/>
      <w:numFmt w:val="lowerLetter"/>
      <w:start w:val="1"/>
    </w:lvl>
  </w:abstractNum>
  <w:abstractNum w:abstractNumId="144">
    <w:nsid w:val="327B517E"/>
    <w:multiLevelType w:val="hybridMultilevel"/>
    <w:lvl w:ilvl="0">
      <w:lvlJc w:val="left"/>
      <w:lvlText w:val="(%1)"/>
      <w:numFmt w:val="lowerLetter"/>
      <w:start w:val="1"/>
    </w:lvl>
  </w:abstractNum>
  <w:abstractNum w:abstractNumId="145">
    <w:nsid w:val="1F461B51"/>
    <w:multiLevelType w:val="hybridMultilevel"/>
    <w:lvl w:ilvl="0">
      <w:lvlJc w:val="left"/>
      <w:lvlText w:val="(%1)"/>
      <w:numFmt w:val="lowerLetter"/>
      <w:start w:val="2"/>
    </w:lvl>
  </w:abstractNum>
  <w:abstractNum w:abstractNumId="146">
    <w:nsid w:val="29BACF25"/>
    <w:multiLevelType w:val="hybridMultilevel"/>
    <w:lvl w:ilvl="0">
      <w:lvlJc w:val="left"/>
      <w:lvlText w:val="(%1)"/>
      <w:numFmt w:val="lowerLetter"/>
      <w:start w:val="1"/>
    </w:lvl>
  </w:abstractNum>
  <w:abstractNum w:abstractNumId="147">
    <w:nsid w:val="5D5BABB3"/>
    <w:multiLevelType w:val="hybridMultilevel"/>
    <w:lvl w:ilvl="0">
      <w:lvlJc w:val="left"/>
      <w:lvlText w:val="(%1)"/>
      <w:numFmt w:val="lowerLetter"/>
      <w:start w:val="1"/>
    </w:lvl>
  </w:abstractNum>
  <w:abstractNum w:abstractNumId="148">
    <w:nsid w:val="51BF6B48"/>
    <w:multiLevelType w:val="hybridMultilevel"/>
    <w:lvl w:ilvl="0">
      <w:lvlJc w:val="left"/>
      <w:lvlText w:val="(%1)"/>
      <w:numFmt w:val="lowerLetter"/>
      <w:start w:val="2"/>
    </w:lvl>
  </w:abstractNum>
  <w:abstractNum w:abstractNumId="149">
    <w:nsid w:val="7E0F6384"/>
    <w:multiLevelType w:val="hybridMultilevel"/>
    <w:lvl w:ilvl="0">
      <w:lvlJc w:val="left"/>
      <w:lvlText w:val="(%1)"/>
      <w:numFmt w:val="lowerLetter"/>
      <w:start w:val="1"/>
    </w:lvl>
  </w:abstractNum>
  <w:abstractNum w:abstractNumId="150">
    <w:nsid w:val="2B4B8B53"/>
    <w:multiLevelType w:val="hybridMultilevel"/>
    <w:lvl w:ilvl="0">
      <w:lvlJc w:val="left"/>
      <w:lvlText w:val="(%1)"/>
      <w:numFmt w:val="lowerLetter"/>
      <w:start w:val="3"/>
    </w:lvl>
  </w:abstractNum>
  <w:abstractNum w:abstractNumId="151">
    <w:nsid w:val="72E3413A"/>
    <w:multiLevelType w:val="hybridMultilevel"/>
    <w:lvl w:ilvl="0">
      <w:lvlJc w:val="left"/>
      <w:lvlText w:val="(%1)"/>
      <w:numFmt w:val="lowerLetter"/>
      <w:start w:val="1"/>
    </w:lvl>
  </w:abstractNum>
  <w:abstractNum w:abstractNumId="152">
    <w:nsid w:val="116AE494"/>
    <w:multiLevelType w:val="hybridMultilevel"/>
    <w:lvl w:ilvl="0">
      <w:lvlJc w:val="left"/>
      <w:lvlText w:val="(%1)"/>
      <w:numFmt w:val="lowerLetter"/>
      <w:start w:val="5"/>
    </w:lvl>
  </w:abstractNum>
  <w:abstractNum w:abstractNumId="153">
    <w:nsid w:val="3494B2FB"/>
    <w:multiLevelType w:val="hybridMultilevel"/>
    <w:lvl w:ilvl="0">
      <w:lvlJc w:val="left"/>
      <w:lvlText w:val="(%1)"/>
      <w:numFmt w:val="lowerLetter"/>
      <w:start w:val="1"/>
    </w:lvl>
  </w:abstractNum>
  <w:abstractNum w:abstractNumId="154">
    <w:nsid w:val="B13A31"/>
    <w:multiLevelType w:val="hybridMultilevel"/>
    <w:lvl w:ilvl="0">
      <w:lvlJc w:val="left"/>
      <w:lvlText w:val="(%1)"/>
      <w:numFmt w:val="lowerLetter"/>
      <w:start w:val="1"/>
    </w:lvl>
  </w:abstractNum>
  <w:abstractNum w:abstractNumId="155">
    <w:nsid w:val="64429599"/>
    <w:multiLevelType w:val="hybridMultilevel"/>
    <w:lvl w:ilvl="0">
      <w:lvlJc w:val="left"/>
      <w:lvlText w:val="(%1)"/>
      <w:numFmt w:val="lowerLetter"/>
      <w:start w:val="3"/>
    </w:lvl>
  </w:abstractNum>
  <w:abstractNum w:abstractNumId="156">
    <w:nsid w:val="631F1690"/>
    <w:multiLevelType w:val="hybridMultilevel"/>
    <w:lvl w:ilvl="0">
      <w:lvlJc w:val="left"/>
      <w:lvlText w:val="(%1)"/>
      <w:numFmt w:val="lowerLetter"/>
      <w:start w:val="1"/>
    </w:lvl>
  </w:abstractNum>
  <w:abstractNum w:abstractNumId="157">
    <w:nsid w:val="25973E32"/>
    <w:multiLevelType w:val="hybridMultilevel"/>
    <w:lvl w:ilvl="0">
      <w:lvlJc w:val="left"/>
      <w:lvlText w:val="(%1)"/>
      <w:numFmt w:val="lowerLetter"/>
      <w:start w:val="1"/>
    </w:lvl>
  </w:abstractNum>
  <w:abstractNum w:abstractNumId="158">
    <w:nsid w:val="EAD6F57"/>
    <w:multiLevelType w:val="hybridMultilevel"/>
    <w:lvl w:ilvl="0">
      <w:lvlJc w:val="left"/>
      <w:lvlText w:val="(%1)"/>
      <w:numFmt w:val="lowerLetter"/>
      <w:start w:val="1"/>
    </w:lvl>
  </w:abstractNum>
  <w:abstractNum w:abstractNumId="159">
    <w:nsid w:val="6EC9D844"/>
    <w:multiLevelType w:val="hybridMultilevel"/>
    <w:lvl w:ilvl="0">
      <w:lvlJc w:val="left"/>
      <w:lvlText w:val="(%1)"/>
      <w:numFmt w:val="lowerLetter"/>
      <w:start w:val="1"/>
    </w:lvl>
  </w:abstractNum>
  <w:abstractNum w:abstractNumId="160">
    <w:nsid w:val="5C49EAEE"/>
    <w:multiLevelType w:val="hybridMultilevel"/>
    <w:lvl w:ilvl="0">
      <w:lvlJc w:val="left"/>
      <w:lvlText w:val="(%1)"/>
      <w:numFmt w:val="lowerLetter"/>
      <w:start w:val="1"/>
    </w:lvl>
  </w:abstractNum>
  <w:abstractNum w:abstractNumId="161">
    <w:nsid w:val="64AF49B"/>
    <w:multiLevelType w:val="hybridMultilevel"/>
    <w:lvl w:ilvl="0">
      <w:lvlJc w:val="left"/>
      <w:lvlText w:val="(%1)"/>
      <w:numFmt w:val="lowerLetter"/>
      <w:start w:val="1"/>
    </w:lvl>
  </w:abstractNum>
  <w:abstractNum w:abstractNumId="162">
    <w:nsid w:val="397C46BC"/>
    <w:multiLevelType w:val="hybridMultilevel"/>
    <w:lvl w:ilvl="0">
      <w:lvlJc w:val="left"/>
      <w:lvlText w:val="(%1)"/>
      <w:numFmt w:val="lowerLetter"/>
      <w:start w:val="4"/>
    </w:lvl>
  </w:abstractNum>
  <w:abstractNum w:abstractNumId="163">
    <w:nsid w:val="7E448DE9"/>
    <w:multiLevelType w:val="hybridMultilevel"/>
    <w:lvl w:ilvl="0">
      <w:lvlJc w:val="left"/>
      <w:lvlText w:val="(%1)"/>
      <w:numFmt w:val="upperLetter"/>
      <w:start w:val="1"/>
    </w:lvl>
    <w:lvl w:ilvl="1">
      <w:lvlJc w:val="left"/>
      <w:lvlText w:val="(%2)"/>
      <w:numFmt w:val="lowerLetter"/>
      <w:start w:val="10"/>
    </w:lvl>
  </w:abstractNum>
  <w:abstractNum w:abstractNumId="164">
    <w:nsid w:val="5A9CC3E5"/>
    <w:multiLevelType w:val="hybridMultilevel"/>
    <w:lvl w:ilvl="0">
      <w:lvlJc w:val="left"/>
      <w:lvlText w:val="(%1)"/>
      <w:numFmt w:val="lowerLetter"/>
      <w:start w:val="15"/>
    </w:lvl>
  </w:abstractNum>
  <w:abstractNum w:abstractNumId="165">
    <w:nsid w:val="1AFE3625"/>
    <w:multiLevelType w:val="hybridMultilevel"/>
    <w:lvl w:ilvl="0">
      <w:lvlJc w:val="left"/>
      <w:lvlText w:val="(%1)"/>
      <w:numFmt w:val="lowerLetter"/>
      <w:start w:val="1"/>
    </w:lvl>
  </w:abstractNum>
  <w:abstractNum w:abstractNumId="166">
    <w:nsid w:val="3CA88ECF"/>
    <w:multiLevelType w:val="hybridMultilevel"/>
    <w:lvl w:ilvl="0">
      <w:lvlJc w:val="left"/>
      <w:lvlText w:val="%1"/>
      <w:numFmt w:val="lowerLetter"/>
      <w:start w:val="1"/>
    </w:lvl>
    <w:lvl w:ilvl="1">
      <w:lvlJc w:val="left"/>
      <w:lvlText w:val="(%2)"/>
      <w:numFmt w:val="lowerLetter"/>
      <w:start w:val="7"/>
    </w:lvl>
  </w:abstractNum>
  <w:abstractNum w:abstractNumId="167">
    <w:nsid w:val="6EBE4208"/>
    <w:multiLevelType w:val="hybridMultilevel"/>
    <w:lvl w:ilvl="0">
      <w:lvlJc w:val="left"/>
      <w:lvlText w:val="(%1)"/>
      <w:numFmt w:val="lowerLetter"/>
      <w:start w:val="35"/>
    </w:lvl>
    <w:lvl w:ilvl="1">
      <w:lvlJc w:val="left"/>
      <w:lvlText w:val="(%2)"/>
      <w:numFmt w:val="lowerLetter"/>
      <w:start w:val="8"/>
    </w:lvl>
  </w:abstractNum>
  <w:abstractNum w:abstractNumId="168">
    <w:nsid w:val="C058DF5"/>
    <w:multiLevelType w:val="hybridMultilevel"/>
    <w:lvl w:ilvl="0">
      <w:lvlJc w:val="left"/>
      <w:lvlText w:val="(%1)"/>
      <w:numFmt w:val="lowerLetter"/>
      <w:start w:val="1"/>
    </w:lvl>
  </w:abstractNum>
  <w:abstractNum w:abstractNumId="169">
    <w:nsid w:val="CBE5BE9"/>
    <w:multiLevelType w:val="hybridMultilevel"/>
    <w:lvl w:ilvl="0">
      <w:lvlJc w:val="left"/>
      <w:lvlText w:val="(%1)"/>
      <w:numFmt w:val="lowerLetter"/>
      <w:start w:val="8"/>
    </w:lvl>
  </w:abstractNum>
  <w:abstractNum w:abstractNumId="170">
    <w:nsid w:val="3102BBE2"/>
    <w:multiLevelType w:val="hybridMultilevel"/>
    <w:lvl w:ilvl="0">
      <w:lvlJc w:val="left"/>
      <w:lvlText w:val="(%1)"/>
      <w:numFmt w:val="lowerLetter"/>
      <w:start w:val="3"/>
    </w:lvl>
  </w:abstractNum>
  <w:abstractNum w:abstractNumId="171">
    <w:nsid w:val="26A02C5E"/>
    <w:multiLevelType w:val="hybridMultilevel"/>
    <w:lvl w:ilvl="0">
      <w:lvlJc w:val="left"/>
      <w:lvlText w:val="(%1)"/>
      <w:numFmt w:val="lowerLetter"/>
      <w:start w:val="1"/>
    </w:lvl>
  </w:abstractNum>
  <w:abstractNum w:abstractNumId="172">
    <w:nsid w:val="541C8153"/>
    <w:multiLevelType w:val="hybridMultilevel"/>
    <w:lvl w:ilvl="0">
      <w:lvlJc w:val="left"/>
      <w:lvlText w:val="(%1)"/>
      <w:numFmt w:val="lowerLetter"/>
      <w:start w:val="7"/>
    </w:lvl>
  </w:abstractNum>
  <w:abstractNum w:abstractNumId="173">
    <w:nsid w:val="67906F60"/>
    <w:multiLevelType w:val="hybridMultilevel"/>
    <w:lvl w:ilvl="0">
      <w:lvlJc w:val="left"/>
      <w:lvlText w:val="(%1)"/>
      <w:numFmt w:val="lowerLetter"/>
      <w:start w:val="1"/>
    </w:lvl>
  </w:abstractNum>
  <w:abstractNum w:abstractNumId="174">
    <w:nsid w:val="10DB9DAA"/>
    <w:multiLevelType w:val="hybridMultilevel"/>
    <w:lvl w:ilvl="0">
      <w:lvlJc w:val="left"/>
      <w:lvlText w:val="(%1)"/>
      <w:numFmt w:val="lowerLetter"/>
      <w:start w:val="1"/>
    </w:lvl>
  </w:abstractNum>
  <w:abstractNum w:abstractNumId="175">
    <w:nsid w:val="697D2D2"/>
    <w:multiLevelType w:val="hybridMultilevel"/>
    <w:lvl w:ilvl="0">
      <w:lvlJc w:val="left"/>
      <w:lvlText w:val="(%1)"/>
      <w:numFmt w:val="lowerLetter"/>
      <w:start w:val="1"/>
    </w:lvl>
  </w:abstractNum>
  <w:abstractNum w:abstractNumId="176">
    <w:nsid w:val="6D68AB2"/>
    <w:multiLevelType w:val="hybridMultilevel"/>
    <w:lvl w:ilvl="0">
      <w:lvlJc w:val="left"/>
      <w:lvlText w:val="(%1)"/>
      <w:numFmt w:val="lowerLetter"/>
      <w:start w:val="3"/>
    </w:lvl>
  </w:abstractNum>
  <w:abstractNum w:abstractNumId="177">
    <w:nsid w:val="3A966CD0"/>
    <w:multiLevelType w:val="hybridMultilevel"/>
    <w:lvl w:ilvl="0">
      <w:lvlJc w:val="left"/>
      <w:lvlText w:val="(%1)"/>
      <w:numFmt w:val="lowerLetter"/>
      <w:start w:val="1"/>
    </w:lvl>
    <w:lvl w:ilvl="1">
      <w:lvlJc w:val="left"/>
      <w:lvlText w:val="(%2)"/>
      <w:numFmt w:val="lowerRoman"/>
      <w:start w:val="1"/>
    </w:lvl>
  </w:abstractNum>
  <w:abstractNum w:abstractNumId="178">
    <w:nsid w:val="63F37E85"/>
    <w:multiLevelType w:val="hybridMultilevel"/>
    <w:lvl w:ilvl="0">
      <w:lvlJc w:val="left"/>
      <w:lvlText w:val="(%1)"/>
      <w:numFmt w:val="lowerLetter"/>
      <w:start w:val="3"/>
    </w:lvl>
  </w:abstractNum>
  <w:abstractNum w:abstractNumId="179">
    <w:nsid w:val="5895F5F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0">
    <w:nsid w:val="38A5D054"/>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181">
    <w:nsid w:val="F3F09D8"/>
    <w:multiLevelType w:val="hybridMultilevel"/>
    <w:lvl w:ilvl="0">
      <w:lvlJc w:val="left"/>
      <w:lvlText w:val="(%1)"/>
      <w:numFmt w:val="lowerLetter"/>
      <w:start w:val="6"/>
    </w:lvl>
  </w:abstractNum>
  <w:abstractNum w:abstractNumId="182">
    <w:nsid w:val="4B793735"/>
    <w:multiLevelType w:val="hybridMultilevel"/>
    <w:lvl w:ilvl="0">
      <w:lvlJc w:val="left"/>
      <w:lvlText w:val="(%1)"/>
      <w:numFmt w:val="lowerLetter"/>
      <w:start w:val="12"/>
    </w:lvl>
  </w:abstractNum>
  <w:abstractNum w:abstractNumId="183">
    <w:nsid w:val="4A10B4E8"/>
    <w:multiLevelType w:val="hybridMultilevel"/>
    <w:lvl w:ilvl="0">
      <w:lvlJc w:val="left"/>
      <w:lvlText w:val="(%1)"/>
      <w:numFmt w:val="lowerLetter"/>
      <w:start w:val="1"/>
    </w:lvl>
  </w:abstractNum>
  <w:abstractNum w:abstractNumId="184">
    <w:nsid w:val="43D3BCD4"/>
    <w:multiLevelType w:val="hybridMultilevel"/>
    <w:lvl w:ilvl="0">
      <w:lvlJc w:val="left"/>
      <w:lvlText w:val="(%1)"/>
      <w:numFmt w:val="lowerLetter"/>
      <w:start w:val="1"/>
    </w:lvl>
  </w:abstractNum>
  <w:abstractNum w:abstractNumId="185">
    <w:nsid w:val="4C2A7166"/>
    <w:multiLevelType w:val="hybridMultilevel"/>
    <w:lvl w:ilvl="0">
      <w:lvlJc w:val="left"/>
      <w:lvlText w:val="(%1)"/>
      <w:numFmt w:val="lowerLetter"/>
      <w:start w:val="3"/>
    </w:lvl>
  </w:abstractNum>
  <w:abstractNum w:abstractNumId="186">
    <w:nsid w:val="2E534A82"/>
    <w:multiLevelType w:val="hybridMultilevel"/>
    <w:lvl w:ilvl="0">
      <w:lvlJc w:val="left"/>
      <w:lvlText w:val="(%1)"/>
      <w:numFmt w:val="lowerLetter"/>
      <w:start w:val="1"/>
    </w:lvl>
  </w:abstractNum>
  <w:abstractNum w:abstractNumId="187">
    <w:nsid w:val="26F2D364"/>
    <w:multiLevelType w:val="hybridMultilevel"/>
    <w:lvl w:ilvl="0">
      <w:lvlJc w:val="left"/>
      <w:lvlText w:val="(%1)"/>
      <w:numFmt w:val="lowerLetter"/>
      <w:start w:val="2"/>
    </w:lvl>
  </w:abstractNum>
  <w:abstractNum w:abstractNumId="188">
    <w:nsid w:val="71C1AF98"/>
    <w:multiLevelType w:val="hybridMultilevel"/>
    <w:lvl w:ilvl="0">
      <w:lvlJc w:val="left"/>
      <w:lvlText w:val="(%1)"/>
      <w:numFmt w:val="lowerLetter"/>
      <w:start w:val="1"/>
    </w:lvl>
  </w:abstractNum>
  <w:abstractNum w:abstractNumId="189">
    <w:nsid w:val="3D00B9D9"/>
    <w:multiLevelType w:val="hybridMultilevel"/>
    <w:lvl w:ilvl="0">
      <w:lvlJc w:val="left"/>
      <w:lvlText w:val="(%1)"/>
      <w:numFmt w:val="lowerLetter"/>
      <w:start w:val="1"/>
    </w:lvl>
  </w:abstractNum>
  <w:abstractNum w:abstractNumId="190">
    <w:nsid w:val="15BCABA8"/>
    <w:multiLevelType w:val="hybridMultilevel"/>
    <w:lvl w:ilvl="0">
      <w:lvlJc w:val="left"/>
      <w:lvlText w:val="(%1)"/>
      <w:numFmt w:val="lowerLetter"/>
      <w:start w:val="1"/>
    </w:lvl>
    <w:lvl w:ilvl="1">
      <w:lvlJc w:val="left"/>
      <w:lvlText w:val="(%2)"/>
      <w:numFmt w:val="lowerRoman"/>
      <w:start w:val="1"/>
    </w:lvl>
  </w:abstractNum>
  <w:abstractNum w:abstractNumId="191">
    <w:nsid w:val="4E0B9A87"/>
    <w:multiLevelType w:val="hybridMultilevel"/>
    <w:lvl w:ilvl="0">
      <w:lvlJc w:val="left"/>
      <w:lvlText w:val="%1"/>
      <w:numFmt w:val="lowerLetter"/>
      <w:start w:val="1"/>
    </w:lvl>
    <w:lvl w:ilvl="1">
      <w:lvlJc w:val="left"/>
      <w:lvlText w:val="(%2)"/>
      <w:numFmt w:val="lowerRoman"/>
      <w:start w:val="4"/>
    </w:lvl>
  </w:abstractNum>
  <w:abstractNum w:abstractNumId="192">
    <w:nsid w:val="434BAE75"/>
    <w:multiLevelType w:val="hybridMultilevel"/>
    <w:lvl w:ilvl="0">
      <w:lvlJc w:val="left"/>
      <w:lvlText w:val="(%1)"/>
      <w:numFmt w:val="lowerLetter"/>
      <w:start w:val="2"/>
    </w:lvl>
    <w:lvl w:ilvl="1">
      <w:lvlJc w:val="left"/>
      <w:lvlText w:val="%2"/>
      <w:numFmt w:val="lowerRoman"/>
      <w:start w:val="1"/>
    </w:lvl>
  </w:abstractNum>
  <w:abstractNum w:abstractNumId="193">
    <w:nsid w:val="4F38F265"/>
    <w:multiLevelType w:val="hybridMultilevel"/>
    <w:lvl w:ilvl="0">
      <w:lvlJc w:val="left"/>
      <w:lvlText w:val="(%1)"/>
      <w:numFmt w:val="lowerRoman"/>
      <w:start w:val="2"/>
    </w:lvl>
  </w:abstractNum>
  <w:abstractNum w:abstractNumId="194">
    <w:nsid w:val="4C502870"/>
    <w:multiLevelType w:val="hybridMultilevel"/>
    <w:lvl w:ilvl="0">
      <w:lvlJc w:val="left"/>
      <w:lvlText w:val="(%1)"/>
      <w:numFmt w:val="lowerLetter"/>
      <w:start w:val="1"/>
    </w:lvl>
    <w:lvl w:ilvl="1">
      <w:lvlJc w:val="left"/>
      <w:lvlText w:val="(%2)"/>
      <w:numFmt w:val="lowerRoman"/>
      <w:start w:val="1"/>
    </w:lvl>
  </w:abstractNum>
  <w:abstractNum w:abstractNumId="195">
    <w:nsid w:val="1DE8725A"/>
    <w:multiLevelType w:val="hybridMultilevel"/>
    <w:lvl w:ilvl="0">
      <w:lvlJc w:val="left"/>
      <w:lvlText w:val="(%1)"/>
      <w:numFmt w:val="lowerLetter"/>
      <w:start w:val="2"/>
    </w:lvl>
  </w:abstractNum>
  <w:abstractNum w:abstractNumId="196">
    <w:nsid w:val="6A37288A"/>
    <w:multiLevelType w:val="hybridMultilevel"/>
    <w:lvl w:ilvl="0">
      <w:lvlJc w:val="left"/>
      <w:lvlText w:val="%1"/>
      <w:numFmt w:val="lowerLetter"/>
      <w:start w:val="1"/>
    </w:lvl>
    <w:lvl w:ilvl="1">
      <w:lvlJc w:val="left"/>
      <w:lvlText w:val="(%2)"/>
      <w:numFmt w:val="lowerLetter"/>
      <w:start w:val="3"/>
    </w:lvl>
  </w:abstractNum>
  <w:abstractNum w:abstractNumId="197">
    <w:nsid w:val="8F8B73F"/>
    <w:multiLevelType w:val="hybridMultilevel"/>
    <w:lvl w:ilvl="0">
      <w:lvlJc w:val="left"/>
      <w:lvlText w:val="(%1)"/>
      <w:numFmt w:val="lowerLetter"/>
      <w:start w:val="35"/>
    </w:lvl>
    <w:lvl w:ilvl="1">
      <w:lvlJc w:val="left"/>
      <w:lvlText w:val="(%2)"/>
      <w:numFmt w:val="lowerLetter"/>
      <w:start w:val="5"/>
    </w:lvl>
  </w:abstractNum>
  <w:abstractNum w:abstractNumId="198">
    <w:nsid w:val="CA6B462"/>
    <w:multiLevelType w:val="hybridMultilevel"/>
    <w:lvl w:ilvl="0">
      <w:lvlJc w:val="left"/>
      <w:lvlText w:val="(%1)"/>
      <w:numFmt w:val="lowerLetter"/>
      <w:start w:val="1"/>
    </w:lvl>
  </w:abstractNum>
  <w:abstractNum w:abstractNumId="199">
    <w:nsid w:val="763CB680"/>
    <w:multiLevelType w:val="hybridMultilevel"/>
    <w:lvl w:ilvl="0">
      <w:lvlJc w:val="left"/>
      <w:lvlText w:val="%1"/>
      <w:numFmt w:val="lowerLetter"/>
      <w:start w:val="1"/>
    </w:lvl>
    <w:lvl w:ilvl="1">
      <w:lvlJc w:val="left"/>
      <w:lvlText w:val="(%2)"/>
      <w:numFmt w:val="lowerLetter"/>
      <w:start w:val="2"/>
    </w:lvl>
  </w:abstractNum>
  <w:abstractNum w:abstractNumId="200">
    <w:nsid w:val="15B71329"/>
    <w:multiLevelType w:val="hybridMultilevel"/>
    <w:lvl w:ilvl="0">
      <w:lvlJc w:val="left"/>
      <w:lvlText w:val="(%1)"/>
      <w:numFmt w:val="lowerLetter"/>
      <w:start w:val="35"/>
    </w:lvl>
    <w:lvl w:ilvl="1">
      <w:lvlJc w:val="left"/>
      <w:lvlText w:val="(%2)"/>
      <w:numFmt w:val="lowerLetter"/>
      <w:start w:val="3"/>
    </w:lvl>
  </w:abstractNum>
  <w:abstractNum w:abstractNumId="201">
    <w:nsid w:val="3DA97044"/>
    <w:multiLevelType w:val="hybridMultilevel"/>
    <w:lvl w:ilvl="0">
      <w:lvlJc w:val="left"/>
      <w:lvlText w:val="(%1)"/>
      <w:numFmt w:val="lowerLetter"/>
      <w:start w:val="4"/>
    </w:lvl>
  </w:abstractNum>
  <w:abstractNum w:abstractNumId="202">
    <w:nsid w:val="1CDCE2DE"/>
    <w:multiLevelType w:val="hybridMultilevel"/>
    <w:lvl w:ilvl="0">
      <w:lvlJc w:val="left"/>
      <w:lvlText w:val="(%1)"/>
      <w:numFmt w:val="lowerLetter"/>
      <w:start w:val="1"/>
    </w:lvl>
  </w:abstractNum>
  <w:abstractNum w:abstractNumId="203">
    <w:nsid w:val="69D3947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4">
    <w:nsid w:val="2539DFA5"/>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2"/>
    </w:lvl>
  </w:abstractNum>
  <w:abstractNum w:abstractNumId="205">
    <w:nsid w:val="2DB88089"/>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206">
    <w:nsid w:val="706B674E"/>
    <w:multiLevelType w:val="hybridMultilevel"/>
    <w:lvl w:ilvl="0">
      <w:lvlJc w:val="left"/>
      <w:lvlText w:val="(%1)"/>
      <w:numFmt w:val="upperLetter"/>
      <w:start w:val="2"/>
    </w:lvl>
    <w:lvl w:ilvl="1">
      <w:lvlJc w:val="left"/>
      <w:lvlText w:val="(%2)"/>
      <w:numFmt w:val="lowerRoman"/>
      <w:start w:val="6"/>
    </w:lvl>
    <w:lvl w:ilvl="2">
      <w:lvlJc w:val="left"/>
      <w:lvlText w:val="%3"/>
      <w:numFmt w:val="upperLetter"/>
      <w:start w:val="1"/>
    </w:lvl>
  </w:abstractNum>
  <w:abstractNum w:abstractNumId="207">
    <w:nsid w:val="2C106A57"/>
    <w:multiLevelType w:val="hybridMultilevel"/>
    <w:lvl w:ilvl="0">
      <w:lvlJc w:val="left"/>
      <w:lvlText w:val="(%1)"/>
      <w:numFmt w:val="lowerLetter"/>
      <w:start w:val="3"/>
    </w:lvl>
  </w:abstractNum>
  <w:abstractNum w:abstractNumId="208">
    <w:nsid w:val="684EED59"/>
    <w:multiLevelType w:val="hybridMultilevel"/>
    <w:lvl w:ilvl="0">
      <w:lvlJc w:val="left"/>
      <w:lvlText w:val="(%1)"/>
      <w:numFmt w:val="lowerLetter"/>
      <w:start w:val="5"/>
    </w:lvl>
  </w:abstractNum>
  <w:abstractNum w:abstractNumId="209">
    <w:nsid w:val="545EE5D3"/>
    <w:multiLevelType w:val="hybridMultilevel"/>
    <w:lvl w:ilvl="0">
      <w:lvlJc w:val="left"/>
      <w:lvlText w:val="(%1)"/>
      <w:numFmt w:val="lowerLetter"/>
      <w:start w:val="4"/>
    </w:lvl>
  </w:abstractNum>
  <w:abstractNum w:abstractNumId="210">
    <w:nsid w:val="4A66051"/>
    <w:multiLevelType w:val="hybridMultilevel"/>
    <w:lvl w:ilvl="0">
      <w:lvlJc w:val="left"/>
      <w:lvlText w:val="(%1)"/>
      <w:numFmt w:val="lowerRoman"/>
      <w:start w:val="10"/>
    </w:lvl>
  </w:abstractNum>
  <w:abstractNum w:abstractNumId="211">
    <w:nsid w:val="20F4BDAD"/>
    <w:multiLevelType w:val="hybridMultilevel"/>
    <w:lvl w:ilvl="0">
      <w:lvlJc w:val="left"/>
      <w:lvlText w:val="(%1)"/>
      <w:numFmt w:val="lowerLetter"/>
      <w:start w:val="1"/>
    </w:lvl>
  </w:abstractNum>
  <w:abstractNum w:abstractNumId="212">
    <w:nsid w:val="639DEFAC"/>
    <w:multiLevelType w:val="hybridMultilevel"/>
    <w:lvl w:ilvl="0">
      <w:lvlJc w:val="left"/>
      <w:lvlText w:val="(%1)"/>
      <w:numFmt w:val="lowerLetter"/>
      <w:start w:val="1"/>
    </w:lvl>
  </w:abstractNum>
  <w:abstractNum w:abstractNumId="213">
    <w:nsid w:val="501F9786"/>
    <w:multiLevelType w:val="hybridMultilevel"/>
    <w:lvl w:ilvl="0">
      <w:lvlJc w:val="left"/>
      <w:lvlText w:val="(%1)"/>
      <w:numFmt w:val="lowerLetter"/>
      <w:start w:val="2"/>
    </w:lvl>
  </w:abstractNum>
  <w:abstractNum w:abstractNumId="214">
    <w:nsid w:val="6B057295"/>
    <w:multiLevelType w:val="hybridMultilevel"/>
    <w:lvl w:ilvl="0">
      <w:lvlJc w:val="left"/>
      <w:lvlText w:val="(%1)"/>
      <w:numFmt w:val="upperLetter"/>
      <w:start w:val="3"/>
    </w:lvl>
  </w:abstractNum>
  <w:abstractNum w:abstractNumId="215">
    <w:nsid w:val="2771AC80"/>
    <w:multiLevelType w:val="hybridMultilevel"/>
    <w:lvl w:ilvl="0">
      <w:lvlJc w:val="left"/>
      <w:lvlText w:val="%1."/>
      <w:numFmt w:val="decimal"/>
      <w:start w:val="1"/>
    </w:lvl>
    <w:lvl w:ilvl="1">
      <w:lvlJc w:val="left"/>
      <w:lvlText w:val="%2)"/>
      <w:numFmt w:val="lowerLetter"/>
      <w:start w:val="1"/>
    </w:lvl>
  </w:abstractNum>
  <w:abstractNum w:abstractNumId="216">
    <w:nsid w:val="1C4A08EC"/>
    <w:multiLevelType w:val="hybridMultilevel"/>
    <w:lvl w:ilvl="0">
      <w:lvlJc w:val="left"/>
      <w:lvlText w:val="%1."/>
      <w:numFmt w:val="decimal"/>
      <w:start w:val="1"/>
    </w:lvl>
    <w:lvl w:ilvl="1">
      <w:lvlJc w:val="left"/>
      <w:lvlText w:val="%2)"/>
      <w:numFmt w:val="lowerLetter"/>
      <w:start w:val="1"/>
    </w:lvl>
  </w:abstractNum>
  <w:abstractNum w:abstractNumId="217">
    <w:nsid w:val="1958BD17"/>
    <w:multiLevelType w:val="hybridMultilevel"/>
    <w:lvl w:ilvl="0">
      <w:lvlJc w:val="left"/>
      <w:lvlText w:val="(%1)"/>
      <w:numFmt w:val="decimal"/>
      <w:start w:val="1"/>
    </w:lvl>
  </w:abstractNum>
  <w:abstractNum w:abstractNumId="218">
    <w:nsid w:val="4E647FE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2019-12-29T12:51:22Z</dcterms:created>
  <dcterms:modified xsi:type="dcterms:W3CDTF">2019-12-29T12:51:22Z</dcterms:modified>
</cp:coreProperties>
</file>