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380"/>
        <w:spacing w:after="0"/>
        <w:tabs>
          <w:tab w:leader="none" w:pos="6700" w:val="left"/>
          <w:tab w:leader="none" w:pos="7960" w:val="left"/>
        </w:tabs>
        <w:rPr>
          <w:sz w:val="20"/>
          <w:szCs w:val="20"/>
          <w:color w:val="auto"/>
        </w:rPr>
      </w:pPr>
      <w:r>
        <w:rPr>
          <w:rFonts w:ascii="Arial" w:cs="Arial" w:eastAsia="Arial" w:hAnsi="Arial"/>
          <w:sz w:val="18"/>
          <w:szCs w:val="18"/>
          <w:b w:val="1"/>
          <w:bCs w:val="1"/>
          <w:color w:val="auto"/>
        </w:rPr>
        <w:t>For the transition period from [</w:t>
      </w:r>
      <w:r>
        <w:rPr>
          <w:sz w:val="20"/>
          <w:szCs w:val="20"/>
          <w:color w:val="auto"/>
        </w:rPr>
        <w:tab/>
      </w:r>
      <w:r>
        <w:rPr>
          <w:rFonts w:ascii="Arial" w:cs="Arial" w:eastAsia="Arial" w:hAnsi="Arial"/>
          <w:sz w:val="18"/>
          <w:szCs w:val="18"/>
          <w:b w:val="1"/>
          <w:bCs w:val="1"/>
          <w:color w:val="auto"/>
        </w:rPr>
        <w:t>] to [</w:t>
      </w:r>
      <w:r>
        <w:rPr>
          <w:sz w:val="20"/>
          <w:szCs w:val="20"/>
          <w:color w:val="auto"/>
        </w:rPr>
        <w:tab/>
      </w:r>
      <w:r>
        <w:rPr>
          <w:rFonts w:ascii="Arial" w:cs="Arial" w:eastAsia="Arial" w:hAnsi="Arial"/>
          <w:sz w:val="18"/>
          <w:szCs w:val="18"/>
          <w:b w:val="1"/>
          <w:bCs w:val="1"/>
          <w:color w:val="auto"/>
        </w:rPr>
        <w: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3300 W. CAMELBACK ROAD, PHOENIX, ARIZONA 85017</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(602) 639-7500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460" w:type="dxa"/>
        <w:tblCellMar>
          <w:top w:w="0" w:type="dxa"/>
          <w:left w:w="0" w:type="dxa"/>
          <w:bottom w:w="0" w:type="dxa"/>
          <w:right w:w="0" w:type="dxa"/>
        </w:tblCellMar>
      </w:tblPr>
      <w:tr>
        <w:trPr>
          <w:trHeight w:val="185"/>
        </w:trPr>
        <w:tc>
          <w:tcPr>
            <w:tcW w:w="180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Grand</w:t>
            </w:r>
          </w:p>
        </w:tc>
        <w:tc>
          <w:tcPr>
            <w:tcW w:w="1260" w:type="dxa"/>
            <w:vAlign w:val="bottom"/>
          </w:tcPr>
          <w:p>
            <w:pPr>
              <w:spacing w:after="0"/>
              <w:rPr>
                <w:sz w:val="20"/>
                <w:szCs w:val="20"/>
                <w:color w:val="auto"/>
              </w:rPr>
            </w:pPr>
            <w:r>
              <w:rPr>
                <w:rFonts w:ascii="Arial" w:cs="Arial" w:eastAsia="Arial" w:hAnsi="Arial"/>
                <w:sz w:val="14"/>
                <w:szCs w:val="14"/>
                <w:b w:val="1"/>
                <w:bCs w:val="1"/>
                <w:color w:val="auto"/>
                <w:w w:val="92"/>
              </w:rPr>
              <w:t>(Title of Each Class)</w:t>
            </w:r>
          </w:p>
        </w:tc>
        <w:tc>
          <w:tcPr>
            <w:tcW w:w="10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800" w:type="dxa"/>
            <w:vAlign w:val="bottom"/>
            <w:vMerge w:val="continue"/>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900" w:type="dxa"/>
            <w:vAlign w:val="bottom"/>
            <w:gridSpan w:val="3"/>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800" w:type="dxa"/>
            <w:vAlign w:val="bottom"/>
            <w:vMerge w:val="continue"/>
          </w:tcPr>
          <w:p>
            <w:pPr>
              <w:spacing w:after="0"/>
              <w:rPr>
                <w:sz w:val="14"/>
                <w:szCs w:val="14"/>
                <w:color w:val="auto"/>
              </w:rPr>
            </w:pPr>
          </w:p>
        </w:tc>
        <w:tc>
          <w:tcPr>
            <w:tcW w:w="2260" w:type="dxa"/>
            <w:vAlign w:val="bottom"/>
            <w:gridSpan w:val="2"/>
          </w:tcPr>
          <w:p>
            <w:pPr>
              <w:spacing w:after="0" w:line="164" w:lineRule="exact"/>
              <w:rPr>
                <w:sz w:val="20"/>
                <w:szCs w:val="20"/>
                <w:color w:val="auto"/>
              </w:rPr>
            </w:pPr>
            <w:r>
              <w:rPr>
                <w:rFonts w:ascii="Arial" w:cs="Arial" w:eastAsia="Arial" w:hAnsi="Arial"/>
                <w:sz w:val="18"/>
                <w:szCs w:val="18"/>
                <w:b w:val="1"/>
                <w:bCs w:val="1"/>
                <w:color w:val="auto"/>
              </w:rPr>
              <w:t>Canyon Education, Inc.</w:t>
            </w:r>
          </w:p>
        </w:tc>
        <w:tc>
          <w:tcPr>
            <w:tcW w:w="23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900" w:type="dxa"/>
            <w:vAlign w:val="bottom"/>
            <w:gridSpan w:val="3"/>
          </w:tcPr>
          <w:p>
            <w:pPr>
              <w:jc w:val="center"/>
              <w:spacing w:after="0" w:line="164" w:lineRule="exact"/>
              <w:rPr>
                <w:sz w:val="20"/>
                <w:szCs w:val="20"/>
                <w:color w:val="auto"/>
              </w:rPr>
            </w:pPr>
            <w:r>
              <w:rPr>
                <w:rFonts w:ascii="Arial" w:cs="Arial" w:eastAsia="Arial" w:hAnsi="Arial"/>
                <w:sz w:val="18"/>
                <w:szCs w:val="18"/>
                <w:b w:val="1"/>
                <w:bCs w:val="1"/>
                <w:color w:val="auto"/>
                <w:w w:val="96"/>
              </w:rPr>
              <w:t>The NASDAQ Global Market</w:t>
            </w: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60" w:type="dxa"/>
            <w:vAlign w:val="bottom"/>
            <w:gridSpan w:val="3"/>
          </w:tcPr>
          <w:p>
            <w:pPr>
              <w:ind w:left="1260"/>
              <w:spacing w:after="0"/>
              <w:rPr>
                <w:sz w:val="20"/>
                <w:szCs w:val="20"/>
                <w:color w:val="auto"/>
              </w:rPr>
            </w:pPr>
            <w:r>
              <w:rPr>
                <w:rFonts w:ascii="Arial" w:cs="Arial" w:eastAsia="Arial" w:hAnsi="Arial"/>
                <w:sz w:val="18"/>
                <w:szCs w:val="18"/>
                <w:b w:val="1"/>
                <w:bCs w:val="1"/>
                <w:color w:val="auto"/>
              </w:rPr>
              <w:t>Common stock, $.01 par value</w:t>
            </w: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800" w:type="dxa"/>
            <w:vAlign w:val="bottom"/>
          </w:tcPr>
          <w:p>
            <w:pPr>
              <w:spacing w:after="0"/>
              <w:rPr>
                <w:sz w:val="24"/>
                <w:szCs w:val="24"/>
                <w:color w:val="auto"/>
              </w:rPr>
            </w:pPr>
          </w:p>
        </w:tc>
        <w:tc>
          <w:tcPr>
            <w:tcW w:w="6820" w:type="dxa"/>
            <w:vAlign w:val="bottom"/>
            <w:gridSpan w:val="5"/>
          </w:tcPr>
          <w:p>
            <w:pPr>
              <w:jc w:val="center"/>
              <w:ind w:left="16"/>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60" w:type="dxa"/>
            <w:vAlign w:val="bottom"/>
            <w:gridSpan w:val="3"/>
          </w:tcPr>
          <w:p>
            <w:pPr>
              <w:jc w:val="center"/>
              <w:ind w:right="2079"/>
              <w:spacing w:after="0"/>
              <w:rPr>
                <w:sz w:val="20"/>
                <w:szCs w:val="20"/>
                <w:color w:val="auto"/>
              </w:rPr>
            </w:pPr>
            <w:r>
              <w:rPr>
                <w:rFonts w:ascii="Arial" w:cs="Arial" w:eastAsia="Arial" w:hAnsi="Arial"/>
                <w:sz w:val="18"/>
                <w:szCs w:val="18"/>
                <w:b w:val="1"/>
                <w:bCs w:val="1"/>
                <w:color w:val="auto"/>
                <w:w w:val="88"/>
              </w:rPr>
              <w:t>None</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60" w:type="dxa"/>
            <w:vAlign w:val="bottom"/>
            <w:gridSpan w:val="3"/>
          </w:tcPr>
          <w:p>
            <w:pPr>
              <w:jc w:val="center"/>
              <w:ind w:right="2099"/>
              <w:spacing w:after="0"/>
              <w:rPr>
                <w:sz w:val="20"/>
                <w:szCs w:val="20"/>
                <w:color w:val="auto"/>
              </w:rPr>
            </w:pPr>
            <w:r>
              <w:rPr>
                <w:rFonts w:ascii="Arial" w:cs="Arial" w:eastAsia="Arial" w:hAnsi="Arial"/>
                <w:sz w:val="14"/>
                <w:szCs w:val="14"/>
                <w:b w:val="1"/>
                <w:bCs w:val="1"/>
                <w:color w:val="auto"/>
                <w:w w:val="91"/>
              </w:rPr>
              <w:t>(Title of class)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6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0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56"/>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ectPr>
          <w:pgSz w:w="11900" w:h="16894" w:orient="portrait"/>
          <w:cols w:equalWidth="0" w:num="1">
            <w:col w:w="11380"/>
          </w:cols>
          <w:pgMar w:left="240" w:top="230" w:right="27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 Rule 12b-2 of the Exchange Act. (Check one):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0"/>
          <w:szCs w:val="20"/>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60"/>
        <w:spacing w:after="0" w:line="207" w:lineRule="exact"/>
        <w:tabs>
          <w:tab w:leader="none" w:pos="9540" w:val="left"/>
          <w:tab w:leader="none" w:pos="102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number of shares of common stock outstanding as of February 16, 2018 was 48,292,274.</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June 30, 2017, the last business day of the registrant’s most recently completed second fiscal quarter, the registrant’s common stock was listed on the NASDAQ Global Market. As of June 30, 2017, the aggregate market value of the registrant’s common stock held by non-affiliates was approximately $3.7 billion.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0" w:firstLine="447"/>
        <w:spacing w:after="0" w:line="308" w:lineRule="auto"/>
        <w:rPr>
          <w:sz w:val="20"/>
          <w:szCs w:val="20"/>
          <w:color w:val="auto"/>
        </w:rPr>
      </w:pPr>
      <w:r>
        <w:rPr>
          <w:rFonts w:ascii="Arial" w:cs="Arial" w:eastAsia="Arial" w:hAnsi="Arial"/>
          <w:sz w:val="17"/>
          <w:szCs w:val="17"/>
          <w:color w:val="auto"/>
        </w:rPr>
        <w:t>Certain portions of the registrant’s Definitive Proxy Statement for its 2018 Annual Meeting of Stockholders (which is expected to be filed with the Commission within 120 days after the end of the registrant’s 2017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180" w:type="dxa"/>
            <w:vAlign w:val="bottom"/>
            <w:gridSpan w:val="11"/>
          </w:tcPr>
          <w:p>
            <w:pPr>
              <w:jc w:val="center"/>
              <w:ind w:right="3520"/>
              <w:spacing w:after="0"/>
              <w:rPr>
                <w:sz w:val="20"/>
                <w:szCs w:val="20"/>
                <w:color w:val="auto"/>
              </w:rPr>
            </w:pPr>
            <w:r>
              <w:rPr>
                <w:rFonts w:ascii="Arial" w:cs="Arial" w:eastAsia="Arial" w:hAnsi="Arial"/>
                <w:sz w:val="18"/>
                <w:szCs w:val="18"/>
                <w:color w:val="auto"/>
                <w:w w:val="98"/>
              </w:rPr>
              <w:t>GRAND CANYON EDUCATION, INC.</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20" w:type="dxa"/>
            <w:vAlign w:val="bottom"/>
            <w:gridSpan w:val="7"/>
          </w:tcPr>
          <w:p>
            <w:pPr>
              <w:jc w:val="center"/>
              <w:ind w:right="4860"/>
              <w:spacing w:after="0"/>
              <w:rPr>
                <w:sz w:val="20"/>
                <w:szCs w:val="20"/>
                <w:color w:val="auto"/>
              </w:rPr>
            </w:pPr>
            <w:r>
              <w:rPr>
                <w:rFonts w:ascii="Arial" w:cs="Arial" w:eastAsia="Arial" w:hAnsi="Arial"/>
                <w:sz w:val="18"/>
                <w:szCs w:val="18"/>
                <w:color w:val="auto"/>
                <w:w w:val="95"/>
              </w:rPr>
              <w:t>FORM 10-K</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6"/>
          </w:tcPr>
          <w:p>
            <w:pPr>
              <w:jc w:val="center"/>
              <w:ind w:right="5040"/>
              <w:spacing w:after="0"/>
              <w:rPr>
                <w:sz w:val="20"/>
                <w:szCs w:val="20"/>
                <w:color w:val="auto"/>
              </w:rPr>
            </w:pPr>
            <w:r>
              <w:rPr>
                <w:rFonts w:ascii="Arial" w:cs="Arial" w:eastAsia="Arial" w:hAnsi="Arial"/>
                <w:sz w:val="18"/>
                <w:szCs w:val="18"/>
                <w:color w:val="auto"/>
              </w:rPr>
              <w:t>INDEX</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60" w:type="dxa"/>
            <w:vAlign w:val="bottom"/>
            <w:gridSpan w:val="4"/>
            <w:vMerge w:val="restart"/>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gridSpan w:val="2"/>
            <w:vMerge w:val="continue"/>
          </w:tcPr>
          <w:p>
            <w:pPr>
              <w:spacing w:after="0"/>
              <w:rPr>
                <w:sz w:val="13"/>
                <w:szCs w:val="13"/>
                <w:color w:val="auto"/>
              </w:rPr>
            </w:pPr>
          </w:p>
        </w:tc>
        <w:tc>
          <w:tcPr>
            <w:tcW w:w="16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060" w:type="dxa"/>
            <w:vAlign w:val="bottom"/>
            <w:gridSpan w:val="2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60" w:type="dxa"/>
            <w:vAlign w:val="bottom"/>
            <w:tcBorders>
              <w:top w:val="single" w:sz="8" w:color="0000EE"/>
            </w:tcBorders>
          </w:tcPr>
          <w:p>
            <w:pPr>
              <w:spacing w:after="0"/>
              <w:rPr>
                <w:sz w:val="24"/>
                <w:szCs w:val="24"/>
                <w:color w:val="auto"/>
              </w:rPr>
            </w:pPr>
          </w:p>
        </w:tc>
        <w:tc>
          <w:tcPr>
            <w:tcW w:w="3520" w:type="dxa"/>
            <w:vAlign w:val="bottom"/>
            <w:tcBorders>
              <w:top w:val="single" w:sz="8" w:color="0000EE"/>
            </w:tcBorders>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718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1A. Risk Factors</w:t>
              </w:r>
            </w:hyperlink>
          </w:p>
        </w:tc>
        <w:tc>
          <w:tcPr>
            <w:tcW w:w="9100" w:type="dxa"/>
            <w:vAlign w:val="bottom"/>
            <w:gridSpan w:val="1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1B. Unresolved Staff Comments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7"/>
          </w:tcPr>
          <w:p>
            <w:pPr>
              <w:spacing w:after="0"/>
              <w:rPr>
                <w:sz w:val="24"/>
                <w:szCs w:val="24"/>
                <w:color w:val="auto"/>
              </w:rPr>
            </w:pPr>
          </w:p>
        </w:tc>
        <w:tc>
          <w:tcPr>
            <w:tcW w:w="7980" w:type="dxa"/>
            <w:vAlign w:val="bottom"/>
            <w:gridSpan w:val="1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3. Legal Proceedings</w:t>
              </w:r>
            </w:hyperlink>
          </w:p>
        </w:tc>
        <w:tc>
          <w:tcPr>
            <w:tcW w:w="8800" w:type="dxa"/>
            <w:vAlign w:val="bottom"/>
            <w:gridSpan w:val="1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Item 4. Mine Safety Disclosures</w:t>
              </w:r>
            </w:hyperlink>
          </w:p>
        </w:tc>
        <w:tc>
          <w:tcPr>
            <w:tcW w:w="8360" w:type="dxa"/>
            <w:vAlign w:val="bottom"/>
            <w:gridSpan w:val="1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760" w:type="dxa"/>
            <w:vAlign w:val="bottom"/>
            <w:gridSpan w:val="6"/>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w:t>
              </w:r>
            </w:hyperlink>
          </w:p>
        </w:tc>
        <w:tc>
          <w:tcPr>
            <w:tcW w:w="10300" w:type="dxa"/>
            <w:vAlign w:val="bottom"/>
            <w:gridSpan w:val="23"/>
          </w:tcPr>
          <w:p>
            <w:pPr>
              <w:ind w:left="20"/>
              <w:spacing w:after="0"/>
              <w:rPr>
                <w:rFonts w:ascii="Arial" w:cs="Arial" w:eastAsia="Arial" w:hAnsi="Arial"/>
                <w:sz w:val="18"/>
                <w:szCs w:val="18"/>
                <w:color w:val="0000EE"/>
              </w:rPr>
            </w:pPr>
            <w:hyperlink w:anchor="page42">
              <w:r>
                <w:rPr>
                  <w:rFonts w:ascii="Arial" w:cs="Arial" w:eastAsia="Arial" w:hAnsi="Arial"/>
                  <w:sz w:val="18"/>
                  <w:szCs w:val="18"/>
                  <w:color w:val="0000EE"/>
                </w:rPr>
                <w:t>5. Market for Registrant’s Common Equity, Related Stockholder Matters and Issuer Purchases of Equity Securities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8680" w:type="dxa"/>
            <w:vAlign w:val="bottom"/>
            <w:tcBorders>
              <w:top w:val="single" w:sz="8" w:color="0000EE"/>
            </w:tcBorders>
            <w:gridSpan w:val="2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6. Selected Consolidated Financial and Other Data</w:t>
              </w:r>
            </w:hyperlink>
          </w:p>
        </w:tc>
        <w:tc>
          <w:tcPr>
            <w:tcW w:w="20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w:t>
              </w:r>
            </w:hyperlink>
          </w:p>
        </w:tc>
        <w:tc>
          <w:tcPr>
            <w:tcW w:w="10300" w:type="dxa"/>
            <w:vAlign w:val="bottom"/>
            <w:gridSpan w:val="23"/>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7. Management’s Discussion and Analysis of Financial Condition and Results of Operations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06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Item 7A. Quantitative and Qualitative Disclosures About Market Risk</w:t>
              </w:r>
            </w:hyperlink>
          </w:p>
        </w:tc>
        <w:tc>
          <w:tcPr>
            <w:tcW w:w="2000" w:type="dxa"/>
            <w:vAlign w:val="bottom"/>
            <w:tcBorders>
              <w:top w:val="single" w:sz="8" w:color="0000EE"/>
            </w:tcBorders>
            <w:gridSpan w:val="2"/>
          </w:tcPr>
          <w:p>
            <w:pPr>
              <w:spacing w:after="0"/>
              <w:rPr>
                <w:sz w:val="24"/>
                <w:szCs w:val="24"/>
                <w:color w:val="auto"/>
              </w:rPr>
            </w:pPr>
          </w:p>
        </w:tc>
        <w:tc>
          <w:tcPr>
            <w:tcW w:w="364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8. Consolidated Financial Statements and Supplementary Data</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00" w:type="dxa"/>
            <w:vAlign w:val="bottom"/>
            <w:tcBorders>
              <w:bottom w:val="single" w:sz="8" w:color="0000EE"/>
            </w:tcBorders>
            <w:gridSpan w:val="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w:t>
              </w:r>
            </w:hyperlink>
          </w:p>
        </w:tc>
        <w:tc>
          <w:tcPr>
            <w:tcW w:w="672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9. Changes in and Disagreements With Accountants on Accounting and Financial Disclosure</w:t>
              </w:r>
            </w:hyperlink>
          </w:p>
        </w:tc>
        <w:tc>
          <w:tcPr>
            <w:tcW w:w="358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Item 9A. Controls and Procedures</w:t>
              </w:r>
            </w:hyperlink>
          </w:p>
        </w:tc>
        <w:tc>
          <w:tcPr>
            <w:tcW w:w="8220" w:type="dxa"/>
            <w:vAlign w:val="bottom"/>
            <w:gridSpan w:val="1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00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Item 9B. Other Information</w:t>
              </w:r>
            </w:hyperlink>
          </w:p>
        </w:tc>
        <w:tc>
          <w:tcPr>
            <w:tcW w:w="8700" w:type="dxa"/>
            <w:vAlign w:val="bottom"/>
            <w:gridSpan w:val="1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III</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10. Directors, Executive Officers and Corporate Governance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5"/>
          </w:tcPr>
          <w:p>
            <w:pPr>
              <w:spacing w:after="0"/>
              <w:rPr>
                <w:sz w:val="24"/>
                <w:szCs w:val="24"/>
                <w:color w:val="auto"/>
              </w:rPr>
            </w:pPr>
          </w:p>
        </w:tc>
        <w:tc>
          <w:tcPr>
            <w:tcW w:w="596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00" w:type="dxa"/>
            <w:vAlign w:val="bottom"/>
            <w:tcBorders>
              <w:bottom w:val="single" w:sz="8" w:color="0000EE"/>
            </w:tcBorders>
            <w:gridSpan w:val="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w:t>
              </w:r>
            </w:hyperlink>
          </w:p>
        </w:tc>
        <w:tc>
          <w:tcPr>
            <w:tcW w:w="7600" w:type="dxa"/>
            <w:vAlign w:val="bottom"/>
            <w:tcBorders>
              <w:bottom w:val="single" w:sz="8" w:color="0000EE"/>
            </w:tcBorders>
            <w:gridSpan w:val="21"/>
          </w:tcPr>
          <w:p>
            <w:pPr>
              <w:ind w:left="20"/>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12. Security Ownership of Certain Beneficial Owners and Management and Related Stockholder Matters</w:t>
              </w:r>
            </w:hyperlink>
          </w:p>
        </w:tc>
        <w:tc>
          <w:tcPr>
            <w:tcW w:w="270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00" w:type="dxa"/>
            <w:vAlign w:val="bottom"/>
            <w:gridSpan w:val="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w:t>
              </w:r>
            </w:hyperlink>
          </w:p>
        </w:tc>
        <w:tc>
          <w:tcPr>
            <w:tcW w:w="10300" w:type="dxa"/>
            <w:vAlign w:val="bottom"/>
            <w:gridSpan w:val="23"/>
          </w:tcPr>
          <w:p>
            <w:pPr>
              <w:ind w:left="20"/>
              <w:spacing w:after="0"/>
              <w:rPr>
                <w:rFonts w:ascii="Arial" w:cs="Arial" w:eastAsia="Arial" w:hAnsi="Arial"/>
                <w:sz w:val="18"/>
                <w:szCs w:val="18"/>
                <w:color w:val="0000EE"/>
              </w:rPr>
            </w:pPr>
            <w:hyperlink w:anchor="page91">
              <w:r>
                <w:rPr>
                  <w:rFonts w:ascii="Arial" w:cs="Arial" w:eastAsia="Arial" w:hAnsi="Arial"/>
                  <w:sz w:val="18"/>
                  <w:szCs w:val="18"/>
                  <w:color w:val="0000EE"/>
                </w:rPr>
                <w:t>13. Certain Relationships and Related Transactions, and Director Independence</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140" w:type="dxa"/>
            <w:vAlign w:val="bottom"/>
            <w:tcBorders>
              <w:top w:val="single" w:sz="8" w:color="0000EE"/>
            </w:tcBorders>
            <w:gridSpan w:val="2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14. Principal Accounting Fees and Services</w:t>
              </w:r>
            </w:hyperlink>
          </w:p>
        </w:tc>
        <w:tc>
          <w:tcPr>
            <w:tcW w:w="456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6"/>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PART IV</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13"/>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15. Exhibits and Consolidated Financial Statement Schedules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60" w:type="dxa"/>
            <w:vAlign w:val="bottom"/>
            <w:gridSpan w:val="13"/>
            <w:shd w:val="clear" w:color="auto" w:fill="0000EE"/>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SIGNATURES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5"/>
              </w:rPr>
            </w:pPr>
            <w:hyperlink w:anchor="page93">
              <w:r>
                <w:rPr>
                  <w:rFonts w:ascii="Arial" w:cs="Arial" w:eastAsia="Arial" w:hAnsi="Arial"/>
                  <w:sz w:val="18"/>
                  <w:szCs w:val="18"/>
                  <w:color w:val="0000EE"/>
                  <w:w w:val="95"/>
                </w:rPr>
                <w:t>Exhibit Index</w:t>
              </w:r>
            </w:hyperlink>
          </w:p>
        </w:tc>
        <w:tc>
          <w:tcPr>
            <w:tcW w:w="100" w:type="dxa"/>
            <w:vAlign w:val="bottom"/>
            <w:tcBorders>
              <w:top w:val="single" w:sz="8" w:color="0000EE"/>
            </w:tcBorders>
          </w:tcPr>
          <w:p>
            <w:pPr>
              <w:spacing w:after="0"/>
              <w:rPr>
                <w:sz w:val="24"/>
                <w:szCs w:val="24"/>
                <w:color w:val="auto"/>
              </w:rPr>
            </w:pPr>
          </w:p>
        </w:tc>
        <w:tc>
          <w:tcPr>
            <w:tcW w:w="9960" w:type="dxa"/>
            <w:vAlign w:val="bottom"/>
            <w:gridSpan w:val="2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18"/>
          </w:tcPr>
          <w:p>
            <w:pPr>
              <w:jc w:val="center"/>
              <w:ind w:left="4070"/>
              <w:spacing w:after="0"/>
              <w:rPr>
                <w:sz w:val="20"/>
                <w:szCs w:val="20"/>
                <w:color w:val="auto"/>
              </w:rPr>
            </w:pPr>
            <w:r>
              <w:rPr>
                <w:rFonts w:ascii="Arial" w:cs="Arial" w:eastAsia="Arial" w:hAnsi="Arial"/>
                <w:sz w:val="18"/>
                <w:szCs w:val="18"/>
                <w:color w:val="auto"/>
                <w:w w:val="99"/>
              </w:rPr>
              <w:t>2</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This Annual Report on Form 10-K, including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contains certain “forward-looking statements,” which include information relating to future events, future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9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announced intention to sell our academic and related operations and assets to a non-profit entity and become a services company;</w:t>
      </w:r>
    </w:p>
    <w:p>
      <w:pPr>
        <w:spacing w:after="0" w:line="153" w:lineRule="exact"/>
        <w:rPr>
          <w:rFonts w:ascii="Arial" w:cs="Arial" w:eastAsia="Arial" w:hAnsi="Arial"/>
          <w:sz w:val="16"/>
          <w:szCs w:val="16"/>
          <w:color w:val="auto"/>
        </w:rPr>
      </w:pPr>
    </w:p>
    <w:p>
      <w:pPr>
        <w:ind w:left="1480" w:right="8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480" w:right="140" w:hanging="446"/>
        <w:spacing w:after="0" w:line="264"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86" w:lineRule="exact"/>
        <w:rPr>
          <w:rFonts w:ascii="Arial" w:cs="Arial" w:eastAsia="Arial" w:hAnsi="Arial"/>
          <w:sz w:val="18"/>
          <w:szCs w:val="18"/>
          <w:color w:val="auto"/>
        </w:rPr>
      </w:pPr>
    </w:p>
    <w:p>
      <w:pPr>
        <w:ind w:left="1480" w:right="52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1480" w:right="14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universities in our geographic region and market sector, including competition for students, qualified executives and other personnel;</w:t>
      </w:r>
    </w:p>
    <w:p>
      <w:pPr>
        <w:spacing w:after="0" w:line="75" w:lineRule="exact"/>
        <w:rPr>
          <w:rFonts w:ascii="Arial" w:cs="Arial" w:eastAsia="Arial" w:hAnsi="Arial"/>
          <w:sz w:val="18"/>
          <w:szCs w:val="18"/>
          <w:color w:val="auto"/>
        </w:rPr>
      </w:pPr>
    </w:p>
    <w:p>
      <w:pPr>
        <w:ind w:left="1480" w:right="80" w:hanging="446"/>
        <w:spacing w:after="0" w:line="34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the expansion of our campus, potential acquisitions or divestitures of, or investments in, new businesses, acquisitions of new properties, or the development of new campuses;</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tax payments and tax rate, including the effect of the Tax Cuts and Jobs Act of 2017;</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 to graduation;</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competition, including competition for qualified executives and other personnel;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1480" w:right="16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6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Grand Canyon Education, Inc., a Delaware corporation, operates Grand Canyon University a comprehensive regionally accredited university that offers over 225 graduate and undergraduate degree programs, emphases and certificates across nine colleges both online and on ground at our over 275 acre campus in Phoenix, Arizona, at leased facilities and at facilities owned by third party employers of our students. References herein to “we,” “our,” “us,” the “Company” and “University” refer to Grand Canyon Education, Inc.; references to “Grand Canyon University” or “GCU” refer to the accredited academic institution that we operate.</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believe the growing brand of the University and the value proposition for both traditional aged students attending on our campus in Phoenix, Arizona and working adult students attending on our campus or at off-site locations in cohorts (referred to by us as professional studies students) or online, has enabled us to increase enrollment to approximately 90,300 students at December 31, 2017. At December 31, 2017, 79.1% of our students were enrolled in our online programs, and, of our working adult students (online and professional studies students), 50.5% were pursuing master’s or doctoral degrees.</w:t>
      </w:r>
    </w:p>
    <w:p>
      <w:pPr>
        <w:spacing w:after="0" w:line="16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define working adults as students age 25 or older who are pursuing a degree while employed. As of December 31, 2017, 86.1% of our online and professional studies students were age 25 or older. We believe that working adults are attracted to the convenience and flexibility of our online programs because they can study and interact with faculty and classmates during times that suit their schedules. We also believe that working adults, particularly those who have some college experience, represent an attractive student population because they are better able to more readily recognize the benefits of a post-secondary degree, have higher persistence and completion rates than other students, and to finance their education generally.</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2017, we continued to increase the number of students in attendance at our expanding traditional ground campus. We attribute the significant growth in our enrollment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one of our largest competitor’s undergraduate tuition for online programs ranges from $510 to $718 per credit hour and its graduate tuition for online programs ranges from $512 to $1,312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We plan to continue increasing enrollment growth for our traditional campus over the next few years, and seek to have more than 20,500 ground students in attendance at the beginning of our 2018-2019 academic year. In November 2012, we accepted an invitation to become a member of the Division I Western Athletic Conference beginning with the 2013-2014 academic year, and in 2013 we began the four-year process to reclassify our NCAA membership from Division II to Division I and we began playing full Division I schedules. In July 2017, the University successfully completed all “year four” requirements and is now a full member of Division I Western Athletic Conference and is eligible for post-season play.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continue to experience growth in enrollment, net revenue, and operating income over the last several years. Our enrollment at December 31, 2017 was approximately 90,300, representing an increase of approximately 10.2% over our enrollment at December 31, 2016. Our net revenue and operating income for the year ended December 31, 2017 were $974.1 million and $282.8 million, respectively, representing increases of 11.5% and 19.2%, respectively, over the year ended December 31, 2016. Our net revenue and operating income for the year ended December 31, 2016 were $873.3 million and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$237.2 million, respectively, representing increases of 12.2% and 12.8%, respectively, over the year ended December 31, 2015. We seek to achieve continued growth in a manner that reinforces our reputation for providing academically rigorous, professionally relevant educational programs that advance the educations and careers of our students.</w:t>
      </w:r>
    </w:p>
    <w:p>
      <w:pPr>
        <w:spacing w:after="0" w:line="19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have been regionally accredited by the Higher Learning Commission (“HLC”) and its predecessor since 1968. We were reaccredited in 2017 by the HLC for the maximum term of ten years after a comprehensive review of the institution’s academic offerings, governance and administration, mission, finances and resources that occurred during 2016, with no requirement for any monitoring or interim reports. The comprehensive review occurs every 10 years, along with a mid-term report in year four. We believe that our regional accreditation, together with appropriate specialized programmatic accreditations, reflect the quality of our programs, enhance their marketability to students, and improve the employability of our graduates.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Change in the Structure of Our Operations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January 5, 2018, we filed a Current Report on Form 8-K in which we disclosed that in December 2017 Grand Canyon University (“GCU”) had submitted to the HLC an application for approval to effect the sale of GCU to a nonprofit entity. This application updated the application filed by GCU during 2015-2016 seeking approval of a similar transaction as a means of enabling GCU to conduct itself as a traditional nonprofit university, consistent with its history and on a level playing field with other traditional universities with regard to tax status and, among other things, the ability to accept philanthropic contributions, pursue research grant opportunities, and participate in NCAA governance. The prior application proposed a transaction that would have involved the sale of the Company’s academic-related assets, real estate and related intangibles to a newly-formed nonprofit corporation (“New GCU”). Following this sale, the nonprofit corporation would have operated the university while the Company would have continued to operate as a third-party provider of services to New GCU and potentially, in the future, to other universities. The HLC Board of Trustees denied this application, in part, based on its view that its accreditation requirements did not allow for the type of shared services arrangement that GCU had proposed.</w:t>
      </w:r>
    </w:p>
    <w:p>
      <w:pPr>
        <w:spacing w:after="0" w:line="18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May 2017, the Company became aware that the HLC was considering adopting new accreditation guidelines that, if complied with, would allow for HLC-accredited institutions to engage in shared services arrangements. Following further engagement with the HLC, and the HLC’s adoption in November 2017 of these new guidelines (the “2017 HLC Guidelines”), GCU submitted to the HLC the updated application seeking approval to effect the sale of the GCU assets to a nonprofit entity in the manner described above and, thereafter, for New GCU to enter into a shared services agreement with the Company. The final form of this application was filed on December 18, 2017. The Company currently expects the HLC to act on this application as soon as the next HLC Board meeting in February 2018.</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currently contemplated, the proposed transaction would involve the following (the “Proposed Transaction”):</w:t>
      </w:r>
    </w:p>
    <w:p>
      <w:pPr>
        <w:spacing w:after="0" w:line="131" w:lineRule="exact"/>
        <w:rPr>
          <w:sz w:val="20"/>
          <w:szCs w:val="20"/>
          <w:color w:val="auto"/>
        </w:rPr>
      </w:pPr>
    </w:p>
    <w:p>
      <w:pPr>
        <w:ind w:left="1480" w:right="20" w:hanging="446"/>
        <w:spacing w:after="0" w:line="291"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would sell to New GCU academic and related operations and assets sufficient for New GCU to achieve status as an HLC-accredited institution. The purchase price for the transferred assets would be determined following receipt of third party appraisals and subsequent negotiation and would be paid in the form of a long-term note between the Company and New GCU subject to customary commercial credit terms. GCU’s current faculty, academic leadership and related staff and other employees in departments such as student and spiritual life, athletics, and facilities, would become employed by New GCU and New GCU would be governed by the current institutional board of trustees of GCU. The Company would retain all other employees and assets necessary to perform the third-party services contemplated by the sale, including an office complex where most services-related personnel are currently located.</w:t>
      </w:r>
    </w:p>
    <w:p>
      <w:pPr>
        <w:spacing w:after="0" w:line="72" w:lineRule="exact"/>
        <w:rPr>
          <w:rFonts w:ascii="Arial" w:cs="Arial" w:eastAsia="Arial" w:hAnsi="Arial"/>
          <w:sz w:val="16"/>
          <w:szCs w:val="16"/>
          <w:color w:val="auto"/>
        </w:rPr>
      </w:pPr>
    </w:p>
    <w:p>
      <w:pPr>
        <w:ind w:left="1480" w:right="40" w:hanging="446"/>
        <w:spacing w:after="0" w:line="273" w:lineRule="auto"/>
        <w:tabs>
          <w:tab w:leader="none" w:pos="1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New GCU would enter into a long-term master services agreement pursuant to which the Company would provide identified technological, marketing, promotional, financial aid and other support services to New GCU in return for an agreed upon share of New GCU’s tuition and fee revenue. The revenue share between the two entities remains subject to completion of a transfer pricing study and subsequent negotiation, but is expected to be comparable to other shared services arrangements currently in place in the higher education marketplace and to reflect the level of services that the Company would be providing to new GCU. The terms of the master services agreement would comply with the 2017 HLC Guidelines.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very important to note the following:</w:t>
      </w:r>
    </w:p>
    <w:p>
      <w:pPr>
        <w:spacing w:after="0" w:line="131" w:lineRule="exact"/>
        <w:rPr>
          <w:sz w:val="20"/>
          <w:szCs w:val="20"/>
          <w:color w:val="auto"/>
        </w:rPr>
      </w:pPr>
    </w:p>
    <w:p>
      <w:pPr>
        <w:ind w:left="900" w:right="180" w:hanging="325"/>
        <w:spacing w:after="0" w:line="27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an application for approval of the proposed sale has been submitted to both the HLC and Department of Education, along with draft documents that, if the application is approved, would govern the terms of the sale and the shared services arrangement, definitive agreements between the Company and New GCU have not been signed and key terms remain subject to analysis, negotiation and final agreement between the Company and New GCU. As such, neither the Company nor New GCU is bound to move forward with the sale and neither party will move forward unless and until definitive agreements are executed. The Company does not expect to execute any definitive agreements until the HLC and Department of Education processes have concluded.</w:t>
      </w:r>
    </w:p>
    <w:p>
      <w:pPr>
        <w:spacing w:after="0" w:line="83" w:lineRule="exact"/>
        <w:rPr>
          <w:rFonts w:ascii="Arial" w:cs="Arial" w:eastAsia="Arial" w:hAnsi="Arial"/>
          <w:sz w:val="17"/>
          <w:szCs w:val="17"/>
          <w:color w:val="auto"/>
        </w:rPr>
      </w:pPr>
    </w:p>
    <w:p>
      <w:pPr>
        <w:ind w:left="900" w:right="36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and GCU are continuing to review various federal and state regulatory issues that could impact the viability of the transaction. That review is not completed at this time. The Company does not expect to execute any definitive agreements until these issues have been resolved and any necessary regulatory approvals have been received.</w:t>
      </w:r>
    </w:p>
    <w:p>
      <w:pPr>
        <w:spacing w:after="0" w:line="86" w:lineRule="exact"/>
        <w:rPr>
          <w:rFonts w:ascii="Arial" w:cs="Arial" w:eastAsia="Arial" w:hAnsi="Arial"/>
          <w:sz w:val="18"/>
          <w:szCs w:val="18"/>
          <w:color w:val="auto"/>
        </w:rPr>
      </w:pPr>
    </w:p>
    <w:p>
      <w:pPr>
        <w:jc w:val="both"/>
        <w:ind w:left="900" w:right="60" w:hanging="325"/>
        <w:spacing w:after="0" w:line="31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HLC previously denied the application for the similar transaction that was made in 2015-2016. While the Company believes that the current proposal addresses any concerns noted by the HLC in its denial and complies with the new 2017 HLC Guidelines, no assurance can be given that the HLC will approve this application, that the parties will agree on the final key terms of the sale, or that the sale will be consummated.</w:t>
      </w:r>
    </w:p>
    <w:p>
      <w:pPr>
        <w:spacing w:after="0" w:line="14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While the outcomes of the HLC application and Department of Education pre-approval processes, and other regulatory processes, is not known at this time, to prepare for the possibility of the transaction being approved, the Company intends to continue its preparation to take various steps – including allocation of employees to New GCU, financial modeling, and asset transfer processes – that would be necessary to complete the transaction.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an interdenominational Christian university.</w:t>
      </w:r>
    </w:p>
    <w:p>
      <w:pPr>
        <w:spacing w:after="0" w:line="192"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In late 2003, the school’s Board of Trustees initiated a process to evaluate alternatives as a result of the school’s poor financial condition and, in February 2004, a group of investors acquired the assets of the school and converted the school into a for-profit institution.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Academic Quality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131" w:lineRule="exact"/>
        <w:rPr>
          <w:sz w:val="20"/>
          <w:szCs w:val="20"/>
          <w:color w:val="auto"/>
        </w:rPr>
      </w:pPr>
    </w:p>
    <w:p>
      <w:pPr>
        <w:ind w:left="1480" w:right="60" w:hanging="446"/>
        <w:spacing w:after="0" w:line="25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Academically rigorous, professionally relevant curricula. </w:t>
      </w:r>
      <w:r>
        <w:rPr>
          <w:rFonts w:ascii="Arial" w:cs="Arial" w:eastAsia="Arial" w:hAnsi="Arial"/>
          <w:sz w:val="18"/>
          <w:szCs w:val="18"/>
          <w:color w:val="auto"/>
        </w:rPr>
        <w:t>We prepare learners to become global citizens, critical thinkers,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communicators and responsible leaders by providing an academically challenging, values-based curriculum from the context of our Christian heritage. We create academically rigorous curricula that are designed to enable all students to gain the foundational knowledge, professional competencies, and demonstrable skills required to be successful in their chosen fields. Our curriculum is designed and delivered by faculty and industry-specific subject-matter experts who are committed to high quality, rigorous education and professional preparedness. We design our curricula to address specific objectives that pre-career and working-adult students need and are seeking. Through this combination, we believe that we produce graduates that can compete with integrity and become leaders in their chosen fields.</w:t>
      </w:r>
    </w:p>
    <w:p>
      <w:pPr>
        <w:spacing w:after="0" w:line="97" w:lineRule="exact"/>
        <w:rPr>
          <w:rFonts w:ascii="Arial" w:cs="Arial" w:eastAsia="Arial" w:hAnsi="Arial"/>
          <w:sz w:val="18"/>
          <w:szCs w:val="18"/>
          <w:color w:val="auto"/>
        </w:rPr>
      </w:pPr>
    </w:p>
    <w:p>
      <w:pPr>
        <w:ind w:left="1480" w:right="200" w:hanging="446"/>
        <w:spacing w:after="0" w:line="271"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Qualified faculty. </w:t>
      </w:r>
      <w:r>
        <w:rPr>
          <w:rFonts w:ascii="Arial" w:cs="Arial" w:eastAsia="Arial" w:hAnsi="Arial"/>
          <w:sz w:val="17"/>
          <w:szCs w:val="17"/>
          <w:color w:val="auto"/>
        </w:rPr>
        <w:t>We demonstrate our commitment to high quality education by hiring qualified faculty with relevant practical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Substantially all of our current faculty members hold at least a master’s degree in their respective fields and approximately 50% of our faculty members of record are doctorate prepared. Further, the University has implemented a full time faculty model for online course instruction. In 2017, almost all of the online first year courses were taught by an online, full time faculty member. We believe the presence of a full time faculty member in the classroom for the first year students results in increased student retention. We invest in the professional development of our faculty members by providing online and ground pedagogical training along with hosting events that encourage the development and sharing of best practices. Additionally, we also monitor and evaluate teaching effectiveness through assessment content reviews, peer reviews, and student evaluations.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00" w:hanging="446"/>
        <w:spacing w:after="0" w:line="25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Centralized program design and curriculum development. </w:t>
      </w:r>
      <w:r>
        <w:rPr>
          <w:rFonts w:ascii="Arial" w:cs="Arial" w:eastAsia="Arial" w:hAnsi="Arial"/>
          <w:sz w:val="18"/>
          <w:szCs w:val="18"/>
          <w:color w:val="auto"/>
        </w:rPr>
        <w:t>We employ a college driven highly collaborative designed curriculum</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process to ensure a consistent learning experience. We continuously review our programs at least every 3 years in an effort to ensure that they remain consistent, up-to-date, relevant, and effective in producing the desired learning outcomes. We also annually review programmatic assessment results, mission based competency results, graduation rates, retention rates and constituency surveys to identify opportunities for course modifications and upgrades.</w:t>
      </w:r>
    </w:p>
    <w:p>
      <w:pPr>
        <w:spacing w:after="0" w:line="93" w:lineRule="exact"/>
        <w:rPr>
          <w:rFonts w:ascii="Arial" w:cs="Arial" w:eastAsia="Arial" w:hAnsi="Arial"/>
          <w:sz w:val="18"/>
          <w:szCs w:val="18"/>
          <w:color w:val="auto"/>
        </w:rPr>
      </w:pPr>
    </w:p>
    <w:p>
      <w:pPr>
        <w:ind w:left="1480" w:right="80" w:hanging="446"/>
        <w:spacing w:after="0" w:line="255"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Effective student services. </w:t>
      </w:r>
      <w:r>
        <w:rPr>
          <w:rFonts w:ascii="Arial" w:cs="Arial" w:eastAsia="Arial" w:hAnsi="Arial"/>
          <w:sz w:val="18"/>
          <w:szCs w:val="18"/>
          <w:color w:val="auto"/>
        </w:rPr>
        <w:t>We establish teams comprised of admissions and student services counselor personnel that act as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contact point for each of our students, beginning at the application stage and continuing through graduation. We also continually focus on improving the technology used to support student learning, including delivering a new online learning platform and further improving student services through the implementation of online interfaces. As a result, many of our support services, including academic, administrative, financial, library, and career services, are accessible online, generally allowing users to access these services at a time and in a manner that is convenient to them.</w:t>
      </w:r>
    </w:p>
    <w:p>
      <w:pPr>
        <w:spacing w:after="0" w:line="98" w:lineRule="exact"/>
        <w:rPr>
          <w:rFonts w:ascii="Arial" w:cs="Arial" w:eastAsia="Arial" w:hAnsi="Arial"/>
          <w:sz w:val="18"/>
          <w:szCs w:val="18"/>
          <w:color w:val="auto"/>
        </w:rPr>
      </w:pPr>
    </w:p>
    <w:p>
      <w:pPr>
        <w:ind w:left="1480" w:right="180" w:hanging="446"/>
        <w:spacing w:after="0" w:line="271" w:lineRule="auto"/>
        <w:tabs>
          <w:tab w:leader="none" w:pos="14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Continual academic oversight. </w:t>
      </w:r>
      <w:r>
        <w:rPr>
          <w:rFonts w:ascii="Arial" w:cs="Arial" w:eastAsia="Arial" w:hAnsi="Arial"/>
          <w:sz w:val="17"/>
          <w:szCs w:val="17"/>
          <w:color w:val="auto"/>
        </w:rPr>
        <w:t>We have centralized the support functions of assessment for all of our programs through our Office of</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While each of our colleges continuously evaluates the desired learning outcomes for each of their programs, the Office of Assessment provides data collection and analysis support. We continuously assess outcomes data to determine whether our students graduate with the knowledge, competencies, and skills that are necessary to succeed in the workplace. The Office of Assessment also initiates and manages periodic examinations of the mission-based competencies in our curricula by full-time and adjunct reviewers to evaluate and verify mission-based competency attainment. Based on these processes and student feedback from both programmatic and mission-based assessment, we determine whether to modify or discontinue programs that do not meet our standards or market needs, or to create new programs.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offer the following features in an effort to enrich the academic experience of current and prospective students:</w:t>
      </w:r>
    </w:p>
    <w:p>
      <w:pPr>
        <w:spacing w:after="0" w:line="131" w:lineRule="exact"/>
        <w:rPr>
          <w:sz w:val="20"/>
          <w:szCs w:val="20"/>
          <w:color w:val="auto"/>
        </w:rPr>
      </w:pPr>
    </w:p>
    <w:p>
      <w:pPr>
        <w:ind w:left="1480" w:right="20" w:hanging="446"/>
        <w:spacing w:after="0" w:line="25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Flexibility in program delivery. </w:t>
      </w:r>
      <w:r>
        <w:rPr>
          <w:rFonts w:ascii="Arial" w:cs="Arial" w:eastAsia="Arial" w:hAnsi="Arial"/>
          <w:sz w:val="18"/>
          <w:szCs w:val="18"/>
          <w:color w:val="auto"/>
        </w:rPr>
        <w:t>We seek to meet market demands by providing students with the flexibility to take courses exclusively</w:t>
      </w:r>
      <w:r>
        <w:rPr>
          <w:rFonts w:ascii="Arial" w:cs="Arial" w:eastAsia="Arial" w:hAnsi="Arial"/>
          <w:sz w:val="18"/>
          <w:szCs w:val="18"/>
          <w:i w:val="1"/>
          <w:iCs w:val="1"/>
          <w:color w:val="auto"/>
        </w:rPr>
        <w:t xml:space="preserve"> </w:t>
      </w:r>
      <w:r>
        <w:rPr>
          <w:rFonts w:ascii="Arial" w:cs="Arial" w:eastAsia="Arial" w:hAnsi="Arial"/>
          <w:sz w:val="18"/>
          <w:szCs w:val="18"/>
          <w:color w:val="auto"/>
        </w:rPr>
        <w:t>online or to combine online coursework with various campus and onsite options. We have established onsite arrangements with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93" w:lineRule="exact"/>
        <w:rPr>
          <w:rFonts w:ascii="Arial" w:cs="Arial" w:eastAsia="Arial" w:hAnsi="Arial"/>
          <w:sz w:val="18"/>
          <w:szCs w:val="18"/>
          <w:color w:val="auto"/>
        </w:rPr>
      </w:pPr>
    </w:p>
    <w:p>
      <w:pPr>
        <w:ind w:left="1480" w:hanging="446"/>
        <w:spacing w:after="0" w:line="297"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Small class size. </w:t>
      </w:r>
      <w:r>
        <w:rPr>
          <w:rFonts w:ascii="Arial" w:cs="Arial" w:eastAsia="Arial" w:hAnsi="Arial"/>
          <w:sz w:val="16"/>
          <w:szCs w:val="16"/>
          <w:color w:val="auto"/>
        </w:rPr>
        <w:t>At December 31, 2017, 94.5% of our online and professional studies classes had 25 or fewer students. Our average, class</w:t>
      </w:r>
      <w:r>
        <w:rPr>
          <w:rFonts w:ascii="Arial" w:cs="Arial" w:eastAsia="Arial" w:hAnsi="Arial"/>
          <w:sz w:val="16"/>
          <w:szCs w:val="16"/>
          <w:i w:val="1"/>
          <w:iCs w:val="1"/>
          <w:color w:val="auto"/>
        </w:rPr>
        <w:t xml:space="preserve"> </w:t>
      </w:r>
      <w:r>
        <w:rPr>
          <w:rFonts w:ascii="Arial" w:cs="Arial" w:eastAsia="Arial" w:hAnsi="Arial"/>
          <w:sz w:val="16"/>
          <w:szCs w:val="16"/>
          <w:color w:val="auto"/>
        </w:rPr>
        <w:t>size on our ground traditional campus is 25 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Curricula</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offer the degrees of Doctor of Education, Doctor of Business Administration, Doctor of Nursing Practice, Doctor of Philosophy, Education Specialist, Master of Divinity, Master of Arts, Master of Education, Master of Business Administration, Master of Public Administration, Master of Public Health, Master of Science, Bachelor of Arts, and Bachelor of Science and a variety of programs leading to each of these degrees. Many of our degree programs also offer a selection of emphases. We also offer certificate programs, which consist of a series of courses focused on a particular area of study, for both the post-baccalaureate and post-graduate students who seek to enhance their skills and knowledge or achieve additional licensure.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over 225 graduate and undergraduate degree programs, emphases and certificates through our nine distinct colleges:</w:t>
      </w:r>
    </w:p>
    <w:p>
      <w:pPr>
        <w:spacing w:after="0" w:line="131" w:lineRule="exact"/>
        <w:rPr>
          <w:sz w:val="20"/>
          <w:szCs w:val="20"/>
          <w:color w:val="auto"/>
        </w:rPr>
      </w:pPr>
    </w:p>
    <w:p>
      <w:pPr>
        <w:ind w:left="1480" w:right="160" w:hanging="446"/>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Colangelo College of Business, which has a well-known brand among our target student population, an advisory board that includes recognized business leaders, and a reputation for offering professionally relevant degree programs;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500" w:hanging="446"/>
        <w:spacing w:after="0" w:line="308" w:lineRule="auto"/>
        <w:tabs>
          <w:tab w:leader="none" w:pos="1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College of Doctoral Studies, which utilizes innovative technology, collaboration, and learning communities to develop expert practitioners and researchers who can become leaders in the disciplines and communities they serve;</w:t>
      </w:r>
    </w:p>
    <w:p>
      <w:pPr>
        <w:spacing w:after="0" w:line="51" w:lineRule="exact"/>
        <w:rPr>
          <w:rFonts w:ascii="Arial" w:cs="Arial" w:eastAsia="Arial" w:hAnsi="Arial"/>
          <w:sz w:val="17"/>
          <w:szCs w:val="17"/>
          <w:color w:val="auto"/>
        </w:rPr>
      </w:pPr>
    </w:p>
    <w:p>
      <w:pPr>
        <w:ind w:left="1480" w:right="480" w:hanging="446"/>
        <w:spacing w:after="0" w:line="342" w:lineRule="auto"/>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College of Education, which has greater than a 60-year history as one of Arizona’s leading teacher’s colleges and consistently graduates teachers who meet or exceed state averages on the Arizona Educator Proficiency Assessment exams;</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College of Fine Arts and Production, which continues the long and highly regarded tradition that the University has in the Fine Arts;</w:t>
      </w:r>
    </w:p>
    <w:p>
      <w:pPr>
        <w:spacing w:after="0" w:line="153" w:lineRule="exact"/>
        <w:rPr>
          <w:rFonts w:ascii="Arial" w:cs="Arial" w:eastAsia="Arial" w:hAnsi="Arial"/>
          <w:sz w:val="16"/>
          <w:szCs w:val="16"/>
          <w:color w:val="auto"/>
        </w:rPr>
      </w:pPr>
    </w:p>
    <w:p>
      <w:pPr>
        <w:ind w:left="1480" w:right="420" w:hanging="446"/>
        <w:spacing w:after="0" w:line="264"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Honors College, which serves to develop our most ambitious students across any of our programs and many of these students participate in the Honors Research Fellowship program, which partners students with faculty or industry partners on scientific and applied research projects;</w:t>
      </w:r>
    </w:p>
    <w:p>
      <w:pPr>
        <w:spacing w:after="0" w:line="86" w:lineRule="exact"/>
        <w:rPr>
          <w:rFonts w:ascii="Arial" w:cs="Arial" w:eastAsia="Arial" w:hAnsi="Arial"/>
          <w:sz w:val="18"/>
          <w:szCs w:val="18"/>
          <w:color w:val="auto"/>
        </w:rPr>
      </w:pPr>
    </w:p>
    <w:p>
      <w:pPr>
        <w:ind w:left="1480" w:right="60" w:hanging="446"/>
        <w:spacing w:after="0" w:line="308" w:lineRule="auto"/>
        <w:tabs>
          <w:tab w:leader="none" w:pos="1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College of Humanities and Social Sciences, which develops and provides many of the general education course requirements in our other colleges and also serves as one of the vehicles through which we offer programs in additional targeted disciplines;</w:t>
      </w:r>
    </w:p>
    <w:p>
      <w:pPr>
        <w:spacing w:after="0" w:line="51" w:lineRule="exact"/>
        <w:rPr>
          <w:rFonts w:ascii="Arial" w:cs="Arial" w:eastAsia="Arial" w:hAnsi="Arial"/>
          <w:sz w:val="17"/>
          <w:szCs w:val="17"/>
          <w:color w:val="auto"/>
        </w:rPr>
      </w:pPr>
    </w:p>
    <w:p>
      <w:pPr>
        <w:ind w:left="1480" w:right="280" w:hanging="446"/>
        <w:spacing w:after="0" w:line="308" w:lineRule="auto"/>
        <w:tabs>
          <w:tab w:leader="none" w:pos="1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College of Nursing and Health Care Professions, which has a strong reputation within the Arizona nursing community and is the largest nursing program in Arizona when considering total college enrollment (bachelor and master’s degree students);</w:t>
      </w:r>
    </w:p>
    <w:p>
      <w:pPr>
        <w:spacing w:after="0" w:line="51" w:lineRule="exact"/>
        <w:rPr>
          <w:rFonts w:ascii="Arial" w:cs="Arial" w:eastAsia="Arial" w:hAnsi="Arial"/>
          <w:sz w:val="17"/>
          <w:szCs w:val="17"/>
          <w:color w:val="auto"/>
        </w:rPr>
      </w:pPr>
    </w:p>
    <w:p>
      <w:pPr>
        <w:ind w:left="1480" w:right="340" w:hanging="446"/>
        <w:spacing w:after="0" w:line="312" w:lineRule="auto"/>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College of Science, Engineering, and Technology, which with science, engineering, technology, and mathematics professions in extremely high demand, driving our economy, continuously evolving, and redefining modern day life is focused on preparing exceptionally competent graduates to enter the dynamic and highly competitive workforce of the 21</w:t>
      </w:r>
      <w:r>
        <w:rPr>
          <w:rFonts w:ascii="Arial" w:cs="Arial" w:eastAsia="Arial" w:hAnsi="Arial"/>
          <w:sz w:val="13"/>
          <w:szCs w:val="13"/>
          <w:color w:val="auto"/>
        </w:rPr>
        <w:t>st</w:t>
      </w:r>
      <w:r>
        <w:rPr>
          <w:rFonts w:ascii="Arial" w:cs="Arial" w:eastAsia="Arial" w:hAnsi="Arial"/>
          <w:sz w:val="16"/>
          <w:szCs w:val="16"/>
          <w:color w:val="auto"/>
        </w:rPr>
        <w:t xml:space="preserve"> century; and</w:t>
      </w:r>
    </w:p>
    <w:p>
      <w:pPr>
        <w:spacing w:after="0" w:line="52" w:lineRule="exact"/>
        <w:rPr>
          <w:rFonts w:ascii="Arial" w:cs="Arial" w:eastAsia="Arial" w:hAnsi="Arial"/>
          <w:sz w:val="16"/>
          <w:szCs w:val="16"/>
          <w:color w:val="auto"/>
        </w:rPr>
      </w:pPr>
    </w:p>
    <w:p>
      <w:pPr>
        <w:ind w:left="1480" w:hanging="446"/>
        <w:spacing w:after="0"/>
        <w:tabs>
          <w:tab w:leader="none" w:pos="1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College of Theology, which serves as one of the many vehicles through which the University affirms its Christian heritage.</w:t>
      </w:r>
    </w:p>
    <w:p>
      <w:pPr>
        <w:spacing w:after="0" w:line="23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 the overall leadership of our senior academic affairs vice presidents and the deans of the individual colleges, each of the colleges organizes its academic programs through various departments and schools.</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established relationships with community colleges, health-care systems, school districts, and other employers through which we offer programs to provide flexibility and convenience to students and their employers.</w:t>
      </w:r>
    </w:p>
    <w:p>
      <w:pPr>
        <w:spacing w:after="0" w:line="170"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We currently offer our ground-based programs to traditional students through three 15-week semesters in a calendar year and to online students in courses that generally range from five to sixteen weeks throughout the calendar year. Traditional students generally enroll in three or four courses per semester while online students typically concentrate on one course at a time. We require our online students to be actively engaged in their online student classroom at least three or four times each week, depending on the content and degree level of the class,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Program Development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To aid us in the identification of potentially new degree programs or emphasis areas, we investigate market demand and review proposals developed by faculty, staff, students, alumni, college specific advisory boards comprised of leaders in their field or other partners. We then perform an analysis of the consistency of the proposed program or emphasis with our mission, long-term demand, and development costs. If, following this analysis, the University Development Committee decides to proceed with a new program, our college faculty and administrators approve subject-matter experts with whom our Curriculum Design and Development Team members, including instructional designers, curriculum developers, librarians, and editors, work to design the program competencies so that it is consistent with our academically rigorous, professionally oriented program standards. The program is then reviewed by the dean of the applicable college, the Program Standards and Evaluation Faculty Committee, the Academic Affairs Committee, and finally, our Provost and Chief Academic Officer. Upon accreditation and regulatory approval, the subject matter experts develop course syllabi, and our Marketing Department creates a marketing plan to publicize the new program. Our average program development process is six months from proposal to course introduction. The development process is typically longer if we are expanding into a new field or offering a new level of degree.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w:t>
      </w:r>
    </w:p>
    <w:p>
      <w:pPr>
        <w:spacing w:after="0" w:line="12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University fosters a culture of student assessment and improvement by establishing a strong foundation for assessment of student learning and implementing institutional goals and benchmarks. Essential to the institutionalization of assessment and our commitment to continuous improvement is the development of a culture of assessment among faculty, staff and students. The resulting establishment of widespread reflective practice and acquired evaluative expertise characterizes our community and commitment to a culture of student assessment. All stakeholders are involved in student learning and institutional experience and, therefore, are part of the ongoing collaboration and effort to promote a culture of assessment among faculty, staff and students. The University’s faculty-driven, course-embedded and performance-based approach to assessment is ongoing, intentional, thorough and applicable so that it will have the most significant possible impact on improvement of student learning and university functions and processes. Our ultimate goal is to improve student learning and the total university experience by enhancing instructional effectiveness, removing obstacles to learning, facilitating student persistence toward completion of an academic program and demonstrating purposeful effort toward institutional effectiveness.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Office of Assessment, as part of the Office of Institutional Effectiveness, functions to facilitate continuous improvement of student learning and is responsible for management, analysis and informational reporting of assessment data collected by the University.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Faculty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faculty includes full-time faculty, as well as adjunct faculty with relevant practical experience whom we employ to teach on a course-by-course basis for a specified fee. Our current faculty members hold at least a master’s degree in their respective fields and approximately 50% of our teaching faculty of record hold doctorate degrees.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engaging our full-time faculty and other specialists to conduct peer reviews of our adjunct faculty, monitoring the amount of contact and the quality of feedback that faculty have with students in our online programs, reviewing student feedback, conducting content reviews and evaluating the learning outcomes achieved by students. If we determine that a faculty member is not performing at the level that we require, we work with the faculty member to improve performance, including, among other things, assigning him or her a mentor or through other means. If the faculty member’s performance does not improve, we terminate the faculty member’s contract and employment.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Student Support Services</w:t>
      </w:r>
    </w:p>
    <w:p>
      <w:pPr>
        <w:spacing w:after="0" w:line="121"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Encouraging students that enter Grand Canyon University to complete their degree programs is critical to our success. We focus on developing and providing resources that simplify the student enrollment process, acclimate students to our programs and our online environment, support the student educational experience,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73"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i w:val="1"/>
          <w:iCs w:val="1"/>
          <w:color w:val="auto"/>
        </w:rPr>
        <w:t xml:space="preserve">Academic services. </w:t>
      </w:r>
      <w:r>
        <w:rPr>
          <w:rFonts w:ascii="Arial" w:cs="Arial" w:eastAsia="Arial" w:hAnsi="Arial"/>
          <w:sz w:val="17"/>
          <w:szCs w:val="17"/>
          <w:color w:val="auto"/>
        </w:rPr>
        <w:t>We provide students with a variety of services designed to support their academic studies. Our Learning Lounges offer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writing services, and other tutoring services. Learning sessions are offered on a one-on-one basis and group sessions.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Administrative services. </w:t>
      </w:r>
      <w:r>
        <w:rPr>
          <w:rFonts w:ascii="Arial" w:cs="Arial" w:eastAsia="Arial" w:hAnsi="Arial"/>
          <w:sz w:val="18"/>
          <w:szCs w:val="18"/>
          <w:color w:val="auto"/>
        </w:rPr>
        <w:t>We provide students with the ability to access a variety of administrative services both telephonically and via the Internet.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students can apply for financial aid, pay their tuition, order their transcripts online, and apply for graduation. We believe this online accessibility provides the convenience and self-service capabilities that our students value. Our student services counselors provide personalized online and telephonic support to our students.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 research endeavors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faculty, and staff, including ground and online libraries and a qualified library staff that is available to help faculty and students with research, teaching, and library resource instruction. Collectively, our library services meet, or exceed, the requirements set by relevant accrediting bodies for us to offer undergraduate, master’s, and doctoral programs.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Career services. </w:t>
      </w:r>
      <w:r>
        <w:rPr>
          <w:rFonts w:ascii="Arial" w:cs="Arial" w:eastAsia="Arial" w:hAnsi="Arial"/>
          <w:sz w:val="16"/>
          <w:szCs w:val="16"/>
          <w:color w:val="auto"/>
        </w:rPr>
        <w:t>For those students seeking to change careers or explore new career opportunities, we offer career services support, including resume</w:t>
      </w:r>
      <w:r>
        <w:rPr>
          <w:rFonts w:ascii="Arial" w:cs="Arial" w:eastAsia="Arial" w:hAnsi="Arial"/>
          <w:sz w:val="16"/>
          <w:szCs w:val="16"/>
          <w:i w:val="1"/>
          <w:iCs w:val="1"/>
          <w:color w:val="auto"/>
        </w:rPr>
        <w:t xml:space="preserve"> </w:t>
      </w:r>
      <w:r>
        <w:rPr>
          <w:rFonts w:ascii="Arial" w:cs="Arial" w:eastAsia="Arial" w:hAnsi="Arial"/>
          <w:sz w:val="16"/>
          <w:szCs w:val="16"/>
          <w:color w:val="auto"/>
        </w:rPr>
        <w:t>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154"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i w:val="1"/>
          <w:iCs w:val="1"/>
          <w:color w:val="auto"/>
        </w:rPr>
        <w:t xml:space="preserve">Technology support services. </w:t>
      </w:r>
      <w:r>
        <w:rPr>
          <w:rFonts w:ascii="Arial" w:cs="Arial" w:eastAsia="Arial" w:hAnsi="Arial"/>
          <w:sz w:val="18"/>
          <w:szCs w:val="18"/>
          <w:color w:val="auto"/>
        </w:rPr>
        <w:t>We provide online technical support 18 hours per day during the week and 17 hours per day on weekends to help our</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remedy technology-related issues. We also provide online tutorials and “Frequently Asked Questions” for students who are new to online coursework.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Recruitment, Admissions and Retention</w:t>
      </w:r>
    </w:p>
    <w:p>
      <w:pPr>
        <w:spacing w:after="0" w:line="12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i w:val="1"/>
          <w:iCs w:val="1"/>
          <w:color w:val="auto"/>
        </w:rPr>
        <w:t xml:space="preserve">Marketing. </w:t>
      </w:r>
      <w:r>
        <w:rPr>
          <w:rFonts w:ascii="Arial" w:cs="Arial" w:eastAsia="Arial" w:hAnsi="Arial"/>
          <w:sz w:val="17"/>
          <w:szCs w:val="17"/>
          <w:color w:val="auto"/>
        </w:rPr>
        <w:t>We engage in a range of marketing activities designed to position us as a provider of academically rigorous, professionally relevant</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educational programs, build strong brand recognition in our core disciplines, differentiate us from other educational providers, raise awareness among prospective students, generate enrollment inquiries, and stimulate student and alumni referrals. We target our online programs to working adults focused on program quality, convenience, and career advancement goals. We target our ground programs to traditional college students, working adults seeking a high quality education in a traditional college setting, and working adults seeking to take classes with a cohort onsite at our leased facilities or at their employer’s facility. In marketing our programs to prospective students, we emphasize the value of the educational experience and the academic rigor and professional relevancy of the programs, as well as the cost of the program. We believe this approach reinforces the qualities that we want associated with our brand and also attracts students who tend to be more persistent in starting and finishing their programs.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Recruitment. </w:t>
      </w:r>
      <w:r>
        <w:rPr>
          <w:rFonts w:ascii="Arial" w:cs="Arial" w:eastAsia="Arial" w:hAnsi="Arial"/>
          <w:sz w:val="18"/>
          <w:szCs w:val="18"/>
          <w:color w:val="auto"/>
        </w:rPr>
        <w:t>Once a prospective student has indicated an interest in enrolling in one of our programs, our lead management system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directs a university counselor to initiate immediate communication. The university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university counselor, together with our student services personnel, works with the applicant to gain acceptance, arrange financial aid, if needed, register for courses, and prepare for matriculation.</w:t>
      </w:r>
    </w:p>
    <w:p>
      <w:pPr>
        <w:spacing w:after="0" w:line="19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i w:val="1"/>
          <w:iCs w:val="1"/>
          <w:color w:val="auto"/>
        </w:rPr>
        <w:t xml:space="preserve">Admissions. </w:t>
      </w:r>
      <w:r>
        <w:rPr>
          <w:rFonts w:ascii="Arial" w:cs="Arial" w:eastAsia="Arial" w:hAnsi="Arial"/>
          <w:sz w:val="17"/>
          <w:szCs w:val="17"/>
          <w:color w:val="auto"/>
        </w:rPr>
        <w:t>Admission to Grand Canyon University is available to qualified students who are at least 16 years of age. Undergraduate applicants may</w:t>
      </w:r>
      <w:r>
        <w:rPr>
          <w:rFonts w:ascii="Arial" w:cs="Arial" w:eastAsia="Arial" w:hAnsi="Arial"/>
          <w:sz w:val="17"/>
          <w:szCs w:val="17"/>
          <w:i w:val="1"/>
          <w:iCs w:val="1"/>
          <w:color w:val="auto"/>
        </w:rPr>
        <w:t xml:space="preserve"> </w:t>
      </w:r>
      <w:r>
        <w:rPr>
          <w:rFonts w:ascii="Arial" w:cs="Arial" w:eastAsia="Arial" w:hAnsi="Arial"/>
          <w:sz w:val="17"/>
          <w:szCs w:val="17"/>
          <w:color w:val="auto"/>
        </w:rPr>
        <w:t>qualify in various ways, including by having a high school diploma, certain minimum grade point average levels, certain minimum composite scores on the Scholastic Aptitude Test or on the ACT test, or certain minimum scores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an accredited college, university, or program. In addition, some students who do not meet the qualifications for admission may be accepted with specification.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A key component in retaining our students is providing an outstanding learning experience. We feel that our team-based, proactive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to recruitment and enhanced student services results in increased retention due to our systematic approach to contacting students at key milestones during their enrollment, providing encouragement and highlighting their achievements. Our student services counselors proactively assist each student with the student’s selection of an appropriate payment option, and monitor the student’s progress and account balance to ensure a smooth financial aid experience and to help ensure our students are well prepared for the financial obligations they incur. These counselors also assist students with their academic schedules and regularly monitor “triggering events,” such as the failure to participate in the classroom or failure to matriculate in a timely manner, which signal that a student may be at-risk for dropping out. Upon identifying an at-risk student, these counselors proactively interact with the student to resolve any issues and encourage the student to continue with his or her program. We have found that personally involving our employees in the student educational process, and proactively seeking to resolve issues before they become larger problems, can significantly increase retention rates among students. These frequent interactions between student services counselors and students are a key component to our retention strategy.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At December 31, 2017, we had 90,297 students enrolled in our courses, of which 71,455, or 79.1%, were enrolled in our online programs, and 18,842, or 20.9%, were enrolled in our ground programs. Of our students in online programs, which were geographically distributed throughout all 50 states of the United States, and Canada, and in professional studies programs, 86.1% were age 25 or older. Of our traditional on-campus students, 95.6% were under age 25 and, although we draw students from throughout the United States, a majority were from Arizona.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our student enrollment at December 31, 2017 and 2016 by degree type and by instructional delivery method:</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7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December 31, 2017</w:t>
            </w:r>
            <w:r>
              <w:rPr>
                <w:rFonts w:ascii="Arial" w:cs="Arial" w:eastAsia="Arial" w:hAnsi="Arial"/>
                <w:sz w:val="12"/>
                <w:szCs w:val="12"/>
                <w:b w:val="1"/>
                <w:bCs w:val="1"/>
                <w:color w:val="auto"/>
              </w:rPr>
              <w:t>(1)</w:t>
            </w: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 2016</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6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w:t>
            </w:r>
            <w:r>
              <w:rPr>
                <w:rFonts w:ascii="Arial" w:cs="Arial" w:eastAsia="Arial" w:hAnsi="Arial"/>
                <w:sz w:val="15"/>
                <w:szCs w:val="15"/>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37,339</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Undergraduate degree</w:t>
            </w:r>
          </w:p>
        </w:tc>
        <w:tc>
          <w:tcPr>
            <w:tcW w:w="820" w:type="dxa"/>
            <w:vAlign w:val="bottom"/>
          </w:tcPr>
          <w:p>
            <w:pPr>
              <w:jc w:val="right"/>
              <w:spacing w:after="0"/>
              <w:rPr>
                <w:sz w:val="20"/>
                <w:szCs w:val="20"/>
                <w:color w:val="auto"/>
              </w:rPr>
            </w:pPr>
            <w:r>
              <w:rPr>
                <w:rFonts w:ascii="Arial" w:cs="Arial" w:eastAsia="Arial" w:hAnsi="Arial"/>
                <w:sz w:val="18"/>
                <w:szCs w:val="18"/>
                <w:color w:val="auto"/>
              </w:rPr>
              <w:t>52,958</w:t>
            </w:r>
          </w:p>
        </w:tc>
        <w:tc>
          <w:tcPr>
            <w:tcW w:w="5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58.6%</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48,693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90,297</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81,908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7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December 31, 2017</w:t>
            </w:r>
            <w:r>
              <w:rPr>
                <w:rFonts w:ascii="Arial" w:cs="Arial" w:eastAsia="Arial" w:hAnsi="Arial"/>
                <w:sz w:val="12"/>
                <w:szCs w:val="12"/>
                <w:b w:val="1"/>
                <w:bCs w:val="1"/>
                <w:color w:val="auto"/>
              </w:rPr>
              <w:t>(1)</w:t>
            </w: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 2016</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5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6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71,455</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64,646</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18,842</w:t>
            </w:r>
          </w:p>
        </w:tc>
        <w:tc>
          <w:tcPr>
            <w:tcW w:w="5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20.9%</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17,262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90,297</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81,908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Enrollment at December 31, 2017 and 2016 represents individual students who attended a course during the last two months of the calendar quarter. Includes 886 and 847 students pursuing non-degree certificates at December 31, 2017 and 2016,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7,703 and 7,084 students pursuing doctoral degrees at December 31, 2017 and 2016, respectively.</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2017 and 2016, 50.5% and 49.5%, respectively, of our working adult students (online and professional studies students) were pursuing graduate or doctoral degrees.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our traditional on-campus students, as well as our professional studies students.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Tuition and Fees</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For the 2017-18 academic year (the academic year begins in May), our prices per credit hour range from $355 to $470 for undergraduate online and professional studies courses, $330 to $630 for graduate online courses, $640 for doctoral online programs, and $688 for undergraduate courses for ground students. For our active duty military and active reserve online and professional studies students, our prices per credit hour are $250 for undergraduate, $400 for graduate courses and $608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 and since program inception, on average, doctoral students who graduated required 5.2 dissertation continuation courses to complete their degree. The University did not raise tuition for any of its programs for its 2016-2017 and 2017-2018 academic years and has not raised tuition for its traditional ground programs in nine years.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Based on current tuition rates, tuition for a full program would generally equate to between $15,450 and $37,000 for an online master’s program, between $42,600 and $56,400 for a full four-year online bachelor’s program, approximately $66,000 for a full four-year bachelor’s program taken on our ground campus, and $48,000 for a full doctoral program including five dissertation continuation courses. Students requiring dissertation continuation courses in excess of five are only charged $500 per course. The tuition amounts referred to above assume no reductions for transfer credits or scholarships, which many of our students utilize to reduce their total program costs. For example, the average student on our ground traditional campus will pay approximately $8,700 in tuition for the 2017-18 school year after scholarships. Thus, based on the number of transfer credits and the scholarships a student receives it is likely that a student will pay less than $35,000 in tuition for a bachelor’s degree on our ground campus. For the fiscal years ended December 31, 2017, 2016 and 2015, our revenue was reduced by approximately $196.3 million, $179.2 million and $163.9 million, respectively, as a result of scholarships that we offered to our students. The increase in scholarships reflects our increasing use of academic scholarships to attract high performing students to our ground traditional campus.</w:t>
      </w:r>
    </w:p>
    <w:p>
      <w:pPr>
        <w:spacing w:after="0" w:line="17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established a refund policy for tuition and fees based upon individual course start dates. Under our policy, for courses offered through a working adult modality, generally if a student drops or withdraws from a course before the course begins, 100% of the charges for tuition and fees are refunded. If a student drops or withdraws from a course during the first week of the course, 75% of the charges for tuition are refunded. If a student drops or withdraws from a course during or after the second week of a course, tuition charges and fees are not refunded. Most fees, including materials fees, are non-refundable for non-traditional students after the start of a course. We will refund tuition and fees according to the above policy unless a student attending courses online is a resident of a state that requires us to comply with different, state specific guidelines. For traditional students attending 15-week courses, generally if a student withdraws before the course begins, 100% of the charges for tuition and fees are refunded. If a student withdraws during the first week of the course, 90% of the charges for tuition are refunded and instructional fees and ground campus-related fees are refunded. If a student drops or withdraws from a course during the second week of a course, 75% of the tuition charges are refunded but most fees are non-refundable. If a student drops during the third week of a course, 50% of the tuition charges are refunded and during or after the fourth week, there are no refunds for tuition charges. Fees charged by us include graduation fees as well as fees for access to certain educational resources such as online materials. This tuition and fees refund policy is different from, and applies in addition to, the return of Title IV funds policy we are required to follow as a condition of our participation in the Title IV programs.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Student Financing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Title IV programs. </w:t>
      </w:r>
      <w:r>
        <w:rPr>
          <w:rFonts w:ascii="Arial" w:cs="Arial" w:eastAsia="Arial" w:hAnsi="Arial"/>
          <w:sz w:val="18"/>
          <w:szCs w:val="18"/>
          <w:color w:val="auto"/>
        </w:rPr>
        <w:t>The federal government provides for grants and loans to students under the Title IV programs, and students can use those funds at</w:t>
      </w:r>
      <w:r>
        <w:rPr>
          <w:rFonts w:ascii="Arial" w:cs="Arial" w:eastAsia="Arial" w:hAnsi="Arial"/>
          <w:sz w:val="18"/>
          <w:szCs w:val="18"/>
          <w:i w:val="1"/>
          <w:iCs w:val="1"/>
          <w:color w:val="auto"/>
        </w:rPr>
        <w:t xml:space="preserve"> </w:t>
      </w:r>
      <w:r>
        <w:rPr>
          <w:rFonts w:ascii="Arial" w:cs="Arial" w:eastAsia="Arial" w:hAnsi="Arial"/>
          <w:sz w:val="18"/>
          <w:szCs w:val="18"/>
          <w:color w:val="auto"/>
        </w:rPr>
        <w:t>any 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19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During fiscal 2017 and 2016, we derived approximately 71.5% and 72.3%, respectively, of our net revenues (calculated on a cash basis in accordance with Department of Education standards currently in effect) from tuition financed under the Title IV programs. The primary Title IV programs that our students receive funding from are the Federal Direct Loan program or FDL Program, and the Federal Pell Grant, or Pell, Program.</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Student loans administered through the FDL Program are currently the most significant source of U.S. federal student aid. There are two types of federal student loans: subsidized loans, which are based on the U.S. federal statutory calculation of student need, and unsubsidized loans, which are not need-based. Neither type of student loan is based on creditworthiness although annual and aggregate loan limits apply based on a student’s grade level. Students are generally not responsible for interest on subsidized loans while the student is enrolled in school. Students are responsible for the interest on unsubsidized loans while enrolled in school, but have the option to defer payment while enrolled. Repayment on federal student loans begins six months after the date the student ceases to be enrolled. The loans are repayable over the course of 10 years and, in some cases, longer. Both graduate and undergraduate students are eligible for loans. During fiscal 2017, federal student loans (both subsidized and unsubsidized) represented approximately 81.4% of the gross Title IV funds that we received.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Grants under the Pell Program (Pell Grants) are awarded based on need and only to undergraduate students who have not earned a bachelor’s or professional degree. Unlike loans, Pell Grants are not repayable. During fiscal year 2017, Pell Grants represented approximately 13.8% of the gross Title IV funds that we received. For the 2016-2017 award year, the maximum amount available under Pell Grants was $5,815 and the maximum income that makes an applicant to Title IV Program funds eligible for an automatic zero Expected Family Contribution was $25,000. For the 2017-18 award year, the maximum amount available under Pell Grants is $5,920 and the maximum income that makes an applicant for Title IV Program funds eligible for an automatic zero Expected Family Contribution stayed the same at $25,000.</w:t>
      </w:r>
    </w:p>
    <w:p>
      <w:pPr>
        <w:spacing w:after="0" w:line="193"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Our students also receive funding under other Title IV programs, including the Federal Perkins Loan Program, the Federal Supplemental Educational Opportunity Grant Program, the Federal Work-Study Program, and the Teacher Education Assistance for College and Higher Education Grant Program.</w:t>
      </w:r>
    </w:p>
    <w:p>
      <w:pPr>
        <w:spacing w:after="0" w:line="12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i w:val="1"/>
          <w:iCs w:val="1"/>
          <w:color w:val="auto"/>
        </w:rPr>
        <w:t xml:space="preserve">Other financial aid programs. </w:t>
      </w:r>
      <w:r>
        <w:rPr>
          <w:rFonts w:ascii="Arial" w:cs="Arial" w:eastAsia="Arial" w:hAnsi="Arial"/>
          <w:sz w:val="16"/>
          <w:szCs w:val="16"/>
          <w:color w:val="auto"/>
        </w:rPr>
        <w:t>In addition to the Title IV programs listed above, eligible students may participate in several other financial aid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or receive support from other governmental sources. These include veterans educational benefits administered by the U.S. Department of Veterans Affairs and state financial aid programs. During fiscal 2017 and 2016, we derived an immaterial amount of our net revenue from tuition financed by such programs.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Private loans. </w:t>
      </w:r>
      <w:r>
        <w:rPr>
          <w:rFonts w:ascii="Arial" w:cs="Arial" w:eastAsia="Arial" w:hAnsi="Arial"/>
          <w:sz w:val="18"/>
          <w:szCs w:val="18"/>
          <w:color w:val="auto"/>
        </w:rPr>
        <w:t>Some of our students also use private loan programs to help finance their education. Students can apply to a number of different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private loans at current market interest rates. Private loans are intended to fund a portion of students’ cost of education not covered by the Title IV programs and other financial aid. During fiscal 2017 and 2016, payments derived from private loans constituted less than 1% of our net revenues for each year,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Other sources. </w:t>
      </w:r>
      <w:r>
        <w:rPr>
          <w:rFonts w:ascii="Arial" w:cs="Arial" w:eastAsia="Arial" w:hAnsi="Arial"/>
          <w:sz w:val="17"/>
          <w:szCs w:val="17"/>
          <w:color w:val="auto"/>
        </w:rPr>
        <w:t>We derived the remainder of our net revenue from tuition that is self-funded or attributable to employer tuition reimbursements.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Systems and Management</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we have established secure, reliable and scalable technology systems that provide a high quality educational environment and that give us the capability to substantially grow our online and traditional programs and enrollment.</w:t>
      </w:r>
    </w:p>
    <w:p>
      <w:pPr>
        <w:spacing w:after="0" w:line="17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Online course delivery and management</w:t>
      </w:r>
      <w:r>
        <w:rPr>
          <w:rFonts w:ascii="Arial" w:cs="Arial" w:eastAsia="Arial" w:hAnsi="Arial"/>
          <w:sz w:val="18"/>
          <w:szCs w:val="18"/>
          <w:color w:val="auto"/>
        </w:rPr>
        <w:t>. Our online delivery platform was developed in partnership with a third party and put into full production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2011. We have a prepaid license for this platform for the foreseeable future as well as full source code rights. Because of its modular implementation, this platform can easily and reliably scale as our student population increases. The platform provides in depth analytics that allows us to closely monitor student success and the quality of our instructional resources. All ground and online students receive online course delivery and resources through this learning management platform.</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Internal administration. </w:t>
      </w:r>
      <w:r>
        <w:rPr>
          <w:rFonts w:ascii="Arial" w:cs="Arial" w:eastAsia="Arial" w:hAnsi="Arial"/>
          <w:sz w:val="18"/>
          <w:szCs w:val="18"/>
          <w:color w:val="auto"/>
        </w:rPr>
        <w:t>We utilize a commercial customer relations management development platform to distribute, manage, track, and report on all</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We operate two data centers, one at our campus and one at another Phoenix-area location. All of our servers are networked and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redundant data backup. We manage our technology environment internally. Our wide area network is fully redundant to ensure maximum uptime, bandwidth capacity and network performance. Student access is load balanced for maximum performance. Real-time monitoring provides current system status across network, server, and storage components.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Campus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own our ground campus, which is located on over 275 acres in the center of the Phoenix, Arizona metropolitan area, near downtown Phoenix. Our on-campus facilities currently consist of classroom buildings, lecture halls, a 300-seat theater, a 29,000 square foot newly renovated library, a media arts complex that provides communications students with audio and video equipment, a 55,000 square foot recreation center that has state of the art training facilities for our over 400 student-athletes and students, a 140,000 square foot/ 7,500 seat basketball and entertainment arena, a stadium that hosts NCAA men’s and women’s soccer as well as several club sports programs, newly renovated baseball and softball stadiums, a basketball practice facility, on-campus tennis courts, beach volleyball courts, a competition/practice gymnasium, an activity center that contains a food court, a bowling alley and other student services, a student union, residence halls, apartments, campus pools, athletic facilities and parking garages. Additionally, we have several office buildings used for administration and we recently completed a large student services center and parking garage in close proximity to our ground campus. Employees that worked in two leased office buildings in the Phoenix area were consolidated into this new building upon completion in late 2016. In late 2015, we revitalized the Maryvale Golf Course under a partnership agreement with the City of Phoenix and in 2016 the Grand Canyon University Championship Golf Course was opened to the public. In order to accommodate the continued growth of our traditional ground population, we completed construction on three apartment style residence halls, an additional 170,000 square foot classroom building for our College of Science, Engineering and Technology, a student service center and a fourth parking structure prior to the 2016/2017 academic year and prior to the 2017/2018 academic year we completed construction on an additional dormitory and other ground campus building projects.</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have 21 intercollegiate athletic teams that currently compete in Division I of the National Collegiate Athletic Association (“NCAA”). Our athletic facilities include the University Arena (a 7,500 seat venue for all men’s and women’s basketball games plus select other GCU athletic competitions, concerts, speakers and other events); a stadium that hosts NCAA men’s and women’s soccer as well as several club sports programs; a basketball practice facility; on-campus tennis courts; beach volleyball courts; and a competition/practice gymnasium, which accommodates men’s and women’s volleyball and competitive events. In addition, the University’s 55,000 square foot student recreation center has state of the art training facilities for our over 400 student-athletes plus practice space. Early in 2018 we completed upgrades to our baseball and softball stadiums. Our track and field program utilizes on-campus practice and competition sites. In January 2016 the Grand Canyon University Championship golf course opened to the public. The men’s and women’s golf teams have dedicated practice facilities, a team room and coaches offices at the course. The cross-country and swimming programs utilize off-campus sites for practice and competition. In November 2012, we accepted an invitation to be a member of the NCAA Division I Western Athletic Conference beginning with the 2013-14 academic year and in September 2013 we began playing full Division I schedules. In July 2017, the University successfully completed all “year four” requirements and is now a full member of Division I Western Athletic Conference and we are eligible for post-season play. During the 2016-2017 academic year, baseball, softball, men’s golf, women’s tennis and the men’s and women’s indoor track and field teams won Western Athletic conference championships. GCU televises home athletic events in multiple sports highlighted by the men’s basketball games that have averaged approximately 7,000 fans per night.</w:t>
      </w:r>
    </w:p>
    <w:p>
      <w:pPr>
        <w:spacing w:after="0" w:line="185" w:lineRule="exact"/>
        <w:rPr>
          <w:sz w:val="20"/>
          <w:szCs w:val="20"/>
          <w:color w:val="auto"/>
        </w:rPr>
      </w:pPr>
    </w:p>
    <w:p>
      <w:pPr>
        <w:jc w:val="both"/>
        <w:ind w:right="160" w:firstLine="456"/>
        <w:spacing w:after="0" w:line="276" w:lineRule="auto"/>
        <w:rPr>
          <w:sz w:val="20"/>
          <w:szCs w:val="20"/>
          <w:color w:val="auto"/>
        </w:rPr>
      </w:pPr>
      <w:r>
        <w:rPr>
          <w:rFonts w:ascii="Arial" w:cs="Arial" w:eastAsia="Arial" w:hAnsi="Arial"/>
          <w:sz w:val="17"/>
          <w:szCs w:val="17"/>
          <w:color w:val="auto"/>
        </w:rPr>
        <w:t>We believe our ground-based programs and traditional campus not only offer our ground students, faculty, and staff an opportunity to participate in a traditional college experience, but also provide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the mix of our online program with our traditional ground-based program with a greater than 60-year history and heritage differentiates us from other for-profit post-secondary education providers.</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intend to continue to expand the size and enhance the profile and reputation of our ground campus by, among other things, adding faculty, excelling in the performance areas such as athletics, debate, theatre, music and dance, expanding upon our campus infrastructure and technological capabilities, and potentially adding additional locations in the Southwest United States. These activities will require significant capital expenditures.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As of December 31, 2017, we employed approximately 4,000 full-time faculty, staff and administrative personnel in university services, academic advising and academic support, enrollment services, university administration, financial aid, information technology, human resources, corporate accounting, finance, and other administrative functions. In addition, we employ approximately 6,000 part-time/adjunct and student workers. None of our employees is a party to any collective bargaining or similar agreement with us. We consider our relationships with our employees to be good.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Involvement and the Public Good</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University has embarked on a five-point plan to revitalize its West Phoenix neighborhood through the following initiatives. We believe these initiatives reflect well on the University and its employees, make the University more appealing to students and prospective students, help us develop strong working relationships with local government bodies, and continue to build the Grand Canyon University brand.</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Significant support for K-12 education</w:t>
      </w:r>
      <w:r>
        <w:rPr>
          <w:rFonts w:ascii="Arial" w:cs="Arial" w:eastAsia="Arial" w:hAnsi="Arial"/>
          <w:sz w:val="18"/>
          <w:szCs w:val="18"/>
          <w:color w:val="auto"/>
        </w:rPr>
        <w:t>. We have expanded our free tutoring/mentoring program to 73 Phoenix-area high schools. This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served by over 1,200 University students, operates in partnership with Phoenix-area businesses to provide 100 full-tuition scholarships to attend Grand Canyon University each year for students from inner-city schools who have sought academic assistance at GCU’s Learning Lounge. </w:t>
      </w:r>
      <w:r>
        <w:rPr>
          <w:rFonts w:ascii="Arial" w:cs="Arial" w:eastAsia="Arial" w:hAnsi="Arial"/>
          <w:sz w:val="18"/>
          <w:szCs w:val="18"/>
          <w:i w:val="1"/>
          <w:iCs w:val="1"/>
          <w:color w:val="auto"/>
        </w:rPr>
        <w:t>Increased home values</w:t>
      </w:r>
      <w:r>
        <w:rPr>
          <w:rFonts w:ascii="Arial" w:cs="Arial" w:eastAsia="Arial" w:hAnsi="Arial"/>
          <w:sz w:val="18"/>
          <w:szCs w:val="18"/>
          <w:color w:val="auto"/>
        </w:rPr>
        <w:t>. Together with Habitat for Humanity, we participated in the largest home renovation project in the country in the West Phoenix area. As of December 31, 2017, 346 different projects have been completed. These efforts, combined with the University’s expanded presence in the community, has resulted in a significant increase in home values in the 85017 zip code.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i w:val="1"/>
          <w:iCs w:val="1"/>
          <w:color w:val="auto"/>
        </w:rPr>
        <w:t xml:space="preserve">Improved safety. </w:t>
      </w:r>
      <w:r>
        <w:rPr>
          <w:rFonts w:ascii="Arial" w:cs="Arial" w:eastAsia="Arial" w:hAnsi="Arial"/>
          <w:sz w:val="18"/>
          <w:szCs w:val="18"/>
          <w:color w:val="auto"/>
        </w:rPr>
        <w:t>We are in the sixth year of a $1.6 million partnership with City of Phoenix Police Department that focuses on improving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reducing crime in the communities surrounding our campus. Since the initiation of this program, crime has decreased substantially in the two-mile radius surrounding the University.</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Job creation on the campus</w:t>
      </w:r>
      <w:r>
        <w:rPr>
          <w:rFonts w:ascii="Arial" w:cs="Arial" w:eastAsia="Arial" w:hAnsi="Arial"/>
          <w:sz w:val="18"/>
          <w:szCs w:val="18"/>
          <w:color w:val="auto"/>
        </w:rPr>
        <w:t>. We have tripled the number of our full-time employees from 1,219 in 2008 to nearly 4,000 by the end of 2017.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full-time, part-time/adjunct and student worker positions is approximately 10,000.</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i w:val="1"/>
          <w:iCs w:val="1"/>
          <w:color w:val="auto"/>
        </w:rPr>
        <w:t>Job creation off campus</w:t>
      </w:r>
      <w:r>
        <w:rPr>
          <w:rFonts w:ascii="Arial" w:cs="Arial" w:eastAsia="Arial" w:hAnsi="Arial"/>
          <w:sz w:val="18"/>
          <w:szCs w:val="18"/>
          <w:color w:val="auto"/>
        </w:rPr>
        <w:t>. We are launching a number of new business enterprises that reduce costs for the University, provide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for recent graduates and employment opportunities for current students and neighborhood residents, while spurring economic growth in the area.</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University is also involved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 Mary’s Food Bank. Our faculty, staff and students also go out into our surrounding neighborhoods to participate in University-sponsored programs such as Serve the City, Canyon Kids, Salute Our Troops, Colter Commons senior home visits and the Run to Fight Children’s Cancer.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ground program competes with regionally accredited state universities, both inside Arizona and outside of the state, as well as regionally accredited private universities, as well as two-year colleges within the state community college system. Our ground program also competes with geographically proximate universities with similar religious heritages, including Azusa Pacific University, Baylor University, and Pepperdine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w:t>
      </w:r>
    </w:p>
    <w:p>
      <w:pPr>
        <w:spacing w:after="0" w:line="173"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have substantially greater name recognition and financial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131"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professionally relevant and accredited program offerings;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types of degrees offered and the marketability of those degrees;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reputation, regulatory approvals, and compliance history of the school;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qualified and experienced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of the ground campus facilities;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the program;</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marketing and sales efforts;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own or are licensed to use various intellectual property rights, including copyrights, trademarks, service marks, trade secrets and domain names. We license the right to utilize the name of Jerry Colangelo in connection with our business school and our Colangelo School of Sports Business that we operate within our business school, and we have spent significant resources in related branding efforts. While such intellectual property rights are important to us, we do not believe that the loss of any individual property right or group of related rights would have a material adverse effect on our overall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u w:val="single" w:color="auto"/>
          <w:color w:val="auto"/>
        </w:rPr>
        <w:t>www.gcu.edu</w:t>
      </w:r>
      <w:r>
        <w:rPr>
          <w:rFonts w:ascii="Arial" w:cs="Arial" w:eastAsia="Arial" w:hAnsi="Arial"/>
          <w:sz w:val="16"/>
          <w:szCs w:val="16"/>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 to visiting our website, you may read and copy any document we file with the SEC at the SEC’s Public Reference Room at 100 F. Street NE, Washington, D.C. 20549 or at www.sec.gov. Please call the SEC at 1-800-SEC-0330 for information on the Public Reference Room.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subject to extensive regulation by state post-secondary, licensure, and certification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athletics and financial condition.</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an institution of higher education that grants degrees and certificates, we are required to be authorized by appropriate state post-secondary, licensure, and certification authorities. In addition, in order to participate in the federal student financial aid programs, we must be accredited by an accrediting commission recognized by the Department of Education.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operations are also subject to regulation by the Department of Education due to our participation in the federal student financial aid programs under Title IV of the Higher Education Act.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agency or agencies, be accredited by an accrediting commission recognized by the Department of Education, and be certified as an eligible institution by the Department of Education.</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activities are planned and implemented to comply with the standards of these regulatory agencies. We employ a Vice President of Student Financial Aid Compliance who is knowledgeable about regulatory matters relevant to student financial aid programs and our Chief Financial Officer, Chief Risk Officer, Senior Vice President of Academic Affairs and General Counsel also provide oversight designed to ensure that we meet the requirements of our regulated operating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Post-Secondary Education Regulation</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are authorized to offer our programs by the Arizona State Board for Private Postsecondary Education, the regulatory agency governing private post-secondary educational institutions in the State of Arizona, where we are located. We do not presently have campuses in any states other than Arizona, although we do have one location in Albuquerque, New Mexico.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failure to comply with the requirements of the Arizona State Board for Private Postsecondary Education could result in us losing our authorization to offer our educational programs, which would cause us to lose our eligibility to participate in the Title IV programs and could force us to cease operations. Alternatively, the Arizona State Board for Private Postsecondary Education could restrict our ability to offer certain degree and non-degree programs.</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Department of Education released a final rule on state authorizations of distance learning programs, which will become effective on July 1, 2018, unless repealed or overruled. As written, the rule provides that programs may be authorized pursuant to certain reciprocity agreements among states. We are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for which Arizona is a W-SARA member. There is a yearly renewal for participating in NC-SARA and AZ-SARA and institutions must agree to meet certain requirements to participate. As of December 31, 2017, 48 states are members of SARA.</w:t>
      </w:r>
    </w:p>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Some states that do not participate in SARA impose regulatory requirements on out-of-state higher education institutions operating within their boundaries, such as those having a physical facility or conducting certain academic activities within the state. We currently enroll students in all 50 states and the District of Columbia. Although we are currently licensed, authorized, in-process, or exempt in all non-SARA jurisdictions in which we operate, if we fail to comply with state licensing or authorization requirements for a state, or fail to obtain licenses or authorizations when required, we could lose our state license or authorization by that state or be subject to other sanctions, including restrictions on our activities in, and fines and penalties imposed by, that state, as well as fines, penalties, and sanctions imposed by the Department of Education. The loss of licensure or authorization in any non-SARA state could prohibit us from recruiting prospective students or offering services to current students in that state, which could significantly reduce our enrollments.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Individual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may require the posting of surety bonds.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Professional Licensure</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Many states have specific requirements that an individual must satisfy in order to be licensed as a professional in specified fields, including fields such as education and healthcare,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52" w:lineRule="exact"/>
        <w:rPr>
          <w:sz w:val="20"/>
          <w:szCs w:val="20"/>
          <w:color w:val="auto"/>
        </w:rPr>
      </w:pPr>
    </w:p>
    <w:p>
      <w:pPr>
        <w:ind w:left="1480" w:right="88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institution and the program are accredited and, if so, by what accrediting commissions;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institution’s degrees are recognized by other states in which a student may seek to work.</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170"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Our College of Education is approved by the Arizona State Department of Education to offer Institutional Recommendations (credentials) for the certification of early childhood, elementary, secondary, and special education teachers and school administrators. Our College of Nursing and Health Care Professions is approved by the Arizona State Board of Nursing for the Bachelor of Science in Nursing and advanced practice Master of Science in Nursing degrees for Family Nurse Practitioner and Acute Care Nurse Practitioner. Due to varying requirements for professional licensure and certification in states other than Arizona, we inform students of the risks associated with obtaining professional licensure or certification and that it is each student’s responsibility to determine what state, local or professional licensure and certification requirements are necessary in his or her individual state.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5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Grand Canyon University has been regionally accredited by the Higher Learning Commission and its predecessor since 1968, most recently obtaining reaccreditation in 2017 for the ten-year period through 2027. Following a comprehensive review of the institution’s academic offerings, teaching, assessment, governance and administration, mission, finances and resources that occurred during 2016, the University’s accreditation was reaffirmed by the HLC’s Institutional Actions council at its meeting on February 28, 2017 with no requirements for any monitoring or interim reports. The comprehensive review occurs every 10 years, along with a mid-term report in year four. 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ectPr>
          <w:pgSz w:w="11900" w:h="16838" w:orient="portrait"/>
          <w:cols w:equalWidth="0" w:num="1">
            <w:col w:w="11420"/>
          </w:cols>
          <w:pgMar w:left="240" w:top="459" w:right="239" w:bottom="1440" w:gutter="0" w:footer="0" w:header="0"/>
        </w:sectPr>
      </w:pPr>
    </w:p>
    <w:bookmarkStart w:id="19" w:name="page20"/>
    <w:bookmarkEnd w:id="19"/>
    <w:p>
      <w:pPr>
        <w:ind w:firstLine="456"/>
        <w:spacing w:after="0" w:line="255" w:lineRule="auto"/>
        <w:rPr>
          <w:sz w:val="20"/>
          <w:szCs w:val="20"/>
          <w:color w:val="auto"/>
        </w:rPr>
      </w:pPr>
      <w:r>
        <w:rPr>
          <w:rFonts w:ascii="Arial" w:cs="Arial" w:eastAsia="Arial" w:hAnsi="Arial"/>
          <w:sz w:val="18"/>
          <w:szCs w:val="18"/>
          <w:color w:val="auto"/>
        </w:rPr>
        <w:t>In addition to our institutional accreditation, we have specialized accreditations for certain programs, including from the National Addiction Studies Accreditation Commission (NASAC), the Accreditation Council for Business Schools and Programs (ACBSP), the Commission on Collegiate Nursing Education (CCNE), and the Commission on Accreditation of Athletic Training Education (CAATE). In addition, Grand Canyon Theological Seminary is an Associate Member of the Association of Theological Schools in the United States and Canada (ATS). We believe that our institution-wide regional accreditation, together with these specialized accreditations, reflect the quality of our programs, enhance their marketability to students, and improve the employability of our graduates.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125"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(in our case, the Higher Learning Commission).</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regulations and other factors relating to the Title IV programs that could adversely affect us include the following:</w:t>
      </w:r>
    </w:p>
    <w:p>
      <w:pPr>
        <w:spacing w:after="0" w:line="22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 and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reauthorization occurred in August 2008. The reauthorized Higher Education Act reauthorized all of the Title IV programs in which we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our industry generally.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w:t>
      </w:r>
    </w:p>
    <w:p>
      <w:pPr>
        <w:spacing w:after="0" w:line="16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Regulatory changes. </w:t>
      </w:r>
      <w:r>
        <w:rPr>
          <w:rFonts w:ascii="Arial" w:cs="Arial" w:eastAsia="Arial" w:hAnsi="Arial"/>
          <w:sz w:val="16"/>
          <w:szCs w:val="16"/>
          <w:color w:val="auto"/>
        </w:rPr>
        <w:t>Pursuant to the Higher Education Act and following negotiated rulemaking, on November 1, 2016, the Department published final</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that, inter alia, would have specified the acts or omissions of an institution that a borrower may assert as a defense to repayment of a loan made under the Direct Loan Program. Although the regulations were scheduled to become effective on July 1, 2017, on June 16, 2017, the Department delayed indefinitely the effective date of selected provisions of the regulations and announced its intention to conduct negotiated rulemaking proceedings to revise the regulations. Those proceedings took place from November 13-15, 2017; January 8-11, 2018; and February 12-15, 2018. These proceedings did not end in consensus and, as such, the Department will have the opportunity to write regulations as it sees fit. In addition, on October 24, 2017, the Department published an interim final rule to delay until July 1, 2018 the effective date of the selected provisions. On February 14, 2018, the Department also published a notice of proposed rulemaking to delay until July 1, 2019 the effective date of the selected provisions.</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Eligibility and certification procedures. </w:t>
      </w:r>
      <w:r>
        <w:rPr>
          <w:rFonts w:ascii="Arial" w:cs="Arial" w:eastAsia="Arial" w:hAnsi="Arial"/>
          <w:sz w:val="17"/>
          <w:szCs w:val="17"/>
          <w:color w:val="auto"/>
        </w:rPr>
        <w:t>Each institution must apply periodically to the Department of Education for continued certification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August 2017, the University received a new program participation agreement with full certification from the Department of Education, which gives the University the ability to participate in the Title IV programs through December 31, 2020.</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 xml:space="preserve">Administrative capability. </w:t>
      </w:r>
      <w:r>
        <w:rPr>
          <w:rFonts w:ascii="Arial" w:cs="Arial" w:eastAsia="Arial" w:hAnsi="Arial"/>
          <w:sz w:val="16"/>
          <w:szCs w:val="16"/>
          <w:color w:val="auto"/>
        </w:rPr>
        <w:t>Department of Education regulations specify extensive criteria by which an institution must establish that it has the requisite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capability” to participate in the Title IV programs. To meet the administrative capability standards, an institution must, among other things:</w:t>
      </w:r>
    </w:p>
    <w:p>
      <w:pPr>
        <w:spacing w:after="0" w:line="29" w:lineRule="exact"/>
        <w:rPr>
          <w:sz w:val="20"/>
          <w:szCs w:val="20"/>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have various procedures in place for awarding, disbursing and safeguarding Title IV funds and for maintaining required records;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administer the Title IV programs with adequate checks and balances in its system of internal controls;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130" w:lineRule="exact"/>
        <w:rPr>
          <w:rFonts w:ascii="Arial" w:cs="Arial" w:eastAsia="Arial" w:hAnsi="Arial"/>
          <w:sz w:val="18"/>
          <w:szCs w:val="18"/>
          <w:color w:val="auto"/>
        </w:rPr>
      </w:pPr>
    </w:p>
    <w:p>
      <w:pPr>
        <w:ind w:left="1480" w:right="300" w:hanging="446"/>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131" w:lineRule="exact"/>
        <w:rPr>
          <w:sz w:val="20"/>
          <w:szCs w:val="20"/>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commence a proceeding to impose a fine or to limit, suspend or terminate the institution’s participation in the Title IV programs.</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Higher Education Act and Department of Education regulations establish extensive standards of financial responsibility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institutions such as Grand Canyon University must satisfy in order to participate in the Title IV programs. The Department of Education evaluates institutions for compliance with these standards on an annual basis based on the institution’s annual audited consolidated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99"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Department of Education oversight. Our composite scores for our fiscal years ended December 31, 2016, 2015 and 2014 were 2.5, 2.6 and 3.0, respectively, and, therefore, we are considered financially responsible for purposes of these regulations. We have not yet submitted our consolidated financial statements to the Department of Education for our 2017 fiscal year, but have calculated that our composite score for the 2017 fiscal year will be 3.0. We have modeled our composite score for future years using, among other estimates, our estimated ground campus capital expenditures and believe that our composite score will remain at a financially responsible level for the foreseeable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 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 of Education’s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 withdraws from school, the institution</w:t>
      </w:r>
      <w:r>
        <w:rPr>
          <w:rFonts w:ascii="Arial" w:cs="Arial" w:eastAsia="Arial" w:hAnsi="Arial"/>
          <w:sz w:val="16"/>
          <w:szCs w:val="16"/>
          <w:i w:val="1"/>
          <w:iCs w:val="1"/>
          <w:color w:val="auto"/>
        </w:rPr>
        <w:t xml:space="preserve"> </w:t>
      </w:r>
      <w:r>
        <w:rPr>
          <w:rFonts w:ascii="Arial" w:cs="Arial" w:eastAsia="Arial" w:hAnsi="Arial"/>
          <w:sz w:val="16"/>
          <w:szCs w:val="16"/>
          <w:color w:val="auto"/>
        </w:rPr>
        <w:t>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Department of Education program review. We did not exceed this 5% threshold in our annual Title IV compliance audits for 2016 (the most recent year for which we have completed a Title IV compliance audit), 2015 or 2014.</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The “90/10 Rule.” </w:t>
      </w:r>
      <w:r>
        <w:rPr>
          <w:rFonts w:ascii="Arial" w:cs="Arial" w:eastAsia="Arial" w:hAnsi="Arial"/>
          <w:sz w:val="18"/>
          <w:szCs w:val="18"/>
          <w:color w:val="auto"/>
        </w:rPr>
        <w:t>A requirement of the Higher Education Act, commonly referred to as the “90/10 Rule,” that is applicable only 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9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Using the Department of Education’s cash-basis, regulatory formula under the 90/10 Rule as currently in effect, for our 2017, 2016, and 2015 fiscal years, we derived approximately 71.5%, 72.3%, and 74.8%, respectively, of our 90/10 Rule revenue from Title IV program funds.</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to continue to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Student loan defaults. </w:t>
      </w:r>
      <w:r>
        <w:rPr>
          <w:rFonts w:ascii="Arial" w:cs="Arial" w:eastAsia="Arial" w:hAnsi="Arial"/>
          <w:sz w:val="18"/>
          <w:szCs w:val="18"/>
          <w:color w:val="auto"/>
        </w:rPr>
        <w:t>Under the Higher Education Act, an educational institution may lose its eligibility to participate in some or all of the Title IV</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if defaults by its students on the repayment of their federal student loans exceed certain levels. For each federal fiscal year, the Department of Education calculates a rate of student defaults for each institution (known as a “cohort default rate”).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year following the first federal fiscal year (the “three-year method”).</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Department of Education applies legal thresholds to measure an institution’s compliance. If the Department of Education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the Department of Education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30%, the Department of Education may place the institution on provisional certification status.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cohort default rates on federal student loans for the 2014, 2013 and 2012 federal fiscal years, the latest years for which such rates are available, were 8.5%, 9.2% and 10.3%, respectively.</w:t>
      </w:r>
    </w:p>
    <w:p>
      <w:pPr>
        <w:spacing w:after="0" w:line="17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Incentive compensation rule. </w:t>
      </w:r>
      <w:r>
        <w:rPr>
          <w:rFonts w:ascii="Arial" w:cs="Arial" w:eastAsia="Arial" w:hAnsi="Arial"/>
          <w:sz w:val="18"/>
          <w:szCs w:val="18"/>
          <w:color w:val="auto"/>
        </w:rPr>
        <w:t>An institution that participates in the Title IV programs may not provide any commission, bonus, or other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based directly or indirectly on success in securing enrollments or financial aid to any person or entity engaged in any student recruitment, admissions, or financial aid awarding activity. Prior to July 1, 2011, Department of Education regulations included 12 “safe harbors” that described payments and arrangements that did not violate the incentive compensation rule. Under new rules effective July 1, 2011, the 12 safe harbors were eliminated. The restrictions of the incentive compensation rule, which extend to any third-party companies that an educational institution contracts with for student recruitment, admissions, or financial aid awarding services, increase the uncertainty about what constitutes incentive compensation and which employees are covered by the regulation. This makes the development of effective and compliant performance metrics more difficult to establish. As such, these changes limit our ability to compensate our employees based on their performance of their job responsibilities, which could make it more difficult to attract and retain highly-qualified employees.</w:t>
      </w:r>
    </w:p>
    <w:p>
      <w:pPr>
        <w:spacing w:after="0" w:line="19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Compliance reviews. </w:t>
      </w:r>
      <w:r>
        <w:rPr>
          <w:rFonts w:ascii="Arial" w:cs="Arial" w:eastAsia="Arial" w:hAnsi="Arial"/>
          <w:sz w:val="17"/>
          <w:szCs w:val="17"/>
          <w:color w:val="auto"/>
        </w:rPr>
        <w:t>We are subject to announced and unannounced compliance reviews and audits by various external agencies,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its Office of Inspector General, state licensing agencies,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17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i w:val="1"/>
          <w:iCs w:val="1"/>
          <w:color w:val="auto"/>
        </w:rPr>
        <w:t xml:space="preserve">Gainful employment rules. </w:t>
      </w:r>
      <w:r>
        <w:rPr>
          <w:rFonts w:ascii="Arial" w:cs="Arial" w:eastAsia="Arial" w:hAnsi="Arial"/>
          <w:sz w:val="17"/>
          <w:szCs w:val="17"/>
          <w:color w:val="auto"/>
        </w:rPr>
        <w:t>Under the Higher Education Act, proprietary schools are eligible to participate in Title IV programs in respect of educational</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that lead to “gainful employment in a recognized occupation,” with the limited exception of qualified programs leading to a bachelor’s degree in liberal arts. Historically, this concept has not been defined in detail. In October 2014, the Department of Education published final regulations, effective July 1, 2015, on the metrics for determining whether an academic program prepares students for gainful employment in a recognized occupation. This rule establishes requirements related to the debt to earnings ratio of graduates of our programs, and sets additional disclosure requirements for students. Under the final regulations, which apply on a program-by-program basis, students enrolled in a program will be eligible for Title IV student financial aid only if that program satisfies at least one of two tests relating to student debt service-to-earnings ratios. The two tests specify minimum debt service-to-earnings ratios calculated on the basis of the earnings of program graduates. One test measures student loan debt service as a percentage of total earnings, and is calculated by comparing (1) the annual loan payment required on the median student loan debt incurred by students receiving Title IV funds who completed a particular program and (2) the higher of the mean or median of those graduates’ annual earnings two to four years after graduation. The other test measures student loan debt service as a percentage of discretionary earnings and is calculated by comparing (1) the annual loan payment required on the median student loan debt incurred by students receiving Title IV funds who completed a particular program and (2) the higher of the mean or median annual earnings of those graduates two to four years after graduation, less 1.5 times the government issued Poverty Guideline. Under the new gainful employment regulation, a program would pass if:</w:t>
      </w:r>
    </w:p>
    <w:p>
      <w:pPr>
        <w:spacing w:after="0" w:line="91" w:lineRule="exact"/>
        <w:rPr>
          <w:sz w:val="20"/>
          <w:szCs w:val="20"/>
          <w:color w:val="auto"/>
        </w:rPr>
      </w:pPr>
    </w:p>
    <w:p>
      <w:pPr>
        <w:ind w:left="1480" w:right="100" w:hanging="446"/>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annual loan payment required on the median student loan debt is less than or equal to 8% of the higher of the mean or median annual earnings of graduates in the relevant period; or</w:t>
      </w:r>
    </w:p>
    <w:p>
      <w:pPr>
        <w:spacing w:after="0" w:line="75"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annual loan payment required on the median student loan debt is less than or equal to 20% of the discretionary income of graduates in the relevant period.</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a program that does not pass either of the debt-to-earnings metrics, and that has an annual earnings rate between 8% and 12%, or a discretionary income rate between 20% and 30%, would be considered to be in the “Zone”. A program would fail if the annual loan payment on the median student loan debt is greater than 12% of the mean or median annual earnings of the graduates or the annual loan payment on the median student debt is greater than 30% of the discretionary income of the graduates. A program would become Title IV-ineligible for three years if it fails both metrics for two out of three consecutive years, or is in the Zone (or fails) for four consecutive award years. In the first four years that the debt-to-earnings metrics are calculated under the rule (award years 2014-15, 2015-16, 2016-17, and 2017-18), if a program would be failing or in the Zone based on the typical approach to calculating debt-to-earnings metrics, transitional debt-to-earnings rates would be calculated using the most currently available yearly earnings two years after graduation and the annual loan payments of students who completed the program in the most recently completed award year. Transitional rates will be used to assess the program if they are lower than what the rates would be under the normal calculation. This allows programs that promptly lower tuition and fees to realize the benefit of their changes.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an institution is notified by the Secretary of Education that a program could become ineligible, based on its final rates, for the next award year:</w:t>
      </w:r>
    </w:p>
    <w:p>
      <w:pPr>
        <w:spacing w:after="0" w:line="142" w:lineRule="exact"/>
        <w:rPr>
          <w:sz w:val="20"/>
          <w:szCs w:val="20"/>
          <w:color w:val="auto"/>
        </w:rPr>
      </w:pPr>
    </w:p>
    <w:p>
      <w:pPr>
        <w:ind w:left="1480" w:right="16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institution must provide a warning with respect to the program to students and prospective students indicating, among other things, that students may not be able to use Title IV funds to attend or continue in the program; and</w:t>
      </w:r>
    </w:p>
    <w:p>
      <w:pPr>
        <w:spacing w:after="0" w:line="75" w:lineRule="exact"/>
        <w:rPr>
          <w:rFonts w:ascii="Arial" w:cs="Arial" w:eastAsia="Arial" w:hAnsi="Arial"/>
          <w:sz w:val="18"/>
          <w:szCs w:val="18"/>
          <w:color w:val="auto"/>
        </w:rPr>
      </w:pPr>
    </w:p>
    <w:p>
      <w:pPr>
        <w:ind w:left="1480" w:right="56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institution must not enroll, register or enter into a financial commitment with a prospective student until a specified time after providing the warning to the prospective student.</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On October 20, 2016, the Department issued to institutions draft debt-to-earnings rates for the first gainful employment debt measurement year and certain underlying data used to calculate those rates. According to the Department’s draft rates, none of the University’s programs fail. The draft rates did indicate that four current degree programs are in the Zone, including three undergraduate education programs and the Masters in Theology. The University is currently analyzing the data for these programs to determine what changes, if any, should be made.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Schools are also required to certify to the Department the following for each Title IV eligible program:</w:t>
      </w:r>
    </w:p>
    <w:p>
      <w:pPr>
        <w:spacing w:after="0" w:line="13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program is included in the schools’ accreditation;</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program is programmatically accredited, if required by a federal government entity, or by a government entity in any state in which the school is located or is required to obtain state approval;</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program satisfies any applicable state licensing and certification requirements for the occupations for which the program prepares students to enter; and</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program is not substantially similar to a program offered by the school that became ineligible due to the student debt service-to-earnings ratios.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we successfully submitted the certifications required for all pre-existing programs prior to the December 31, 2015 deadline for doing so. We continue to follow this protocol on an ongoing basis.</w:t>
      </w:r>
    </w:p>
    <w:p>
      <w:pPr>
        <w:spacing w:after="0" w:line="170"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These regulations went into effect on July 1, 2015, with the exception of the new disclosure requirements that were originally scheduled to go into effect January 1, 2017, but which have now been delayed, to some extent, until July 1, 2018. Additionally, the Department announced, on June 16, 2017, its intention to conduct negotiated rulemaking proceedings to revise the gainful employment regulations. Those negotiated rulemaking proceedings began in December 2017 and continued February 5-8, 2018 and will end in March 12-15, 2018. Management is following this rulemaking, as it does with all rulemakings, but does not have a view at this time about how it will affect the University.</w:t>
      </w:r>
    </w:p>
    <w:p>
      <w:pPr>
        <w:spacing w:after="0" w:line="173"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i w:val="1"/>
          <w:iCs w:val="1"/>
          <w:color w:val="auto"/>
        </w:rPr>
        <w:t>Substantial misrepresentation</w:t>
      </w:r>
      <w:r>
        <w:rPr>
          <w:rFonts w:ascii="Arial" w:cs="Arial" w:eastAsia="Arial" w:hAnsi="Arial"/>
          <w:sz w:val="17"/>
          <w:szCs w:val="17"/>
          <w:color w:val="auto"/>
        </w:rPr>
        <w:t>. The Higher Education Act prohibits an institution that participates in Title IV programs from engaging in “substantial</w:t>
      </w:r>
      <w:r>
        <w:rPr>
          <w:rFonts w:ascii="Arial" w:cs="Arial" w:eastAsia="Arial" w:hAnsi="Arial"/>
          <w:sz w:val="17"/>
          <w:szCs w:val="17"/>
          <w:i w:val="1"/>
          <w:iCs w:val="1"/>
          <w:color w:val="auto"/>
        </w:rPr>
        <w:t xml:space="preserve"> </w:t>
      </w:r>
      <w:r>
        <w:rPr>
          <w:rFonts w:ascii="Arial" w:cs="Arial" w:eastAsia="Arial" w:hAnsi="Arial"/>
          <w:sz w:val="17"/>
          <w:szCs w:val="17"/>
          <w:color w:val="auto"/>
        </w:rPr>
        <w:t>misrepresentation” of the nature of its educational program, its financial charges, or the employability of its graduates. The Department of Education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qui tam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regulations, we could be subject to sanctions and other liability, which could have a material adverse effect on our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Clery Act Compliance</w:t>
      </w:r>
      <w:r>
        <w:rPr>
          <w:rFonts w:ascii="Arial" w:cs="Arial" w:eastAsia="Arial" w:hAnsi="Arial"/>
          <w:sz w:val="18"/>
          <w:szCs w:val="18"/>
          <w:color w:val="auto"/>
        </w:rPr>
        <w:t>. We must comply with the campus safety and security reporting requirements as well as other requirements in the Jeanne Clery</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Campus Security Policy and Campus Crime Statistics Act (the “Clery Act”). In addition, the Department has interpreted Title IX to categorize sexual violence as a form of prohibited sex discrimination and to require institutions to follow certain disciplinary procedures with respect to such offenses. Failure by the University to comply with the Clery Act or Title IX requirements or regulations thereunder could result in action by the Department including fining us, or limiting or suspending its participating in Title IV programs, could lead to litigation, and could harm our reputation. We believe that we are in compliance with these requirements.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121"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Many actions that we may wish to take in connection with expanding our operations or other changes are subject to review or approval by the applicable regulatory agencies. In addition to those matters described in detail below, most state post-secondary approval agencies impose regulatory requirements on post-secondary institutions operating within their boundaries.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Adding teaching locations, implementing new educational programs, and increasing enrollment. </w:t>
      </w:r>
      <w:r>
        <w:rPr>
          <w:rFonts w:ascii="Arial" w:cs="Arial" w:eastAsia="Arial" w:hAnsi="Arial"/>
          <w:sz w:val="18"/>
          <w:szCs w:val="18"/>
          <w:color w:val="auto"/>
        </w:rPr>
        <w:t>The requirements and standards of state post-secondary 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pre-licensure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9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like Grand Canyon University, that is fully certified to participate in the Title IV programs is not required to obtain the Department of Education’s approval of additional programs that lead to a bachelor’s, professional, or graduate degree at the same degree level as programs previously approved by the Department of Education, and, similarly,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w:t>
      </w:r>
    </w:p>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 Department of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virtually all state post-secondary agencies and accrediting commissions require a company to seek their approval if it wishes to acquire another school. In our case, we would need to obtain the approval of the Arizona State Board for Private Postsecondary Education or other state post-secondary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and others only considering approval after the acquisition has occurred. The Higher Learning Commission would require us to obtain its advance approval of such an acquisition. The approval of the applicable state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16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i w:val="1"/>
          <w:iCs w:val="1"/>
          <w:color w:val="auto"/>
        </w:rPr>
        <w:t xml:space="preserve">Change in ownership resulting in a change in control. </w:t>
      </w:r>
      <w:r>
        <w:rPr>
          <w:rFonts w:ascii="Arial" w:cs="Arial" w:eastAsia="Arial" w:hAnsi="Arial"/>
          <w:sz w:val="17"/>
          <w:szCs w:val="17"/>
          <w:color w:val="auto"/>
        </w:rPr>
        <w:t>The Department of Education, as well as many accrediting commissions and states,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institutions of higher education to report or obtain approval of certain changes in control and changes in other aspects of institutional organization or control. With respect to publicly traded corporations, like us, Department of Education regulations provide that a change in control occurs if, among other things,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Higher Learning Commission provides that an institution must obtain its approval in advance of a change in ownership, corporate control or structure in order for the institution to retain its accredited status. In certain circumstances that process may require several weeks or several months or more to complete. In addition, following a change in control, the Higher Learning Commission will conduct an onsite evaluation within six months in order to continue the institution’s accreditation.</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 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a change in control in order to maintain our authorization to operate in that state, and in some cases such states could require us to obtain advance approval of the change in control.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which would cause a significant decline in our student enrollment.</w:t>
      </w:r>
    </w:p>
    <w:p>
      <w:pPr>
        <w:spacing w:after="0" w:line="3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If any of the following risks, or risks that we do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Item 8,</w:t>
      </w:r>
      <w:r>
        <w:rPr>
          <w:rFonts w:ascii="Arial" w:cs="Arial" w:eastAsia="Arial" w:hAnsi="Arial"/>
          <w:sz w:val="18"/>
          <w:szCs w:val="18"/>
          <w:i w:val="1"/>
          <w:iCs w:val="1"/>
          <w:color w:val="auto"/>
        </w:rPr>
        <w:t xml:space="preserve"> Consolidated Financial Statements and Supplementary Data, </w:t>
      </w:r>
      <w:r>
        <w:rPr>
          <w:rFonts w:ascii="Arial" w:cs="Arial" w:eastAsia="Arial" w:hAnsi="Arial"/>
          <w:sz w:val="18"/>
          <w:szCs w:val="18"/>
          <w:color w:val="auto"/>
        </w:rPr>
        <w:t>including the related Notes to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r>
        <w:rPr>
          <w:rFonts w:ascii="Arial" w:cs="Arial" w:eastAsia="Arial" w:hAnsi="Arial"/>
          <w:sz w:val="18"/>
          <w:szCs w:val="18"/>
          <w:i w:val="1"/>
          <w:iCs w:val="1"/>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Change in the Structure of Our Operations</w:t>
      </w:r>
    </w:p>
    <w:p>
      <w:pPr>
        <w:spacing w:after="0" w:line="12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If the Proposed Transaction is consummated, we will be subject to various risks and uncertainties arising out of the changes in the structure of our operations, any of which could materially and adversely affect our business and operations, and our stock price.</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discussed above under “Item 1. Business – Proposed Change in the Structure of Our Operations,” we are seeking approval of the Proposed Transaction. If the necessary approvals are obtained, financial and other terms between us and New GCU are agreed upon, definitive agreements are executed, and the Proposed Transaction is ultimately consummated, then various aspects of our operations would change in important ways. These changes include, but are not limited to, the following:</w:t>
      </w:r>
    </w:p>
    <w:p>
      <w:pPr>
        <w:spacing w:after="0" w:line="92" w:lineRule="exact"/>
        <w:rPr>
          <w:sz w:val="20"/>
          <w:szCs w:val="20"/>
          <w:color w:val="auto"/>
        </w:rPr>
      </w:pPr>
    </w:p>
    <w:p>
      <w:pPr>
        <w:ind w:left="900" w:right="20" w:hanging="325"/>
        <w:spacing w:after="0" w:line="30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academic and related operations and assets, as well as approximately 35% of our full-time employees and substantially all of our part-time employees and student workers, would transfer to New GCU. Following this transfer, we would no longer own and operate a regulated institution of higher education, but would instead provide a host of services in support of New GCU’s operations. While the services we would provide are services that we currently provide as part of our business today, we have limited to no experience operating as a service provider to third parties.</w:t>
      </w:r>
    </w:p>
    <w:p>
      <w:pPr>
        <w:spacing w:after="0" w:line="59" w:lineRule="exact"/>
        <w:rPr>
          <w:rFonts w:ascii="Arial" w:cs="Arial" w:eastAsia="Arial" w:hAnsi="Arial"/>
          <w:sz w:val="16"/>
          <w:szCs w:val="16"/>
          <w:color w:val="auto"/>
        </w:rPr>
      </w:pPr>
    </w:p>
    <w:p>
      <w:pPr>
        <w:ind w:left="900" w:right="160" w:hanging="325"/>
        <w:spacing w:after="0" w:line="25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GCU would be a separate non-profit entity under the control of an independent board of trustees and independent management. Accordingly, our relationship with New GCU, both pursuant to the shared services arrangement and operationally, would no longer be as owner and operator, but as a third party contract party. While we believe this relationship would remain strong, New GCU’s board of trustees and management would have fiduciary and other duties that would require them to focus on the best interests of New GCU and over time those interests could diverge from ours.</w:t>
      </w:r>
    </w:p>
    <w:p>
      <w:pPr>
        <w:spacing w:after="0" w:line="93"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Initially, all of our revenue would be derived pursuant to the shared services arrangement with New GCU. Accordingly, New GCU’s ability to continue to increase its enrollment and tuition and fee revenue, and our ability to continue to perform the services necessary to enable New GCU to do so, would be critical to the success of our services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86"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It is anticipated that the consideration payable by New GCU for the acquired assets, which will be material, will be in the form of a long-term secured note. While the terms of this note remain subject to negotiation, our ability to realize the negotiated value of the acquired assets would be subject to New GCU’s performance and its ability to pay amounts due under the secured note as they come due.</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If the Proposed Transaction is consummated, but we are unable to successfully re-focus our business to providing services to third parties, or if the contemplated shared services arrangement with New GCU fails to achieve the anticipated levels of performance, then our business, financial condition and results of operations, as well as our stock price, could be materially and adversely affected.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Extensive Regulation of Our Industry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To participate in the Title IV programs, a school must be authorized by the appropriate state post-secondary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 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The Department of Education and other regulators have increased the frequency and severity of their enforcement actions against post-secondary schools. In some cases, these enforcement actions have resulted in material sanctions, letter of credit requirements, loss of Title IV eligibility, or closure in schools. We cannot predict with certainty how all of these regulatory requirements will be applied, or whether we will be able to comply with all of the applicable requirements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Rulemaking by the U.S. Department of Education could materially and adversely affect our business.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Over the past few years, the U.S. Department of Education has regularly promulgated new regulations that impact our business. These regulations have increased our operating costs and in some cases required us to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the proprietary sector, could further negatively impact our business.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17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August 2017, the University received a new program participation agreement with full certification from the Department of Education, which gives the University the ability to participate in the Title IV programs through December 31, 2020. There can be no assurance that the Department of Education will recertify us at that time or that it will not impose conditions or other restrictions on us as a condition of approving our application with respect to any future recertification. If the Department of Education does not renew or withdraws our certification to participate in the Title IV programs at any time, our students would no longer be able to receive Title IV program funds. Alternatively, the Department of Education could renew our certification, but restrict or delay our students’ receipt of Title IV funds, limit the number of students to whom we could disburse such funds, or place other restrictions on us, or it could delay our recertification after our program participation agreement expires on December 31, 2020, in which case our certification would continue on a month-to-month basis. Any of these outcomes could have a material adverse effect on our enrollments and 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7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institutional control, institutional integrity, educational quality, faculty, administrative capability, resources, and financial stability. We most recently obtained reaccreditation in 2017 for the ten-year period through 2027. Following a comprehensive review of the institution’s academic offerings, governance and administration, mission, finances and resources that occurred during 2016, the University’s accreditation was reaffirmed by the HLC’s Institutional Actions council at its meeting on February 28, 2017 with no requirements for any monitoring or interim reports. The comprehensive review occurs every 10 years, along with a mid-term report in year four. If we fail to satisfy any of the Higher Learning Commission’s standards, however, we could lose our accreditation by the Higher Learning Commission, which would cause us to lose our eligibility to participate in the Title IV programs, could cause a significant decline in our total student enrollments, and could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percentage of our revenue that is derived from the Title IV programs is too high, we may lose our eligibility to participate in those programs.</w:t>
      </w:r>
    </w:p>
    <w:p>
      <w:pPr>
        <w:spacing w:after="0" w:line="24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requirement of the Higher Education Act, commonly referred to as the “90/10 Rule,” that is applicable only 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6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Using the Department of Education’s cash-basis, regulatory formula under the 90/10 Rule as currently in effect, for our 2017, 2016, and 2015 fiscal years, we derived approximately 71.5%, 72.3%, and 74.8%, respectively, of our 90/10 Rule revenue from Title IV program funds.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for two consecutive years such that we lost our eligibility to participate in the Title IV programs, or if Congress passed legislation changing how certain funds are counted under this rule, revising the percentage of income that proprietary schools must derive from non-federal sources, or both, it would have a material adverse effect on our business, prospects,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eligibility to participate in the Title IV programs if our student loan default rates are too high.</w:t>
      </w:r>
    </w:p>
    <w:p>
      <w:pPr>
        <w:spacing w:after="0" w:line="225"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year. In addition, an institution may lose its eligibility to participate in some or all of the Title IV programs if the default rate of its students exceeds 40% for any single year. While our cohort default rates have historically been significantly below these levels, we cannot assure you that this will continue to be the case.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10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If, in the future, we fail to satisfy the Department of Education’s financial responsibility standards, we could experience increased regulatory compliance costs or delays in our receipt of Title IV program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16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If we fail to satisfy any of these criteria, the Department of Education may assess financial penalties against us, restrict the manner in which we receive Title IV funds, require us to post a letter of credit, place us on provisional certification status, or limit or terminate our participation in the Title IV programs, any of which could materially adversely affect us.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finding that we violated the Department of Education’s substantial misrepresentation regulation could materially and adversely affect our business.</w:t>
      </w:r>
    </w:p>
    <w:p>
      <w:pPr>
        <w:spacing w:after="0" w:line="24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Higher Education Act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qui tam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regulations, we could be subject to sanctions and other liability, which could have a material adverse effect on our business.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program funds that should have been returned for such students in the prior fiscal year, we may be liable for repayment of Title IV program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Increased disclosure and recordkeeping requirements could result in lower enrollment or growth rates in a manner that materially and adversely affects our business.</w:t>
      </w:r>
    </w:p>
    <w:p>
      <w:pPr>
        <w:spacing w:after="0" w:line="17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Department of Education rules require that, for each program leading to “gainful employment” in a recognized occupation, institutions must provide prospective students with information concerning the occupation that the program prepares students to enter, the program’s on-time graduation rate, and the tuition and fees it charges a student for completing the program within normal time, as well as the costs of books, supplies, room, and board, and the median loan debt incurred by students who completed the program. Institutions must also provide the Department of Education with information that will allow determination of student debt levels and incomes after program completion. These reporting and disclosure requirements have caused increased administrative burden and costs and may have a negative effect on our growth and enrollments.</w:t>
      </w:r>
    </w:p>
    <w:p>
      <w:pPr>
        <w:spacing w:after="0" w:line="178"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institution, which could negatively impact our enrollments, revenue and results of operations.</w:t>
      </w:r>
    </w:p>
    <w:p>
      <w:pPr>
        <w:spacing w:after="0" w:line="10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U.S. Congress must periodically reauthorize the Higher Education Act and annually determine the funding level for each Title IV program. In 2008, the Higher Education Act was reauthorized through September 30, 2013 by the Higher Education Opportunity Act. Changes to the Higher Education Act, including changes in eligibility and funding for Title IV programs, are likely to occur in subsequent reauthorizations, but we cannot predict the scope or substance of any such changes.</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recent years, there has been increased focus by Congress on the role that proprietary educational institutions play in higher education. Any action by Congress that significantly reduces Title IV program funding, whether through across-the-board funding reductions, sequestration or otherwise, or materially impacts the eligibility of our institutions or students to participate in Title IV programs would have a material adverse effect on our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Congress significantly reduced the amount of available Title IV program funding, we would attempt to arrange for alternative sources of financial aid for our students, which may include lending funds directly to our students, but private sources may not be able to provide as much funding to our students on as favorable terms as is currently provided by Title IV. In addition, private organizations could require us to guarantee all or part of this assistance and we might incur other additional costs. For these reasons, private, alternative sources of student financial aid would only partly offset, if at all, the impact on our business of reduced Title IV program funding.</w:t>
      </w:r>
    </w:p>
    <w:p>
      <w:pPr>
        <w:sectPr>
          <w:pgSz w:w="11900" w:h="16838" w:orient="portrait"/>
          <w:cols w:equalWidth="0" w:num="1">
            <w:col w:w="11400"/>
          </w:cols>
          <w:pgMar w:left="240" w:top="459" w:right="259" w:bottom="1440" w:gutter="0" w:footer="0" w:header="0"/>
        </w:sectPr>
      </w:pPr>
    </w:p>
    <w:bookmarkStart w:id="31" w:name="page32"/>
    <w:bookmarkEnd w:id="31"/>
    <w:p>
      <w:pPr>
        <w:ind w:right="100"/>
        <w:spacing w:after="0" w:line="264" w:lineRule="auto"/>
        <w:rPr>
          <w:sz w:val="20"/>
          <w:szCs w:val="20"/>
          <w:color w:val="auto"/>
        </w:rPr>
      </w:pPr>
      <w:r>
        <w:rPr>
          <w:rFonts w:ascii="Arial" w:cs="Arial" w:eastAsia="Arial" w:hAnsi="Arial"/>
          <w:sz w:val="18"/>
          <w:szCs w:val="18"/>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post-secondary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In addition, if we were to determine erroneously that a new program did not need approval or that we had all required approvals, we could be liable for repayment of the Title IV program funds provided to students in that program or at that location.</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25"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state authorization in Arizona, we may not operate or participate in the Title IV programs.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or the Department of Education that could have a material adverse effect on our enrollments.</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State regulatory requirements for online education have historically varied among the states. To address this issue and to meet new Department of Education requirements we applied and have been approved to be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for which Arizona is a W-SARA member. There is a yearly renewal for participating in NC-SARA and AZ-SARA and institutions must agree to meet certain requirements to participate. As of December 31, 2017, 48 states are members of SARA.</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Some states that do not participate in SARA impose regulatory requirements on out-of-state post-secondary institutions operating within their boundaries, such as those having a physical facility or conducting certain academic activities within the state. We currently enroll students in all 50 states and the District of Columbia. Although we are currently licensed, authorized, in-process, or exempt in all non-SARA jurisdictions in which we operate, if we fail to comply with state licensing or authorization requirements for a state, or fail to obtain licenses or authorizations when required, we could lose our state license or authorization by that state or be subject to other sanctions, including restrictions on our activities in, and fines and penalties imposed by, that state, as well as fines, penalties, and sanctions imposed by the Department of Education. The loss of licensure or authorization in any non-SARA state could prohibit us from recruiting prospective students or offering services to current students in that state, which could significantly reduce our enrollments.</w:t>
      </w:r>
    </w:p>
    <w:p>
      <w:pPr>
        <w:spacing w:after="0" w:line="16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2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we fail to comply with state licensing or authorization requirements for a state in which we operate,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1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67"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16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we experience a change in control under the standards of the Department of Education, the Higher Learning Commission, the Arizona State Board for Private Postsecondary Education, or any other applicable state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With respect to publicly traded corporations, like us, they also may include cases where a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or other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us, in a negative manner. Adverse media coverage regarding other educational institutions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such as the ones we make available to our students, could reduce student demand for our programs, adversely impact our revenues and operating profit or result in increased regulatory scrutiny.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our stock price may be negatively affected by adverse publicity or by the actions of other post-secondary educational institutions.</w:t>
      </w:r>
    </w:p>
    <w:p>
      <w:pPr>
        <w:spacing w:after="0" w:line="24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addition to the Congressional and regulatory activities focused on for-profit educational institutions beginning in 2010 and since, 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higher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52" w:lineRule="exact"/>
        <w:rPr>
          <w:sz w:val="20"/>
          <w:szCs w:val="20"/>
          <w:color w:val="auto"/>
        </w:rPr>
      </w:pPr>
    </w:p>
    <w:p>
      <w:pPr>
        <w:ind w:left="1480" w:hanging="446"/>
        <w:spacing w:after="0"/>
        <w:tabs>
          <w:tab w:leader="none" w:pos="1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reduced availability of, or higher interest rates and other costs associated with, Title IV loan funds or other sources of financial aid;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maintain institutional and specialized accreditations;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requirements of the education agencies that regulate us which restrict the ways schools can compensate their recruitment personnel;</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we do not have a physical presence;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130" w:lineRule="exact"/>
        <w:rPr>
          <w:rFonts w:ascii="Arial" w:cs="Arial" w:eastAsia="Arial" w:hAnsi="Arial"/>
          <w:sz w:val="18"/>
          <w:szCs w:val="18"/>
          <w:color w:val="auto"/>
        </w:rPr>
      </w:pPr>
    </w:p>
    <w:p>
      <w:pPr>
        <w:ind w:left="1480" w:right="300" w:hanging="446"/>
        <w:spacing w:after="0" w:line="277"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our programs.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8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have invested significant resources to develop and implement features that enhance the online classroom experience, such as delivering course content through streaming video, simulations, and other interactive enhancements.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doctoral programs,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193"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rules and regulations as a result of our membership with the National Collegiate Athletic Association (NCAA) and any violations of such rules or regulations could adversely affect our reputation and operations.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Strict observance of rules and regulations contribute to the success of our athletic program. It is the responsibility of the University administration and the Athletic Department to adhere to all regulations created for the governance of intercollegiate athletics as set forth by the Western Athletic Conference (“WAC”), NCAA, and Grand Canyon University. The move from Division II to Division I was effective July 1, 2013 and demonstrated our commitment to athletic excellence and has enhanced our visibility. In July 2017, the University successfully completed all “year four” requirements and is now a full Division I member of the NCAA and the WAC. Any violations of such rules and regulations could adversely affect our reputation and operations.</w:t>
      </w:r>
    </w:p>
    <w:p>
      <w:pPr>
        <w:spacing w:after="0" w:line="158"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b w:val="1"/>
          <w:bCs w:val="1"/>
          <w:i w:val="1"/>
          <w:iCs w:val="1"/>
          <w:color w:val="auto"/>
        </w:rPr>
        <w:t>A decline in the overall growth of enrollment in post-secondary institutions, or in the number of students seeking degrees online or in our core disciplines, could cause us to experience lower enrollment, which could negatively impact our future growth.</w:t>
      </w:r>
    </w:p>
    <w:p>
      <w:pPr>
        <w:spacing w:after="0" w:line="14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students fail to pay their outstanding balances owed to us, our business may be harmed.</w:t>
      </w:r>
    </w:p>
    <w:p>
      <w:pPr>
        <w:spacing w:after="0" w:line="22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From time to time, students, including former students, may carry balances on portions of their education expense not covered by financial aid programs. These balances are unsecured and not guaranteed. We have historically been successful in collecting our accounts receivable, including those due from former students as a result of the return to Title IV requirement, because the amount owed by a particular student that is in excess of the amount of financial aid that the student earned and that we are entitled to retain is often quite small. We believe that the level of motivation that former students have to pay off their balances due to us, based on such factors as being able to receive transcripts or protecting their credit, has lessened over time. As a result, losses related to unpaid student balances in excess of our allowance for doubtful accounts, or the failure of students to repay their debt obligations,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 could affect our income taxes.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actual effective tax rate may vary from our expectation and that variance may be material. Tax interpretations, regulations and legislation are subject to measurement uncertainty and the interpretations can impact net income, income tax expense or recovery, and deferred income tax assets or liabilities. In addition, tax rules and regulations are subject to interpretation and require judgment by us that may be challenged by the taxation authorities upon audit. On December 22, 2017, the Tax Cuts and Jobs Act (the “Act”) was signed into law. For businesses, the Act reduces the corporate federal tax rate from a maximum of 35% to a flat 21% rate. The rate reduction took effect on January 1, 2018. The reduced tax rate caused the University’s deferred tax assets and liabilities to be revalued as of December 22, 2017. Deferred income taxes result from temporary differences between the tax basis of assets and liabilities and their reported amounts in the financial statements that will result in taxable or deductible amounts in future years. 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 Changes in our tax provision or an increase to our tax liabilities, whether due to the Tax Act or interpretations of other tax regulations, or a final determination of tax audits, could have a material adverse effect on our financial position, results of operations,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competitors with greater resources could harm our business.</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post-secondary education market is highly fragmented and competitive. We compete for students primarily with traditional public and four-year degree-granting regionally accredited colleges and universities and other proprietary degree-granting regionally accredited schools. An increasing number of traditional colleges and universities and community colleges are offering distance learning and other online education programs, including programs that are geared toward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will face increasing competition for students from such institutions, including those with well-established reputations for excellence. In addition, it is likely that we will begin to face competition from various emerging nontraditional, credit-bearing and noncredit-bearing education programs, provided by both proprietary and not-for-profit providers, and other direct-to-consumer education services. Each of these competitors may develop platforms or other technologies, including technologies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may be able to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ectPr>
          <w:pgSz w:w="11900" w:h="16838" w:orient="portrait"/>
          <w:cols w:equalWidth="0" w:num="1">
            <w:col w:w="11420"/>
          </w:cols>
          <w:pgMar w:left="240" w:top="459"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existing, and develop additional, relationships with employers, our future growth may be impaired.</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currently have relationships with large school districts and healthcare systems, primarily in Arizona, and also have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success to date has largely depended on, and will continue to depend on, the skills, efforts, and motivation of our executive officers, who generally have significant experience with our University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faculty and personnel on acceptable terms, could cause our business to suffer.</w:t>
      </w:r>
    </w:p>
    <w:p>
      <w:pPr>
        <w:spacing w:after="0" w:line="19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14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83"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particular, we license the right to utilize the name of Jerry Colangelo in connection with our business school and our Colangelo School of Sports Business that we operate within our business school, and we have spent significant resources in related branding efforts. Nevertheless, these license agreements may terminate or expire, or otherwise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may restrict our operations and our ability to complete certain transactions.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credit agreement, which we entered into in December 2012, imposes certain operating restrictions on us, including limitations on our ability to incur additional debt or make certain investments, and requires us to maintain compliance with certain applicable regulatory standards. In addition, the credit agreement requires us to maintain a maximum leverage ratio, a minimum fixed charge coverage ratio and a minimum tangible net worth, in each case as such terms are defined in the credit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environmental laws and regulations governing our activities could result in financial penalties and other costs.</w:t>
      </w:r>
    </w:p>
    <w:p>
      <w:pPr>
        <w:spacing w:after="0" w:line="23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actions, errors, or instances of regulatory noncompliance of third party vendors upon which our institutions rely may negatively impact our business.</w:t>
      </w:r>
    </w:p>
    <w:p>
      <w:pPr>
        <w:spacing w:after="0" w:line="260"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We engage third party vendors to provide, among other services, marketing activities. Although we require that the work done by such third parties maintains quality assurance and compliance with applicable regulations, we may be ultimately responsible for any errors on instances of regulatory noncompliance, some of which could adversely impact our reputation, business, prospects, financial condition, cash flows,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Technology Infrastructure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our online programs, is critical to our operations,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Higher Education Act, as reauthorized, and the regulations thereunder, will be impaired, perhaps materially. Any such impairment could materially and adversely affect our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for the unauthorized duplication or distribution of class materials posted online for class discussions.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post-secondary, licensure, and certification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170"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The activity within the trading market for our common stock depends in part on the research and reports that industry or financial analysts publish about us, our business and the for-profit education sector. In recent periods, a number of analysts have dropped coverage of the sector. If analysts cease coverage of us or additional analysts cease coverage of our sector, we could lose visibility in the market for our stock, which in turn could cause our stock price to decline. If one or more of the analysts covering us downgrade their estimates or evaluations of our stock, the price of our stock could decline.</w:t>
      </w:r>
    </w:p>
    <w:p>
      <w:pPr>
        <w:spacing w:after="0" w:line="2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own our ground campus, which is located on over 275 acres in the center of the Phoenix, Arizona metropolitan area, near downtown Phoenix. Our on-campus facilities currently consist of classroom buildings, lecture halls, a 300-seat theater, a 29,000 square foot newly renovated library, a media arts complex that provides communications students with audio and video equipment, a 55,000 square foot recreation center that has state of the art training facilities for our 400 student-athletes and students, a 140,000 square foot/ 7,500 seat basketball and entertainment arena, a stadium that hosts NCAA men’s and women’s soccer as well as several club sports programs, a basketball practice facility, newly renovated baseball and softball stadiums, on-campus tennis courts, beach volleyball courts, and a competition/practice gymnasium, an activity center that contains a food court, a bowling alley and other student services, a student union which was recently remodeled and expanded, residence halls, apartments, campus pools, athletic facilities and parking garages. Additionally, we have several office buildings used for administration and we recently completed a large student services center and parking garage in close proximity to our ground campus. Employees that worked in two leased office buildings in the Phoenix area were consolidated into this new building upon completion in late 2016. In late 2015, we revitalized the Maryvale Golf Course under a partnership agreement with the City of Phoenix and in 2016 the Grand Canyon University Championship Golf Course was opened to the public. In order to accommodate the continued growth of our traditional ground population, we completed construction on three apartment style residence halls, an additional 170,000 square foot classroom building for its College of Science, Engineering and Technology, a student service center and a fourth parking structure prior to the 2016/2017 academic year and prior to the 2017/2018 academic year we completed construction on an additional dormitory, other ground campus building projects and land acquisitions adjacent to our campus.</w:t>
      </w:r>
    </w:p>
    <w:p>
      <w:pPr>
        <w:spacing w:after="0" w:line="172"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lease three facilities in Arizona and one in New Mexico for classroom and labs for our nursing professional studies students. Additionally, we lease five office locations in California and one in Colorado. We may add additional space in Arizona and in other states in the southwest U.S. to accommodate our growth plans in 2018 and beyond.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98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firstLine="456"/>
        <w:spacing w:after="0" w:line="259" w:lineRule="auto"/>
        <w:rPr>
          <w:sz w:val="20"/>
          <w:szCs w:val="20"/>
          <w:color w:val="auto"/>
        </w:rPr>
      </w:pPr>
      <w:r>
        <w:rPr>
          <w:rFonts w:ascii="Arial" w:cs="Arial" w:eastAsia="Arial" w:hAnsi="Arial"/>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high and low sales prices for our common stock, as reported by the Nasdaq Global Market.</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3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30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First Quarter</w:t>
            </w:r>
          </w:p>
        </w:tc>
        <w:tc>
          <w:tcPr>
            <w:tcW w:w="3560" w:type="dxa"/>
            <w:vAlign w:val="bottom"/>
            <w:gridSpan w:val="2"/>
          </w:tcPr>
          <w:p>
            <w:pPr>
              <w:jc w:val="center"/>
              <w:ind w:left="2930"/>
              <w:spacing w:after="0"/>
              <w:rPr>
                <w:sz w:val="20"/>
                <w:szCs w:val="20"/>
                <w:color w:val="auto"/>
              </w:rPr>
            </w:pPr>
            <w:r>
              <w:rPr>
                <w:rFonts w:ascii="Arial" w:cs="Arial" w:eastAsia="Arial" w:hAnsi="Arial"/>
                <w:sz w:val="18"/>
                <w:szCs w:val="18"/>
                <w:color w:val="auto"/>
                <w:w w:val="90"/>
              </w:rPr>
              <w:t>$72.16</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$56.52</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560" w:type="dxa"/>
            <w:vAlign w:val="bottom"/>
            <w:gridSpan w:val="2"/>
            <w:shd w:val="clear" w:color="auto" w:fill="CCEEFF"/>
          </w:tcPr>
          <w:p>
            <w:pPr>
              <w:jc w:val="center"/>
              <w:ind w:left="2930"/>
              <w:spacing w:after="0"/>
              <w:rPr>
                <w:sz w:val="20"/>
                <w:szCs w:val="20"/>
                <w:color w:val="auto"/>
              </w:rPr>
            </w:pPr>
            <w:r>
              <w:rPr>
                <w:rFonts w:ascii="Arial" w:cs="Arial" w:eastAsia="Arial" w:hAnsi="Arial"/>
                <w:sz w:val="18"/>
                <w:szCs w:val="18"/>
                <w:color w:val="auto"/>
                <w:w w:val="90"/>
              </w:rPr>
              <w:t>$83.00</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$68.77</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Third Quarter</w:t>
            </w:r>
          </w:p>
        </w:tc>
        <w:tc>
          <w:tcPr>
            <w:tcW w:w="3560" w:type="dxa"/>
            <w:vAlign w:val="bottom"/>
            <w:gridSpan w:val="2"/>
          </w:tcPr>
          <w:p>
            <w:pPr>
              <w:jc w:val="center"/>
              <w:ind w:left="2930"/>
              <w:spacing w:after="0"/>
              <w:rPr>
                <w:sz w:val="20"/>
                <w:szCs w:val="20"/>
                <w:color w:val="auto"/>
              </w:rPr>
            </w:pPr>
            <w:r>
              <w:rPr>
                <w:rFonts w:ascii="Arial" w:cs="Arial" w:eastAsia="Arial" w:hAnsi="Arial"/>
                <w:sz w:val="18"/>
                <w:szCs w:val="18"/>
                <w:color w:val="auto"/>
                <w:w w:val="90"/>
              </w:rPr>
              <w:t>$91.12</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$71.01</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560" w:type="dxa"/>
            <w:vAlign w:val="bottom"/>
            <w:gridSpan w:val="2"/>
            <w:shd w:val="clear" w:color="auto" w:fill="CCEEFF"/>
          </w:tcPr>
          <w:p>
            <w:pPr>
              <w:jc w:val="center"/>
              <w:ind w:left="2930"/>
              <w:spacing w:after="0"/>
              <w:rPr>
                <w:sz w:val="20"/>
                <w:szCs w:val="20"/>
                <w:color w:val="auto"/>
              </w:rPr>
            </w:pPr>
            <w:r>
              <w:rPr>
                <w:rFonts w:ascii="Arial" w:cs="Arial" w:eastAsia="Arial" w:hAnsi="Arial"/>
                <w:sz w:val="18"/>
                <w:szCs w:val="18"/>
                <w:color w:val="auto"/>
                <w:w w:val="90"/>
              </w:rPr>
              <w:t>$96.15</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$83.52</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3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60" w:type="dxa"/>
            <w:vAlign w:val="bottom"/>
            <w:gridSpan w:val="2"/>
            <w:shd w:val="clear" w:color="auto" w:fill="CCEEFF"/>
          </w:tcPr>
          <w:p>
            <w:pPr>
              <w:jc w:val="center"/>
              <w:ind w:left="2930"/>
              <w:spacing w:after="0"/>
              <w:rPr>
                <w:sz w:val="20"/>
                <w:szCs w:val="20"/>
                <w:color w:val="auto"/>
              </w:rPr>
            </w:pPr>
            <w:r>
              <w:rPr>
                <w:rFonts w:ascii="Arial" w:cs="Arial" w:eastAsia="Arial" w:hAnsi="Arial"/>
                <w:sz w:val="18"/>
                <w:szCs w:val="18"/>
                <w:color w:val="auto"/>
                <w:w w:val="90"/>
              </w:rPr>
              <w:t>$43.37</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$31.12</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Second Quarter</w:t>
            </w:r>
          </w:p>
        </w:tc>
        <w:tc>
          <w:tcPr>
            <w:tcW w:w="3560" w:type="dxa"/>
            <w:vAlign w:val="bottom"/>
            <w:gridSpan w:val="2"/>
          </w:tcPr>
          <w:p>
            <w:pPr>
              <w:jc w:val="center"/>
              <w:ind w:left="2930"/>
              <w:spacing w:after="0"/>
              <w:rPr>
                <w:sz w:val="20"/>
                <w:szCs w:val="20"/>
                <w:color w:val="auto"/>
              </w:rPr>
            </w:pPr>
            <w:r>
              <w:rPr>
                <w:rFonts w:ascii="Arial" w:cs="Arial" w:eastAsia="Arial" w:hAnsi="Arial"/>
                <w:sz w:val="18"/>
                <w:szCs w:val="18"/>
                <w:color w:val="auto"/>
                <w:w w:val="90"/>
              </w:rPr>
              <w:t>$45.02</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$37.94</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60" w:type="dxa"/>
            <w:vAlign w:val="bottom"/>
            <w:gridSpan w:val="2"/>
            <w:shd w:val="clear" w:color="auto" w:fill="CCEEFF"/>
          </w:tcPr>
          <w:p>
            <w:pPr>
              <w:jc w:val="center"/>
              <w:ind w:left="2930"/>
              <w:spacing w:after="0"/>
              <w:rPr>
                <w:sz w:val="20"/>
                <w:szCs w:val="20"/>
                <w:color w:val="auto"/>
              </w:rPr>
            </w:pPr>
            <w:r>
              <w:rPr>
                <w:rFonts w:ascii="Arial" w:cs="Arial" w:eastAsia="Arial" w:hAnsi="Arial"/>
                <w:sz w:val="18"/>
                <w:szCs w:val="18"/>
                <w:color w:val="auto"/>
                <w:w w:val="90"/>
              </w:rPr>
              <w:t>$44.98</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$38.81</w:t>
            </w:r>
          </w:p>
        </w:tc>
        <w:tc>
          <w:tcPr>
            <w:tcW w:w="60" w:type="dxa"/>
            <w:vAlign w:val="bottom"/>
            <w:shd w:val="clear" w:color="auto" w:fill="CCEEFF"/>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Fourth Quarter</w:t>
            </w:r>
          </w:p>
        </w:tc>
        <w:tc>
          <w:tcPr>
            <w:tcW w:w="3560" w:type="dxa"/>
            <w:vAlign w:val="bottom"/>
            <w:gridSpan w:val="2"/>
          </w:tcPr>
          <w:p>
            <w:pPr>
              <w:jc w:val="center"/>
              <w:ind w:left="2930"/>
              <w:spacing w:after="0"/>
              <w:rPr>
                <w:sz w:val="20"/>
                <w:szCs w:val="20"/>
                <w:color w:val="auto"/>
              </w:rPr>
            </w:pPr>
            <w:r>
              <w:rPr>
                <w:rFonts w:ascii="Arial" w:cs="Arial" w:eastAsia="Arial" w:hAnsi="Arial"/>
                <w:sz w:val="18"/>
                <w:szCs w:val="18"/>
                <w:color w:val="auto"/>
                <w:w w:val="90"/>
              </w:rPr>
              <w:t>$61.80</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$39.68</w:t>
            </w:r>
          </w:p>
        </w:tc>
        <w:tc>
          <w:tcPr>
            <w:tcW w:w="6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As of December 31, 2017, there were approximately 200 registered holders of record of common stock. A substantially greater number of holders of common stock are “street name” or beneficial holders, whose shares are held of record by banks, brokers and other financial institutions.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do not anticipate paying cash dividends on our common stock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760" w:firstLine="456"/>
        <w:spacing w:after="0" w:line="308" w:lineRule="auto"/>
        <w:rPr>
          <w:sz w:val="20"/>
          <w:szCs w:val="20"/>
          <w:color w:val="auto"/>
        </w:rPr>
      </w:pPr>
      <w:r>
        <w:rPr>
          <w:rFonts w:ascii="Arial" w:cs="Arial" w:eastAsia="Arial" w:hAnsi="Arial"/>
          <w:sz w:val="17"/>
          <w:szCs w:val="17"/>
          <w:i w:val="1"/>
          <w:iCs w:val="1"/>
          <w:color w:val="auto"/>
        </w:rPr>
        <w:t>The information required by Item 201(d) of Regulation S-K is provided under Item 12, Security Ownership of Certain Beneficial Owners and Management and Related Stockholder Matters, “Equity Compensation Plan Information,” which is incorporated herein by reference.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has authorized the University to repurchase up to $175.0 million in aggregate of common stock, from time to time, depending on market conditions and other considerations. The current expiration date on the repurchase authorization by our Board of Directors is December 31, 2018.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our share repurchase plan, we have purchased 3.5 million shares of common stock at an aggregate cost of $77.3 million, which are recorded at cost in the accompanying December 31, 2017 consolidated balance sheet and statement of stockholders’ equity. At December 31, 2017, there remained $97.7 million available under our current share repurchase authorization. During the fourth quarter and the year ended December 31, 2017, the University repurchased 17,230 shares of common stock at an aggregate cost of $1.5 million.</w:t>
      </w:r>
    </w:p>
    <w:p>
      <w:pPr>
        <w:spacing w:after="0" w:line="179"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2017:</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Total Number of</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5"/>
              </w:rPr>
              <w:t>Total Number</w:t>
            </w: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640" w:type="dxa"/>
            <w:vAlign w:val="bottom"/>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1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8"/>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Period</w:t>
            </w: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 Shares</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Price Paid</w:t>
            </w:r>
          </w:p>
        </w:tc>
        <w:tc>
          <w:tcPr>
            <w:tcW w:w="640" w:type="dxa"/>
            <w:vAlign w:val="bottom"/>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Announced</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Purchased Under</w:t>
            </w:r>
          </w:p>
        </w:tc>
        <w:tc>
          <w:tcPr>
            <w:tcW w:w="0" w:type="dxa"/>
            <w:vAlign w:val="bottom"/>
          </w:tcPr>
          <w:p>
            <w:pPr>
              <w:spacing w:after="0"/>
              <w:rPr>
                <w:sz w:val="1"/>
                <w:szCs w:val="1"/>
                <w:color w:val="auto"/>
              </w:rPr>
            </w:pPr>
          </w:p>
        </w:tc>
      </w:tr>
      <w:tr>
        <w:trPr>
          <w:trHeight w:val="158"/>
        </w:trPr>
        <w:tc>
          <w:tcPr>
            <w:tcW w:w="4820" w:type="dxa"/>
            <w:vAlign w:val="bottom"/>
            <w:gridSpan w:val="5"/>
            <w:vMerge w:val="continue"/>
          </w:tcPr>
          <w:p>
            <w:pPr>
              <w:spacing w:after="0"/>
              <w:rPr>
                <w:sz w:val="13"/>
                <w:szCs w:val="13"/>
                <w:color w:val="auto"/>
              </w:rPr>
            </w:pPr>
          </w:p>
        </w:tc>
        <w:tc>
          <w:tcPr>
            <w:tcW w:w="150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89"/>
              </w:rPr>
              <w:t>Purchased</w:t>
            </w:r>
          </w:p>
        </w:tc>
        <w:tc>
          <w:tcPr>
            <w:tcW w:w="6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1"/>
              </w:rPr>
              <w:t>Per Share</w:t>
            </w:r>
          </w:p>
        </w:tc>
        <w:tc>
          <w:tcPr>
            <w:tcW w:w="640" w:type="dxa"/>
            <w:vAlign w:val="bottom"/>
          </w:tcPr>
          <w:p>
            <w:pPr>
              <w:spacing w:after="0"/>
              <w:rPr>
                <w:sz w:val="13"/>
                <w:szCs w:val="13"/>
                <w:color w:val="auto"/>
              </w:rPr>
            </w:pPr>
          </w:p>
        </w:tc>
        <w:tc>
          <w:tcPr>
            <w:tcW w:w="176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3"/>
              </w:rPr>
              <w:t>Program</w:t>
            </w:r>
          </w:p>
        </w:tc>
        <w:tc>
          <w:tcPr>
            <w:tcW w:w="12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the Program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460" w:type="dxa"/>
            <w:vAlign w:val="bottom"/>
            <w:tcBorders>
              <w:bottom w:val="single" w:sz="8" w:color="auto"/>
            </w:tcBorders>
            <w:gridSpan w:val="3"/>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0"/>
              </w:rPr>
              <w:t>Share Repurchases</w:t>
            </w:r>
          </w:p>
        </w:tc>
        <w:tc>
          <w:tcPr>
            <w:tcW w:w="33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October 1, 2017 – October 31, 2017</w:t>
            </w: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7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w w:val="93"/>
              </w:rPr>
              <w:t>99,200,000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1, 2017 – November 30, 2017</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24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98,400,000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December 1, 2017 – December 31, 2017</w:t>
            </w:r>
          </w:p>
        </w:tc>
        <w:tc>
          <w:tcPr>
            <w:tcW w:w="860" w:type="dxa"/>
            <w:vAlign w:val="bottom"/>
          </w:tcPr>
          <w:p>
            <w:pPr>
              <w:jc w:val="right"/>
              <w:spacing w:after="0"/>
              <w:rPr>
                <w:sz w:val="20"/>
                <w:szCs w:val="20"/>
                <w:color w:val="auto"/>
              </w:rPr>
            </w:pPr>
            <w:r>
              <w:rPr>
                <w:rFonts w:ascii="Arial" w:cs="Arial" w:eastAsia="Arial" w:hAnsi="Arial"/>
                <w:sz w:val="18"/>
                <w:szCs w:val="18"/>
                <w:color w:val="auto"/>
              </w:rPr>
              <w:t>7,230</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91.16</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7,230</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w w:val="93"/>
              </w:rPr>
              <w:t>97,700,000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97,700,000</w:t>
            </w:r>
          </w:p>
        </w:tc>
        <w:tc>
          <w:tcPr>
            <w:tcW w:w="0" w:type="dxa"/>
            <w:vAlign w:val="bottom"/>
          </w:tcPr>
          <w:p>
            <w:pPr>
              <w:spacing w:after="0"/>
              <w:rPr>
                <w:sz w:val="1"/>
                <w:szCs w:val="1"/>
                <w:color w:val="auto"/>
              </w:rPr>
            </w:pPr>
          </w:p>
        </w:tc>
      </w:tr>
      <w:tr>
        <w:trPr>
          <w:trHeight w:val="20"/>
        </w:trPr>
        <w:tc>
          <w:tcPr>
            <w:tcW w:w="48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Tax Withholdings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gridSpan w:val="5"/>
            <w:vMerge w:val="continue"/>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October 1, 2017 – October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6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November 1, 2017 – November 30, 2017</w:t>
            </w:r>
          </w:p>
        </w:tc>
        <w:tc>
          <w:tcPr>
            <w:tcW w:w="15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7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1, 2017 – December 31, 2017</w:t>
            </w: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88.90</w:t>
            </w:r>
          </w:p>
        </w:tc>
        <w:tc>
          <w:tcPr>
            <w:tcW w:w="64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Stock Performance</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following graph compares the cumulative total return of our common stock with the cumulative total returns of the S&amp;P 500 Index and our selected peer group of four companies that includes: Capella Education Company, American Public Education, Inc., Strayer Education Inc. and Bridgepoint Education, Inc. This chart assumes that an investment of $100 was made in our common stock, in the index, and in the peer group on December 31, 2012 and that all dividends paid by us and such companies were reinvested, and tracks the relative performance of such investments through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045835" cy="5008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45835" cy="500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12/12</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12/13</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12/14</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12/15</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12/16</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12/17</w:t>
            </w:r>
          </w:p>
        </w:tc>
        <w:tc>
          <w:tcPr>
            <w:tcW w:w="60" w:type="dxa"/>
            <w:vAlign w:val="bottom"/>
            <w:tcBorders>
              <w:bottom w:val="single" w:sz="8" w:color="CCEEFF"/>
            </w:tcBorders>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3"/>
              </w:rPr>
              <w:t>100.00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185.77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198.81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170.94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249.04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381.47</w:t>
            </w:r>
          </w:p>
        </w:tc>
        <w:tc>
          <w:tcPr>
            <w:tcW w:w="6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100.00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132.39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150.51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152.59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170.84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208.14</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Peer Group</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100.00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134.40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143.36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94.07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142.54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139.15</w:t>
            </w:r>
          </w:p>
        </w:tc>
      </w:tr>
    </w:tbl>
    <w:p>
      <w:pPr>
        <w:spacing w:after="0" w:line="202"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and Other Data</w:t>
      </w:r>
    </w:p>
    <w:p>
      <w:pPr>
        <w:spacing w:after="0" w:line="121" w:lineRule="exact"/>
        <w:rPr>
          <w:sz w:val="20"/>
          <w:szCs w:val="20"/>
          <w:color w:val="auto"/>
        </w:rPr>
      </w:pPr>
    </w:p>
    <w:p>
      <w:pPr>
        <w:ind w:right="400" w:firstLine="456"/>
        <w:spacing w:after="0" w:line="271" w:lineRule="auto"/>
        <w:rPr>
          <w:sz w:val="20"/>
          <w:szCs w:val="20"/>
          <w:color w:val="auto"/>
        </w:rPr>
      </w:pPr>
      <w:r>
        <w:rPr>
          <w:rFonts w:ascii="Arial" w:cs="Arial" w:eastAsia="Arial" w:hAnsi="Arial"/>
          <w:sz w:val="17"/>
          <w:szCs w:val="17"/>
          <w:color w:val="auto"/>
        </w:rPr>
        <w:t xml:space="preserve">The following selected consolidated financial and other data should be read in conjunction with Item 8, </w:t>
      </w:r>
      <w:r>
        <w:rPr>
          <w:rFonts w:ascii="Arial" w:cs="Arial" w:eastAsia="Arial" w:hAnsi="Arial"/>
          <w:sz w:val="17"/>
          <w:szCs w:val="17"/>
          <w:i w:val="1"/>
          <w:iCs w:val="1"/>
          <w:color w:val="auto"/>
        </w:rPr>
        <w:t>Consolidated 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and Item 7,</w:t>
      </w:r>
      <w:r>
        <w:rPr>
          <w:rFonts w:ascii="Arial" w:cs="Arial" w:eastAsia="Arial" w:hAnsi="Arial"/>
          <w:sz w:val="17"/>
          <w:szCs w:val="17"/>
          <w:i w:val="1"/>
          <w:iCs w:val="1"/>
          <w:color w:val="auto"/>
        </w:rPr>
        <w:t xml:space="preserve"> Management’s Discussion and Analysis of Financial Condition and Results of Operations</w:t>
      </w:r>
      <w:r>
        <w:rPr>
          <w:rFonts w:ascii="Arial" w:cs="Arial" w:eastAsia="Arial" w:hAnsi="Arial"/>
          <w:sz w:val="17"/>
          <w:szCs w:val="17"/>
          <w:color w:val="auto"/>
        </w:rPr>
        <w:t>, to fully understand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presented below. The selected consolidated income statement data and other data, excluding period end enrollment, for the years ended December 31, 2017, 2016, and 2015, and the selected consolidated balance sheet data as of December 31, 2017, and 2016, have been derived from our audited consolidated financial statements for such years, which are included herein. The selected consolidated income statement data and other data, excluding period end enrollment, for the years ended December 31, 2014 and 2013, and the selected consolidated balance sheet data as of December 31, 2015, 2014, and 2013, have been derived from our audited consolidated financial statements for such years, which are not included herein. Our historical results are not necessarily indicative of our results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8"/>
          </w:tcPr>
          <w:p>
            <w:pPr>
              <w:jc w:val="right"/>
              <w:ind w:right="640"/>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revenue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974,134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873,344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778,200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691,055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598,335</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Instructional costs and services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410,840</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373,101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329,651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288,791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254,419</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Admissions advisory and related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128,544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119,286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112,572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108,567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97,077</w:t>
            </w: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98,608</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88,152</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76,229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65,808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60,985</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promotional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w:t>
            </w: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43,759</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43,219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42,100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39,635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36,934</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termination costs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74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691,380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636,141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567,839</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510,240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455,059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282,754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237,203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210,361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180,815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143,276</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(2,244)</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283,528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236,124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209,007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179,698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144,895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80,209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68,232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56,184</w:t>
            </w: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203,319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148,514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131,411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111,466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Basic</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Shares used in computing earnings per common share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47,140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44,731</w:t>
            </w: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48,235</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47,121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47,281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47,006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46,131</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Capital expenditures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123,954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239,019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218,301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168,646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93,490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53,932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25,141</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354,561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304,071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264,987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227,812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185,086</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Period end enrollment</w:t>
            </w:r>
            <w:r>
              <w:rPr>
                <w:rFonts w:ascii="Arial" w:cs="Arial" w:eastAsia="Arial" w:hAnsi="Arial"/>
                <w:sz w:val="15"/>
                <w:szCs w:val="15"/>
                <w:color w:val="auto"/>
              </w:rPr>
              <w:t>(2)</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Online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71,455</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64,646</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59,311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55,060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49,580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Ground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10,078</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investments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242,745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108,572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106,400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166,022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164,244</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Restricted cash, cash equivalents and investments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94,534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84,931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75,384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67,840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64,368</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1,303,573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1,092,493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891,982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749,564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610,941</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Notes payable (including short-term)</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66,616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98,252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79,877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86,493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93,100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985,951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773,686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610,251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476,232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344,844</w:t>
            </w:r>
          </w:p>
        </w:tc>
      </w:tr>
      <w:tr>
        <w:trPr>
          <w:trHeight w:val="36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line="26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EBITDA, a non-GAAP financial measure, is defined as net income plus interest expense, less interest income and other gain (loss) recognized on investments, plus income tax expense, plus depreciation and amortization (EBITDA), as adjusted for (i) the amortization of prepaid royalty payments recorded in conjunction with a settlement of a dispute with our former owner; (ii) contributions to Arizona school tuition organizations in lieu of the payment of state income taxes; (iii) share-based compensation; and (iv) one-time, unusual charges or gains, such as litigation and regulatory reserves, impairment charges and asset write-offs, and exit or lease termination costs.</w:t>
      </w:r>
    </w:p>
    <w:p>
      <w:pPr>
        <w:spacing w:after="0" w:line="3" w:lineRule="exact"/>
        <w:rPr>
          <w:rFonts w:ascii="Arial" w:cs="Arial" w:eastAsia="Arial" w:hAnsi="Arial"/>
          <w:sz w:val="17"/>
          <w:szCs w:val="17"/>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Enrollment represents individual students who attended a course during the last two months of the calendar quarter.</w:t>
      </w:r>
    </w:p>
    <w:p>
      <w:pPr>
        <w:spacing w:after="0" w:line="9" w:lineRule="exact"/>
        <w:rPr>
          <w:rFonts w:ascii="Arial" w:cs="Arial" w:eastAsia="Arial" w:hAnsi="Arial"/>
          <w:sz w:val="18"/>
          <w:szCs w:val="18"/>
          <w:color w:val="auto"/>
        </w:rPr>
      </w:pPr>
    </w:p>
    <w:p>
      <w:pPr>
        <w:jc w:val="both"/>
        <w:ind w:left="460" w:right="12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first quarter of 2016, the University made changes in its presentation of deferred tax assets and liabilities to comply with a new accounting standard. Accordingly, we reclassified the current deferred taxes to net against noncurrent deferred tax liabilities for all prior periods to conform to the current presentation.</w:t>
      </w:r>
    </w:p>
    <w:p>
      <w:pPr>
        <w:spacing w:after="0" w:line="1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present Adjusted EBITDA, a non-GAAP financial measure, because we consider it to be an important supplemental measure of our operating performance. We also make certain compensation decisions based, in part, on our operating performance, as measured by Adjusted EBITDA, and our credit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to Arizona school tuition organizations in lieu of the payment of state income taxes, share-based compensation, one time unusual charges or gains, such as estimated litigation and regulatory reserves, impairment charges, exit costs, and lease termination fees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7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net income, operating income, or any other performance measure derived in accordance with and reported under GAAP or as an alternative to cash flow from operating activities or as a measure of our liquidity. Some of these limitations are that it does not reflect:</w:t>
      </w:r>
    </w:p>
    <w:p>
      <w:pPr>
        <w:spacing w:after="0" w:line="78"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130" w:lineRule="exact"/>
        <w:rPr>
          <w:rFonts w:ascii="Arial" w:cs="Arial" w:eastAsia="Arial" w:hAnsi="Arial"/>
          <w:sz w:val="18"/>
          <w:szCs w:val="18"/>
          <w:color w:val="auto"/>
        </w:rPr>
      </w:pPr>
    </w:p>
    <w:p>
      <w:pPr>
        <w:ind w:left="1480" w:right="34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statements included elsewhere in this Annual Report on Form 10-K.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Adjusted EBITDA to net income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6520" w:type="dxa"/>
            <w:vAlign w:val="bottom"/>
            <w:gridSpan w:val="3"/>
            <w:vMerge w:val="continue"/>
          </w:tcPr>
          <w:p>
            <w:pPr>
              <w:spacing w:after="0"/>
              <w:rPr>
                <w:sz w:val="14"/>
                <w:szCs w:val="14"/>
                <w:color w:val="auto"/>
              </w:rPr>
            </w:pP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4"/>
                <w:szCs w:val="14"/>
                <w:color w:val="auto"/>
              </w:rPr>
            </w:pPr>
          </w:p>
        </w:tc>
        <w:tc>
          <w:tcPr>
            <w:tcW w:w="7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90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6"/>
              </w:rPr>
              <w:t>Net income</w:t>
            </w:r>
          </w:p>
        </w:tc>
        <w:tc>
          <w:tcPr>
            <w:tcW w:w="56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$203,319</w:t>
            </w: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$148,514</w:t>
            </w:r>
          </w:p>
        </w:tc>
        <w:tc>
          <w:tcPr>
            <w:tcW w:w="4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2"/>
              </w:rPr>
              <w:t>$ 131,411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Plus: interest expense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2,169</w:t>
            </w:r>
          </w:p>
        </w:tc>
        <w:tc>
          <w:tcPr>
            <w:tcW w:w="4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1,328</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interest income and other</w:t>
            </w:r>
            <w:r>
              <w:rPr>
                <w:rFonts w:ascii="Arial" w:cs="Arial" w:eastAsia="Arial" w:hAnsi="Arial"/>
                <w:sz w:val="15"/>
                <w:szCs w:val="15"/>
                <w:color w:val="auto"/>
              </w:rPr>
              <w:t>(a)</w:t>
            </w:r>
          </w:p>
        </w:tc>
        <w:tc>
          <w:tcPr>
            <w:tcW w:w="116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(2,943)</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Plus: income tax expense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80,209</w:t>
            </w:r>
          </w:p>
        </w:tc>
        <w:tc>
          <w:tcPr>
            <w:tcW w:w="4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87,610</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77,596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depreciation and amortization</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53,932</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45,387</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35,379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EBITDA</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336,686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282,590</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(b)</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296</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Plus: fixed asset impairments</w:t>
            </w:r>
            <w:r>
              <w:rPr>
                <w:rFonts w:ascii="Arial" w:cs="Arial" w:eastAsia="Arial" w:hAnsi="Arial"/>
                <w:sz w:val="15"/>
                <w:szCs w:val="15"/>
                <w:color w:val="auto"/>
              </w:rPr>
              <w:t>(c)</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2,590</w:t>
            </w:r>
          </w:p>
        </w:tc>
        <w:tc>
          <w:tcPr>
            <w:tcW w:w="4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5"/>
                <w:szCs w:val="15"/>
                <w:color w:val="auto"/>
              </w:rPr>
              <w:t>(d)</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Plus: transaction expenses</w:t>
            </w:r>
            <w:r>
              <w:rPr>
                <w:rFonts w:ascii="Arial" w:cs="Arial" w:eastAsia="Arial" w:hAnsi="Arial"/>
                <w:sz w:val="15"/>
                <w:szCs w:val="15"/>
                <w:color w:val="auto"/>
              </w:rPr>
              <w:t>(e)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4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1,136</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estimated litigation and regulatory reserves</w:t>
            </w:r>
            <w:r>
              <w:rPr>
                <w:rFonts w:ascii="Arial" w:cs="Arial" w:eastAsia="Arial" w:hAnsi="Arial"/>
                <w:sz w:val="15"/>
                <w:szCs w:val="15"/>
                <w:color w:val="auto"/>
              </w:rPr>
              <w:t>(f)</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Plus: lease termination costs</w:t>
            </w:r>
            <w:r>
              <w:rPr>
                <w:rFonts w:ascii="Arial" w:cs="Arial" w:eastAsia="Arial" w:hAnsi="Arial"/>
                <w:sz w:val="15"/>
                <w:szCs w:val="15"/>
                <w:color w:val="auto"/>
              </w:rPr>
              <w:t>(g)</w:t>
            </w:r>
          </w:p>
        </w:tc>
        <w:tc>
          <w:tcPr>
            <w:tcW w:w="1160" w:type="dxa"/>
            <w:vAlign w:val="bottom"/>
            <w:gridSpan w:val="3"/>
          </w:tcPr>
          <w:p>
            <w:pPr>
              <w:jc w:val="right"/>
              <w:ind w:right="48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3,523</w:t>
            </w:r>
          </w:p>
        </w:tc>
        <w:tc>
          <w:tcPr>
            <w:tcW w:w="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(h)</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12,688</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12,276</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11,257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354,561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304,071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264,987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a loss of $0.9 million in 2015 on a note receivable purchased in December 2012, net of interest income.</w:t>
      </w:r>
    </w:p>
    <w:p>
      <w:pPr>
        <w:spacing w:after="0" w:line="23"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Represents the amortization of prepaid royalty payments, as discussed in Note 2 to our consolidated financial statements that are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ind w:left="460" w:right="28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fixed asset impairments. Amounts represent the write-off of the remaining book value of on campus buildings removed to make way for new dormitories and classroom buildings as well as internal use software write offs.</w:t>
      </w:r>
    </w:p>
    <w:p>
      <w:pPr>
        <w:ind w:left="460" w:hanging="452"/>
        <w:spacing w:after="0" w:line="265"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Reflects contributions to various Arizona school tuition organizations to assist with funding for education. In connection with such contributions made we received a dollar-for-dollar state income tax credit, which resulted in a reduction in our effective income tax rate to 28.3%, 37.1% and 37.1% for the years ended December 31, 2017, 2016 and 2015, respectively. Had these contributions not been made, our effective tax rate would have been 28.8%, 38.2% and 37.9%, for 2017, 2016 and 2015, respectively. Such contributions are viewed by our management to be made in lieu of payments of state income taxes and are therefore excluded from evaluation of our core operating performance.</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expenses incurred related to a proposed transaction under which Grand Canyon University would become a non-profit entity.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$0.1 million and $0.3 million for estimated litigation reserves in 2017 and 2015,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lease termination costs incurred related to the early termination of leased space.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share-based compensation expense relating to restricted stock awards and option grants made to employees and directors.</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for the years ended December 31, 2017 and 2016 should be read in conjunction with our consolidated financial statements and related notes that appear in Item 8, </w:t>
      </w:r>
      <w:r>
        <w:rPr>
          <w:rFonts w:ascii="Arial" w:cs="Arial" w:eastAsia="Arial" w:hAnsi="Arial"/>
          <w:sz w:val="16"/>
          <w:szCs w:val="16"/>
          <w:i w:val="1"/>
          <w:iCs w:val="1"/>
          <w:color w:val="auto"/>
        </w:rPr>
        <w:t>Consolidated Financial Statements and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Data</w:t>
      </w:r>
      <w:r>
        <w:rPr>
          <w:rFonts w:ascii="Arial" w:cs="Arial" w:eastAsia="Arial" w:hAnsi="Arial"/>
          <w:sz w:val="16"/>
          <w:szCs w:val="16"/>
          <w:color w:val="auto"/>
        </w:rPr>
        <w:t>. In addition to historical information, the following discussion contains forward-looking statements that reflect our plans, estimates and beliefs.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actual results could differ materially from those discussed in the forward-looking statements. Factors that could cause or contribute to these differences include those discussed below and elsewhere in this Annual Report on Form 10-K, particularly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are a comprehensive regionally accredited university that offers over 225 graduate and undergraduate degree programs, emphases and certificates across nine colleges both online and on ground at our over 275 acre campus in Phoenix, Arizona, and onsite at facilities we lease and at facilities owned by third party employers.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believe the growing brand of the University and the value proposition for both traditional aged students attending on our campus in Phoenix, Arizona and working adult students attending on our campus or at off-site locations in cohorts (referred to by us as professional studies student) or online, has enabled us to increase enrollment to approximately 90,300 students at December 31, 2017. At December 31, 2017, 79.1% of our students were enrolled in our online programs, and, of our working adult students (online and professional studies students), 50.5% were pursuing master’s or doctoral degrees.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circumstances and trends present opportunities, challenges and risks.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Proposed Change in the Structure of Our Operations</w:t>
      </w:r>
      <w:r>
        <w:rPr>
          <w:rFonts w:ascii="Arial" w:cs="Arial" w:eastAsia="Arial" w:hAnsi="Arial"/>
          <w:sz w:val="17"/>
          <w:szCs w:val="17"/>
          <w:color w:val="auto"/>
        </w:rPr>
        <w:t>. As discussed above under “Item 1. Business – Proposed Change in the Structure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we are seeking approval of the Proposed Transaction to effect the sale of GCU to a nonprofit entity as a means of enabling GCU to conduct itself as a traditional nonprofit university, consistent with its history and on a level playing field with other traditional universities with regard to tax status and, among other things, the ability to accept philanthropic contributions, pursue research grant opportunities, and participate in NCAA governance. The transaction involves the sale of the Company’s academic-related assets, real estate and related intangibles to a newly formed nonprofit corporation (“New GCU”). Following this sale, the nonprofit corporation would operate the university while the Company would continue to operate as a third-party provider of services to New GCU and potentially, in the future, to other universities. If the necessary approvals are obtained, financial and other terms between us and New GCU are agreed upon, definitive agreements are executed, and the Proposed Transaction is ultimately consummated, then various aspects of our operations would change in important ways. These changes include, but are not limited to, the following:</w:t>
      </w:r>
    </w:p>
    <w:p>
      <w:pPr>
        <w:spacing w:after="0" w:line="87" w:lineRule="exact"/>
        <w:rPr>
          <w:sz w:val="20"/>
          <w:szCs w:val="20"/>
          <w:color w:val="auto"/>
        </w:rPr>
      </w:pPr>
    </w:p>
    <w:p>
      <w:pPr>
        <w:ind w:left="1480" w:right="240" w:hanging="446"/>
        <w:spacing w:after="0" w:line="25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academic and related operations and assets, as well as approximately 35% of our full-time employees and substantially all of our part-time employees and student workers, would transfer to New GCU. Following this transfer, we would no longer own and operate a regulated institution of higher education, but would instead provide a host of services in support of New GCU’s operations. While the services we would provide are services that we currently provide as part of our business today, we have limited to no experience operating as a service provider to third parties.</w:t>
      </w:r>
    </w:p>
    <w:p>
      <w:pPr>
        <w:spacing w:after="0" w:line="93"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GCU would be a separate non-profit entity under the control of an independent board of trustees and independent</w:t>
      </w:r>
    </w:p>
    <w:p>
      <w:pPr>
        <w:spacing w:after="0" w:line="23" w:lineRule="exact"/>
        <w:rPr>
          <w:rFonts w:ascii="Arial" w:cs="Arial" w:eastAsia="Arial" w:hAnsi="Arial"/>
          <w:sz w:val="18"/>
          <w:szCs w:val="18"/>
          <w:color w:val="auto"/>
        </w:rPr>
      </w:pPr>
    </w:p>
    <w:p>
      <w:pPr>
        <w:ind w:left="1480" w:right="80"/>
        <w:spacing w:after="0" w:line="254" w:lineRule="auto"/>
        <w:rPr>
          <w:rFonts w:ascii="Arial" w:cs="Arial" w:eastAsia="Arial" w:hAnsi="Arial"/>
          <w:sz w:val="18"/>
          <w:szCs w:val="18"/>
          <w:color w:val="auto"/>
        </w:rPr>
      </w:pPr>
      <w:r>
        <w:rPr>
          <w:rFonts w:ascii="Arial" w:cs="Arial" w:eastAsia="Arial" w:hAnsi="Arial"/>
          <w:sz w:val="18"/>
          <w:szCs w:val="18"/>
          <w:color w:val="auto"/>
        </w:rPr>
        <w:t>management. Accordingly, our relationship with New GCU, both pursuant to the shared services arrangement and operationally, would no longer be as owner and operator, but as a third party contract party. While we believe this relationship would remain strong, New GCU’s board of trustees and management would have fiduciary and other duties that would require them to focus on the best interests of New GCU and over time those interests could diverge from ours.</w:t>
      </w:r>
    </w:p>
    <w:p>
      <w:pPr>
        <w:spacing w:after="0" w:line="95" w:lineRule="exact"/>
        <w:rPr>
          <w:rFonts w:ascii="Arial" w:cs="Arial" w:eastAsia="Arial" w:hAnsi="Arial"/>
          <w:sz w:val="18"/>
          <w:szCs w:val="18"/>
          <w:color w:val="auto"/>
        </w:rPr>
      </w:pPr>
    </w:p>
    <w:p>
      <w:pPr>
        <w:ind w:left="1480" w:right="140" w:hanging="446"/>
        <w:spacing w:after="0" w:line="264"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Initially, all of our revenue would be derived pursuant to the shared services arrangement with New GCU. Accordingly, New GCU’s ability to continue to increase its enrollment and tuition and fee revenue, and our ability to continue to perform the services necessary to enable New GCU to do so, would be critical to the success of our services business.</w:t>
      </w:r>
    </w:p>
    <w:p>
      <w:pPr>
        <w:spacing w:after="0" w:line="86" w:lineRule="exact"/>
        <w:rPr>
          <w:rFonts w:ascii="Arial" w:cs="Arial" w:eastAsia="Arial" w:hAnsi="Arial"/>
          <w:sz w:val="18"/>
          <w:szCs w:val="18"/>
          <w:color w:val="auto"/>
        </w:rPr>
      </w:pPr>
    </w:p>
    <w:p>
      <w:pPr>
        <w:ind w:left="1480" w:right="60" w:hanging="446"/>
        <w:spacing w:after="0" w:line="312" w:lineRule="auto"/>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is anticipated that the consideration payable by New GCU for the acquired assets, which will be material, will be in the form of a long-term secured note. While the terms of this note remain subject to negotiation, our ability to realize the negotiated value of the acquired assets would be subject to New GCU’s performance and its ability to pay amounts due under the secured note as they come due.</w:t>
      </w:r>
    </w:p>
    <w:p>
      <w:pPr>
        <w:spacing w:after="0" w:line="14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If the Proposed Transaction is consummated, our revenue and expenses would be materially reduced, while our operating margin would materially increase and we would recognize significant interest income on the long-term secured note. In addition, the Proposed Transaction would trigger an obligation to repay all amounts outstanding on our credit facility, which totaled $66.5 million at December 31, 2017. If, however, we are unable to successfully re-focus our business to providing services to third parties, or if the contemplated shared services arrangement with New GCU fails to achieve the anticipated levels of performance, then our business, financial condition and results of operations, as well as our stock price, could be materially and adversely affected.</w:t>
      </w:r>
    </w:p>
    <w:p>
      <w:pPr>
        <w:sectPr>
          <w:pgSz w:w="11900" w:h="16838" w:orient="portrait"/>
          <w:cols w:equalWidth="0" w:num="1">
            <w:col w:w="11420"/>
          </w:cols>
          <w:pgMar w:left="240" w:top="459" w:right="239" w:bottom="1440" w:gutter="0" w:footer="0" w:header="0"/>
        </w:sectPr>
      </w:pPr>
    </w:p>
    <w:bookmarkStart w:id="48" w:name="page49"/>
    <w:bookmarkEnd w:id="48"/>
    <w:p>
      <w:pPr>
        <w:ind w:firstLine="456"/>
        <w:spacing w:after="0" w:line="286" w:lineRule="auto"/>
        <w:rPr>
          <w:sz w:val="20"/>
          <w:szCs w:val="20"/>
          <w:color w:val="auto"/>
        </w:rPr>
      </w:pPr>
      <w:r>
        <w:rPr>
          <w:rFonts w:ascii="Arial" w:cs="Arial" w:eastAsia="Arial" w:hAnsi="Arial"/>
          <w:sz w:val="16"/>
          <w:szCs w:val="16"/>
          <w:b w:val="1"/>
          <w:bCs w:val="1"/>
          <w:i w:val="1"/>
          <w:iCs w:val="1"/>
          <w:color w:val="auto"/>
        </w:rPr>
        <w:t>Evolving Post-secondary Education Market</w:t>
      </w:r>
      <w:r>
        <w:rPr>
          <w:rFonts w:ascii="Arial" w:cs="Arial" w:eastAsia="Arial" w:hAnsi="Arial"/>
          <w:sz w:val="16"/>
          <w:szCs w:val="16"/>
          <w:color w:val="auto"/>
        </w:rPr>
        <w:t>. We believe that there is a large number of traditional-aged students looking for a residential experience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affordable, private, Christian university. As a result of state funding challenges, most state universities are receiving less state subsidies and therefore have been forced to increase tuition, decrease the number of students they can accept and/or make other changes that impact the student experience. Some private universities also are facing enrollment challenges as a result of their high tuition costs. We also believe the number of non-traditional students who work, are raising a family, or are doing both while trying to earn a college degree continues to grow. The continued economic environment in the U.S., however, has caused an increased number of potential students and/or their parents to consider the cost of education as a primary factor in choosing the school that they will attend. Given these trends, we believe that many individuals will be attracted to our high quality academic programs at affordable tuition rates. We also believe that competition for students continues to increase. We compete primarily with traditional public and four-year degree-granting regionally accredited colleges and universities and other proprietary degree-granting regionally accredited schools. An increasing number of traditional colleges, universities and community colleges are offering distance learning and other online education programs, including programs that are geared towards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face increasing competition for students from such institutions, including those with well-established reputations for excellence.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Regulation and Oversight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extensive regulation by federal and state governmental agencies and accrediting bodies. In particular,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Higher Education Act of 1965, as amended (the “Higher Education Act”), and the regulations promulgated thereunder by the Department of Education subject us to significant regulatory scrutiny on the basis of numerous standards that schools must satisfy in order to participate in the various federal student financial assistance programs under Title IV of the Higher Education Act. Recent regulations have imposed new reporting and disclosure requirements that have caused increased administrative burden and costs and may have a negative effect on our growth and enrollments. In addition, in recent years, there has been increased focus by Congress on the role that proprietary educational institutions play in higher education and various proposals to modify the laws to which proprietary educational institutions are subject. We cannot predict what legislation, if any, may result from these Congressional proposals or what impact any such legislation might have on the proprietary education sector generally or our business in particular.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New Tax Law. </w:t>
      </w:r>
      <w:r>
        <w:rPr>
          <w:rFonts w:ascii="Arial" w:cs="Arial" w:eastAsia="Arial" w:hAnsi="Arial"/>
          <w:sz w:val="16"/>
          <w:szCs w:val="16"/>
          <w:color w:val="auto"/>
        </w:rPr>
        <w:t>On December 22, 2017, the Tax Cuts and Jobs Act (the “Act”) was signed into law. For businesses, the Act reduces the corporate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rate from a maximum of 35% to a flat 21% rate. The rate reduction took effect on January 1, 2018. The reduced tax rate caused the University’s deferred tax assets and liabilities to be revalued as of December 22, 2017. Deferred income taxes result from temporary differences between the tax basis of assets and liabilities and their reported amounts in the financial statements that will result in taxable or deductible amounts in future years. 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 The University’s net deferred tax liability was revalued as of December 22, 2017. The University recorded a $10.7 million income tax benefit related to the revaluation of its deferred tax assets and liabilities. Excluding this income tax benefit in 2017, our effective tax rate would have been 32.1%.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achieved the following in 2017:</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u w:val="single" w:color="auto"/>
          <w:color w:val="auto"/>
        </w:rPr>
        <w:t>Enrollment, Net Revenue, Operating Income Growth with No Increase in Ground Tuition Rates</w:t>
      </w:r>
      <w:r>
        <w:rPr>
          <w:rFonts w:ascii="Arial" w:cs="Arial" w:eastAsia="Arial" w:hAnsi="Arial"/>
          <w:sz w:val="16"/>
          <w:szCs w:val="16"/>
          <w:color w:val="auto"/>
        </w:rPr>
        <w:t>. We achieved enrollment growth of 10.2%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fiscal year ended December 31, 2017, as ground enrollment increased 9.2% and online enrollment increased 10.5%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our largest local competitor’s undergraduate tuition for online programs ranges from $510 to $718 per credit hour and its graduate tuition for online programs ranges from $512 to $1,312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We did not raise tuition in any of our programs for our 2016-2017 and 2017-2018 academic years. A tuition increase of approximately 1% was implemented for the majority of online programs for our 2015-2016 academic year. We have not raised our tuition for our traditional ground programs in nine years. Net revenues increased 11.5% over the prior year primarily due to the enrollment growth and due to an increase in ancillary revenues resulting from the increased traditional student enrollment (e.g. housing, food, etc.). Operating income was $282.8 million for the fiscal year ended December 31, 2017, an increase of 19.2% over the $237.2 million in operating income for 2016.</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u w:val="single" w:color="auto"/>
          <w:color w:val="auto"/>
        </w:rPr>
        <w:t>Capital Expenditures</w:t>
      </w:r>
      <w:r>
        <w:rPr>
          <w:rFonts w:ascii="Arial" w:cs="Arial" w:eastAsia="Arial" w:hAnsi="Arial"/>
          <w:sz w:val="18"/>
          <w:szCs w:val="18"/>
          <w:color w:val="auto"/>
        </w:rPr>
        <w:t>. Our capital expenditures in 2017 of $113.6 million primarily related to the expansion of our over 275 acre physical campus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Phoenix, Arizona and significant investment in technology innovation to support our students and staff. In order to accommodate the continued growth of the traditional ground population, the University completed the construction of an additional dormitory, other ground campus building projects and land acquisitions adjacent to our campus, as well as purchases of computer equipment, other internal use software projects and furniture and equipment to support our increasing employee headcount. Included in off-site development for 2017 is $10.4 million we spent to finish the building and parking garage in close proximity to our ground traditional campus. Employees that worked in two leased office buildings in the Phoenix area were relocated to this new building by the end of 2016.</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u w:val="single" w:color="auto"/>
          <w:color w:val="auto"/>
        </w:rPr>
        <w:t>Income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adoption of the new share-based compensation standard in 2017 resulted in a reduction to our provision for income taxes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$16.5 million for the year ended December 31, 2017, due to the recognition of excess tax benefits from restricted stock awards that vested or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were exercised in 2017. The inclusion of excess tax benefits and deficiencies as a component of our income tax expense will increase volatility within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 for income taxes as the amount of excess tax benefits or deficiencies from share-based compensation awards are dependent on our stock price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the restricted awards vest, our stock price on the date an option is exercised, and the quantity of options exercised. Our restricted stock vests in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year so the favorable benefit is greatest in the first quarter each 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Enrollment</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Net revenue consists principally of tuition, room and board charges attributable to students residing on our ground campus, application and graduation fees, and fees from educational resources such as access to online materials, less scholarships. Factors affecting our net revenue include: (i) the number of students who are enrolled and who remain enrolled in our courses; (ii) the number of credit hours per student; (iii) our degree and program mix; (iv) changes in our tuition rates; (v) the timing of our ground traditional campus semesters; (vi) the amount of the scholarships that we offer; and (vii) the number of students housed in, and the rent charged for, our on-campus student apartments and dormitories.</w:t>
      </w:r>
    </w:p>
    <w:p>
      <w:pPr>
        <w:spacing w:after="0" w:line="173" w:lineRule="exact"/>
        <w:rPr>
          <w:sz w:val="20"/>
          <w:szCs w:val="20"/>
          <w:color w:val="auto"/>
        </w:rPr>
      </w:pPr>
    </w:p>
    <w:p>
      <w:pPr>
        <w:ind w:right="360" w:firstLine="456"/>
        <w:spacing w:after="0" w:line="273" w:lineRule="auto"/>
        <w:rPr>
          <w:sz w:val="20"/>
          <w:szCs w:val="20"/>
          <w:color w:val="auto"/>
        </w:rPr>
      </w:pPr>
      <w:r>
        <w:rPr>
          <w:rFonts w:ascii="Arial" w:cs="Arial" w:eastAsia="Arial" w:hAnsi="Arial"/>
          <w:sz w:val="17"/>
          <w:szCs w:val="17"/>
          <w:color w:val="auto"/>
        </w:rPr>
        <w:t>We define enrollment as individual students who attended a course during the last two months of the calendar quarter. We offer three 15-week semesters in a calendar year with one start available per semester for our traditional ground students. Online and professional studies students have more frequent class starts in courses that generally range from five to sixteen weeks through the calendar year.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our brand strength and price point;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student enrollment at December 31, 2017, 2016, and 2015 by degree type and by instructional delivery method: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40" w:type="dxa"/>
            <w:vAlign w:val="bottom"/>
            <w:tcBorders>
              <w:bottom w:val="single" w:sz="8" w:color="auto"/>
            </w:tcBorders>
            <w:gridSpan w:val="2"/>
          </w:tcPr>
          <w:p>
            <w:pPr>
              <w:ind w:left="680"/>
              <w:spacing w:after="0" w:line="142" w:lineRule="exact"/>
              <w:rPr>
                <w:sz w:val="20"/>
                <w:szCs w:val="20"/>
                <w:color w:val="auto"/>
              </w:rPr>
            </w:pPr>
            <w:r>
              <w:rPr>
                <w:rFonts w:ascii="Arial" w:cs="Arial" w:eastAsia="Arial" w:hAnsi="Arial"/>
                <w:sz w:val="14"/>
                <w:szCs w:val="14"/>
                <w:b w:val="1"/>
                <w:bCs w:val="1"/>
                <w:color w:val="auto"/>
                <w:w w:val="95"/>
              </w:rPr>
              <w:t>2017</w:t>
            </w:r>
            <w:r>
              <w:rPr>
                <w:rFonts w:ascii="Arial" w:cs="Arial" w:eastAsia="Arial" w:hAnsi="Arial"/>
                <w:sz w:val="12"/>
                <w:szCs w:val="12"/>
                <w:b w:val="1"/>
                <w:bCs w:val="1"/>
                <w:color w:val="auto"/>
                <w:w w:val="95"/>
              </w:rPr>
              <w:t>(1)</w:t>
            </w:r>
          </w:p>
        </w:tc>
        <w:tc>
          <w:tcPr>
            <w:tcW w:w="6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6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of Students</w:t>
            </w: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92"/>
              </w:rPr>
              <w:t>% of Total</w:t>
            </w:r>
          </w:p>
        </w:tc>
        <w:tc>
          <w:tcPr>
            <w:tcW w:w="480" w:type="dxa"/>
            <w:vAlign w:val="bottom"/>
          </w:tcPr>
          <w:p>
            <w:pPr>
              <w:spacing w:after="0"/>
              <w:rPr>
                <w:sz w:val="12"/>
                <w:szCs w:val="12"/>
                <w:color w:val="auto"/>
              </w:rPr>
            </w:pPr>
          </w:p>
        </w:tc>
        <w:tc>
          <w:tcPr>
            <w:tcW w:w="11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 of Total</w:t>
            </w:r>
          </w:p>
        </w:tc>
        <w:tc>
          <w:tcPr>
            <w:tcW w:w="480" w:type="dxa"/>
            <w:vAlign w:val="bottom"/>
          </w:tcPr>
          <w:p>
            <w:pPr>
              <w:spacing w:after="0"/>
              <w:rPr>
                <w:sz w:val="12"/>
                <w:szCs w:val="12"/>
                <w:color w:val="auto"/>
              </w:rPr>
            </w:pPr>
          </w:p>
        </w:tc>
        <w:tc>
          <w:tcPr>
            <w:tcW w:w="11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Graduate degree</w:t>
            </w:r>
            <w:r>
              <w:rPr>
                <w:rFonts w:ascii="Arial" w:cs="Arial" w:eastAsia="Arial" w:hAnsi="Arial"/>
                <w:sz w:val="15"/>
                <w:szCs w:val="15"/>
                <w:color w:val="auto"/>
              </w:rPr>
              <w:t>(2)</w:t>
            </w: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3"/>
              </w:rPr>
              <w:t>37,339</w:t>
            </w:r>
          </w:p>
        </w:tc>
        <w:tc>
          <w:tcPr>
            <w:tcW w:w="34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34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3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Undergraduate degree</w:t>
            </w: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52,958</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58.6%</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48,693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59.4%</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45,269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90,297</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81,908</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6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6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 of Total</w:t>
            </w:r>
          </w:p>
        </w:tc>
        <w:tc>
          <w:tcPr>
            <w:tcW w:w="4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of Total</w:t>
            </w:r>
          </w:p>
        </w:tc>
        <w:tc>
          <w:tcPr>
            <w:tcW w:w="4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71,455</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18,842</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20.9%</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17,262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15,195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81,908</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740" w:hanging="452"/>
        <w:spacing w:after="0" w:line="274"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Enrollment represents individual students who attended a course during the last two months of the calendar quarter. Included in enrollment at December 31, 2017, 2016 and 2015 are students pursuing non-degree certificates of 886, 847, and 679, respectively.</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7,703, 7,084 and 6,302 students pursuing doctoral degrees at December 31, 2017, 2016 and 2015, respectively.</w:t>
      </w:r>
    </w:p>
    <w:p>
      <w:pPr>
        <w:spacing w:after="0" w:line="9" w:lineRule="exact"/>
        <w:rPr>
          <w:rFonts w:ascii="Arial" w:cs="Arial" w:eastAsia="Arial" w:hAnsi="Arial"/>
          <w:sz w:val="18"/>
          <w:szCs w:val="18"/>
          <w:color w:val="auto"/>
        </w:rPr>
      </w:pPr>
    </w:p>
    <w:p>
      <w:pPr>
        <w:ind w:left="460" w:right="48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2017, 2016 and 2015, 50.5%, 49.5% and 47.8%, respectively, of our working adult students (online and professional studies students) were pursuing graduate or doctoral degrees.</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our traditional on-campus students, as well as our professional studies students.</w:t>
      </w:r>
    </w:p>
    <w:p>
      <w:pPr>
        <w:spacing w:after="0" w:line="21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For the 2017-18 academic year (the academic year begins in May), our prices per credit hour range from $355 to $470 for undergraduate online and professional studies courses, $330 to $630 for graduate online courses, $640 for doctoral online programs, and $688 for undergraduate courses for ground students. For our active duty and active reserve online and professional studies students, our prices per credit hour are $250 for undergraduate, $400 for graduate courses and $608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 and since program inception on average, doctoral students who graduated required 5.2 dissertation continuation courses to complete their degree.</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Based on current tuition rates, tuition for a full program would generally equate to between $15,450 and $37,000 for an online master’s program, between $42,600 and $56,400 for a full four-year online bachelor’s program, approximately $66,000 for a full four-year bachelor’s program taken on our ground campus, and $48,000 for a full doctoral program including five dissertation continuation courses. Students requiring dissertation continuation courses in excess of five are only charged $500 per course. The tuition amounts referred to above assume no reductions for transfer credits or scholarships, which many of our students utilize to reduce their total program costs. For example, the average student on our ground traditional campus will pay approximately $8,700 in tuition in the 2017-18 school year after scholarships. Thus, based on the number of transfer credits and the scholarships they receive it is likely that a student will pay less than $35,000 in tuition for a bachelor’s degree on our ground campus. For the years ended December 31, 2017, 2016 and 2015, our revenue was reduced by approximately $196.3 million, $179.2 million and $163.9 million, respectively, as a result of scholarships that we offered to our students. The increase in scholarships reflects our increased revenues and our resulting increased use of scholarships, especially academic scholarships, to attract high performing students to our ground traditional campus.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 per student for the year ended December 31, 2017 increased over 2016 primarily due to the enrollment growth and due to an increase in ancillary revenues resulting from the increased traditional student enrollment (e.g. housing, food services, etc.). The increase in revenue per student between years is primarily due to a higher percentage of students residing on campus resulting in higher room and board related revenue as compared to the prior year. When factoring in room, board, and fees, the revenue per student is higher for these students than for our working adult students. We did not raise tuition in any of our programs for our 2016-2017 and 2017-2018 academic years and have not raised our tuition for our traditional ground program in nine years. A tuition increase of approximately 1% was implemented for the majority of online programs in September 2015. This reflects a concerted effort to control tuition pricing for students so that debt levels assumed by our students are reasonable. Tuition increases have not historically been, and may not in the future be, consistent across our programs due to market conditions and differences in operating costs of individual programs.</w:t>
      </w:r>
    </w:p>
    <w:p>
      <w:pPr>
        <w:spacing w:after="0" w:line="166"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derive a majority of our net revenues from tuition financed by the Title IV programs. For the years ended December 31, 2017, 2016 and 2015, we derived cash receipts equal to approximately 71.5%, 72.3%, and 74.8%, respectively, of our net revenues from Title IV programs. Our students also may rely on scholarships, personal savings, private loans, and employer tuition reimbursements to pay a portion of their tuition and related expenses.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6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Net revenues consist primarily of tuition and fees derived from courses taught by us online, at our over 275 acre campus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Phoenix, Arizona, and at facilities we lease or those of employers, as well as from related educational resources such as access to online materials. Tuition revenue and most fees and related educational resources are recognized pro-rata over the applicable period of instruction, net of scholarships awarded by us. Generally, we will refund all or a portion of tuition already paid pursuant to our refund policy, dependent upon length of course and modality and subject to certain state specific refund requirements.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to Title IV is required as a result of his or her withdrawal, the University recognizes revenue after a student withdraws only at the time of cash collection. Sales tax collected from students is excluded from net revenues. We also charge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statement of operations and are reflected as current liabilities in the accompanying balance sheet. Our educational programs have starting and ending dates that differ from our quarters. Therefore, at the end of each fiscal quarter, a portion of revenue from these programs is not yet earned. Other revenues may be recognized as sales occur or services are performed.</w:t>
      </w:r>
    </w:p>
    <w:p>
      <w:pPr>
        <w:spacing w:after="0" w:line="17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Allowance for doubtful accounts</w:t>
      </w:r>
      <w:r>
        <w:rPr>
          <w:rFonts w:ascii="Arial" w:cs="Arial" w:eastAsia="Arial" w:hAnsi="Arial"/>
          <w:sz w:val="17"/>
          <w:szCs w:val="17"/>
          <w:color w:val="auto"/>
        </w:rPr>
        <w:t>. We record an allowance for doubtful accounts for estimated losses resulting from the inability, failure or refusal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students to make required payments, which includes the recovery of financial aid funds advanced to a student for amounts in excess of the student’s cost of tuition and related fees that we may have to return under Title IV after a student drops. We determine the adequacy of our allowance for doubtful accounts based on an analysis of our historical bad debt experience, current economic trends, and the aging of the accounts receivable and student status. We apply a reserve to our receivables based upon an estimate of the risk presented by the age of the receivables and student status. We write off accounts receivable balances of active students at the earlier of the time the balance is deemed uncollectible, or one year after the revenue is generated. We reserve for receivables due from inactive students on a more accelerated basis than those due from active students and write off inactive student accounts at 150 days, as amounts due from inactive students are much more difficult to collect than amounts due from active students. We monitor our collections and write-off experience to assess whether adjustments to the estimated reserve are necessary.</w:t>
      </w:r>
    </w:p>
    <w:p>
      <w:pPr>
        <w:spacing w:after="0" w:line="18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b w:val="1"/>
          <w:bCs w:val="1"/>
          <w:i w:val="1"/>
          <w:iCs w:val="1"/>
          <w:color w:val="auto"/>
        </w:rPr>
        <w:t>Long-Lived Assets (other than goodwill)</w:t>
      </w:r>
      <w:r>
        <w:rPr>
          <w:rFonts w:ascii="Arial" w:cs="Arial" w:eastAsia="Arial" w:hAnsi="Arial"/>
          <w:sz w:val="16"/>
          <w:szCs w:val="16"/>
          <w:color w:val="auto"/>
        </w:rPr>
        <w:t>. We evaluate the recoverability of our long-lived assets for impairment whenever events or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54"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We recognize the amount of taxes payable or refundable for the current year and deferred tax assets and liabilities for future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consequences of events that have been recognized in our consolidated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2017 and 2016, the University has reserved approximately $2,008 and $1,981, respectively, for uncertain tax positions, including interest and penalties.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Instructional costs and services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42.2</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Admissions advisory and related</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13.2</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13.7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Marketing and promotional</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Lease termination costs</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r>
      <w:tr>
        <w:trPr>
          <w:trHeight w:val="27"/>
        </w:trPr>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r>
      <w:tr>
        <w:trPr>
          <w:trHeight w:val="27"/>
        </w:trPr>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Income tax expense</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8.2</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r>
      <w:tr>
        <w:trPr>
          <w:trHeight w:val="27"/>
        </w:trPr>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20.9</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r>
      <w:tr>
        <w:trPr>
          <w:trHeight w:val="20"/>
        </w:trPr>
        <w:tc>
          <w:tcPr>
            <w:tcW w:w="7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year ended December 31, 2017 was $974.1 million, an increase of $100.8 million, or 11.5%,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$873.3 million for the year ended December 31, 2016. This increase was primarily due to an increase in online and ground enrollment and, to a lesser extent, an increase in room and board and other student fees, partially offset by an increase in institutional scholarships. We have not raised our tuition for our traditional ground programs in nine years and we have not raised tuition for our working adult students since September 2015. End-of-period enrollment increased 10.2% between December 31, 2017 and 2016, as ground enrollment increased 9.2% and online enrollment increased 10.5% over the prior year. The majority of the ground enrollment growth between years is due to an increase in the number of residential students at our ground traditional campus in Phoenix, Arizona. We attribute the growth in our enrollment between years to our increasing brand recognition and the value proposition we believe we provide to students and their parents.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increase in revenue per student between years is primarily due to the enrollment growth and due to an increase in ancillary revenues resulting from the increased traditional student enrollment (e.g. housing, food, etc.). The increase in revenue per student between years is primarily due to a higher percentage of students residing on campus resulting in higher room and board related revenue as compared to the prior year. When factoring in room, board and fees, the revenue per student is higher for these students than for our working adult students.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80"/>
          </w:cols>
          <w:pgMar w:left="240" w:top="459"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2017 were $410.8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$37.7 million, or 10.1%, as compared to instructional costs and services expenses of $373.1 million for the year ended December 31, 2016. This increase was primarily due to increases in employee compensation and related expenses including share-based compensation, faculty compensation, depreciation and amortization and occupancy expense including disposals, dues, fees, subscriptions and instructional supplies, and other instructional costs and services of $11.4 million, $10.3 million, $9.6 million, $4.6 million and $1.8 million, respectively. The increase in employee compensation and related expenses and faculty compensation are primarily due to the increase in the number of staff to support the increasing number of students attending the University, tenure adjustments, and increased benefit costs between years. In addition, we continue to increase our full-time faculty between years. The increase in depreciation, amortization and occupancy costs including fixed asset disposals is the result of our placing into service additional buildings to support the growing number of students. In addition, during the third quarter of 2017 we wrote-off the remaining book value of two buildings that will be replaced by a new classroom building that is needed for Fall 2018. The increase in dues, fees, subscriptions and instructional supplies is primarily due to higher food and other expenses as a result of the increased ancillary revenues and a higher number of residential students, and increased licensing fees related to educational resources. Our instructional costs and services expenses as a percentage of net revenue decreased by 0.5% to 42.2% for the year ended December 31, 2017, as compared to 42.7% for the year ended December 31, 2016 due to our ability to leverage our instructional costs and services expenses across an increasing revenue base, partially offset by depreciation and amortization increasing as a percentage of net revenues. Bad debt expense decreased by 0.2% to 1.9% for the year ended December 31, 2017, as compared to 2.1% for the year ended December 31, 2016 due to improved collections.</w:t>
      </w:r>
    </w:p>
    <w:p>
      <w:pPr>
        <w:spacing w:after="0" w:line="16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year ended December 31, 2017 were $128.5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$9.2 million, or 7.8%, as compared to admissions advisory and related expenses of $119.3 million for the year ended December 31, 2016. This increase was primarily due to increases in employee compensation and related expenses including share-based compensation of $9.2 million, as a result of tenure adjustments and increased benefit costs between years. Our admissions advisory and related expenses as a percentage of net revenue decreased by 0.5% to 13.2% for the year ended December 31, 2017, from 13.7% for the year ended December 31, 2016 primarily due to our ability to leverage our admissions advisory personnel across an increasing revenue base. Although we are hopeful that we will continue to see leverage of our admissions advisory personnel, we do not anticipate the leverage in future years will be as significant as in 2017.</w:t>
      </w:r>
    </w:p>
    <w:p>
      <w:pPr>
        <w:spacing w:after="0" w:line="17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year ended December 31, 2017 were $98.6 million, an increase of $10.4 million, or 11.9%,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$88.2 million for the year ended December 31, 2016. This increase was primarily due to increased digital media and branding advertising. Our advertising expenses as a percentage of net revenue stayed flat at 10.1% for both of the years ended December 31, 2017 and 2016 as our advertising spend to increase brand awareness was in line with our increasing revenue base. We plan to continue to increase our advertising spend on brand awareness in 2018. We plan to continue to increase our advertising spend on brand awareness in 2018 to counter the increased advertising of our competitors.</w:t>
      </w:r>
    </w:p>
    <w:p>
      <w:pPr>
        <w:spacing w:after="0" w:line="19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Marketing and promotional expenses</w:t>
      </w:r>
      <w:r>
        <w:rPr>
          <w:rFonts w:ascii="Arial" w:cs="Arial" w:eastAsia="Arial" w:hAnsi="Arial"/>
          <w:sz w:val="17"/>
          <w:szCs w:val="17"/>
          <w:color w:val="auto"/>
        </w:rPr>
        <w:t>. Our marketing and promotional expenses for the year ended December 31, 2017 were $9.6 million,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$0.7 million, or 8.7%, as compared to marketing and promotional expenses of $8.9 million for the year ended December 31, 2016. Our marketing and promotional expenses as a percentage of net revenue stayed flat at 1.0% for both of the years ended December 31, 2017 and 2016.</w:t>
      </w:r>
    </w:p>
    <w:p>
      <w:pPr>
        <w:spacing w:after="0" w:line="16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2017 were $43.8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$0.6 million, or 1.2%, as compared to general and administrative expenses of $43.2 million for the year ended December 31, 2016. This increase was primarily due to increases in employee compensation and related expenses including share-based compensation, and increased depreciation and occupancy costs of $2.7 million and $0.5 million, respectively. The increase in employee compensation and related expenses are primarily due to the increase in the number of staff to support the increasing number of students attending the University, and increased benefit costs between years. These increases were partially offset by lower contributions to private school tuition organizations in lieu of state income taxes, and lower legal, audit and insurance costs and other general administrative expenses of $2.0 million and $0.6 million, respectively. During 2017 and 2016 our contributions to private school tuition organizations in lieu of state income taxes were $2.0 million and $4.0 million, respectively. Our general and administrative expenses as a percentage of net revenue decreased by 0.4% to 4.5% for the year ended December 31, 2017, from 4.9% for the year ended December 31, 2016 due to the lower contributions made in lieu of state income taxes and our ability to leverage our general and administrative expenses across an increasing revenue base.</w:t>
      </w:r>
    </w:p>
    <w:p>
      <w:pPr>
        <w:spacing w:after="0" w:line="16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Lease termination costs</w:t>
      </w:r>
      <w:r>
        <w:rPr>
          <w:rFonts w:ascii="Arial" w:cs="Arial" w:eastAsia="Arial" w:hAnsi="Arial"/>
          <w:sz w:val="18"/>
          <w:szCs w:val="18"/>
          <w:color w:val="auto"/>
        </w:rPr>
        <w:t>. In July 2016, we notified a current landlord of our intent to vacate leased space by the fourth quarter of 2016. As a result, we</w:t>
      </w:r>
      <w:r>
        <w:rPr>
          <w:rFonts w:ascii="Arial" w:cs="Arial" w:eastAsia="Arial" w:hAnsi="Arial"/>
          <w:sz w:val="18"/>
          <w:szCs w:val="18"/>
          <w:i w:val="1"/>
          <w:iCs w:val="1"/>
          <w:color w:val="auto"/>
        </w:rPr>
        <w:t xml:space="preserve"> </w:t>
      </w:r>
      <w:r>
        <w:rPr>
          <w:rFonts w:ascii="Arial" w:cs="Arial" w:eastAsia="Arial" w:hAnsi="Arial"/>
          <w:sz w:val="18"/>
          <w:szCs w:val="18"/>
          <w:color w:val="auto"/>
        </w:rPr>
        <w:t>were required to pay a termination fee to terminate the lease resulting in $3.4 million of expense in the third quarter of 2016. Additionally in the fourth quarter of 2016, we completed our relocation of our employees to the new buildings and as a result expensed $0.1 million related to impaired assets from leased space no longer occupied by our employees.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2017 was $2.2 million, an increase of $0.9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$1.3 million for the year ended December 31, 2016. This increase was primarily due to lower capitalized interest as compared to the prior year due to a decrease in capital spending in 2017, partially offset by the decrease in the average balance of our loan facility. Our interest expense stayed flat as a percentage of net revenue at 0.2% for the years ended December 31, 2017 and 2016.</w:t>
      </w:r>
    </w:p>
    <w:p>
      <w:pPr>
        <w:spacing w:after="0" w:line="187"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i w:val="1"/>
          <w:iCs w:val="1"/>
          <w:color w:val="auto"/>
        </w:rPr>
        <w:t>Interest income and other</w:t>
      </w:r>
      <w:r>
        <w:rPr>
          <w:rFonts w:ascii="Arial" w:cs="Arial" w:eastAsia="Arial" w:hAnsi="Arial"/>
          <w:sz w:val="16"/>
          <w:szCs w:val="16"/>
          <w:color w:val="auto"/>
        </w:rPr>
        <w:t>. Our interest income and other for the year ended December 31, 2017 was $2.9 million, an increase of $2.7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interest income and other of $0.2 million for the year ended December 31, 2016. Interest income was higher in 2017 as compared to 2016 primarily due to higher average investment balances between years. In addition, included in interest income and other in 2017 is our proportional share of equity income of $0.7 million related to our former ownership interest in LoudCloud, and in 2016 an impairment charge on an investment of $2.5 million.</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year ended December 31, 2017 was $80.2 million, a decrease of $7.4 million from $87.6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2016. Our effective tax rate was 28.3% in 2017, a significant decrease from 37.1% in 2016. This decrease was primarily due to the adoption of the share-based compensation standard in the first quarter of 2017, which resulted in the recognition of excess tax benefits of $16.5 million from share-based compensation awards that vested or settled in 2017 in the consolidated income statement.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In addition, as a result of the Tax Cuts and Jobs Act (the “Act”) which was signed into law on December 22, 2017, we revalued our deferred tax assets and liabilities due to the reduced corporate federal tax rate. The Act reduces the corporate federal tax rate from a maximum of 35% to a flat 21% rate effective January 1, 2018. The University’s net deferred tax liability was revalued as of December 22, 2017 and the University recorded a $10.7 million income tax benefit related to the revaluation of its deferred tax assets and liabilities. These decreases were slightly offset by a decrease in the contributions made in lieu of state income taxes to school sponsoring organizations. Our contributions decreased from $4.0 million in 2016 to $2.0 million in 2017. Excluding the revaluation of the deferred tax assets and liabilities recorded in 2017, our effective income tax rate would have been 32.1%.</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2017 was $203.3 million, an increase of $54.8 million, as compared to $148.5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2016, due to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year ended December 31, 2016 was $873.3 million, an increase of $95.1 million, or 12.2%,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$778.2 million for the year ended December 31, 2015. This increase was primarily due to an increase in ground and online enrollment and, to a lesser extent, an increase in room and board and other student fees, partially offset by an increase in institutional scholarships. We did not raise tuition in any of our programs for our 2016-17 academic year. A tuition increase of approximately 1% was implemented for the majority of our online programs in September 2015. We have not raised our tuition for our traditional ground program in eight years. End-of-period enrollment increased 9.9% between December 31, 2016 and 2015, as ground enrollment increased 13.6% and online enrollment increased 9.0% over the prior year. The majority of the ground enrollment growth between years was residential students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7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year ended December 31, 2016 were $373.1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$43.4 million, or 13.2%, as compared to instructional costs and services expenses of $329.7 million for the year ended December 31, 2015. This increase was primarily due to increases in instructional compensation and related expenses including share-based compensation, faculty compensation, occupancy and depreciation and amortization, dues, fees, subscriptions and other instructional supplies, bad debt expense and other miscellaneous instructional costs and services of $10.9 million, $8.9 million, $14.2 million, $5.6 million, $2.0 million and $1.8 million, respectively. The increase in employee compensation and related expenses and faculty compensation are primarily due to the increase in the number of staff to support the increasing number of students attending the University, tenure adjustments, and increased benefit costs between years. In addition, we continue to increase our full-time faculty between years. The increase in occupancy, depreciation and amortization is the result of us placing into service additional buildings to support the growing number of ground traditional students.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 increased by 0.3% to 42.7% for the year ended December 31, 2016, as compared to 42.4% for the year ended December 31, 2015 due to an increase in dues, fees, subscriptions and other instructional supplies as a percentage of revenue due to the low profit margin derived on food sales, and occupancy, depreciation and amortization increasing as a percentage of revenue. Bad debt expense stayed flat year over year at 2.1% of net revenue.</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year ended December 31, 2016 were $119.3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$6.7 million, or 6.0%, as compared to admissions advisory and related expenses of $112.6 million for the year ended December 31, 2015. This increase was primarily due to increases in employee compensation and related expenses, partially offset by decreases in other admissions advisory expenses of $7.0 million and $0.3 million, respectively. Employee compensation and related expenses increased as a result of increasing the number of admissions advisors, tenure adjustments, and increasing benefit costs between years. Our admissions advisory and related expenses as a percentage of net revenue decreased by 0.8% to 13.7% for the year ended December 31, 2016, from 14.5% for the year ended December 31, 2015 primarily due to our ability to leverage our admissions advisory personnel across an increasing revenue base.</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Advertising expenses</w:t>
      </w:r>
      <w:r>
        <w:rPr>
          <w:rFonts w:ascii="Arial" w:cs="Arial" w:eastAsia="Arial" w:hAnsi="Arial"/>
          <w:sz w:val="17"/>
          <w:szCs w:val="17"/>
          <w:color w:val="auto"/>
        </w:rPr>
        <w:t>. Our advertising expenses for the year ended December 31, 2016 were $88.2 million, an increase of $12.0 million, or 15.6%,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advertising expenses of $76.2 million for the year ended December 31, 2015. This increase was primarily due to increased digital media and branding advertising. Our advertising expenses as a percentage of net revenue increased by 0.3% to 10.1% for the year ended December 31, 2016, from 9.8% for the year ended December 31, 2015 as we have increased our advertising spend to increase brand awareness.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year ended December 31, 2016 were $8.9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$1.6 million, or 21.6%, as compared to marketing and promotional expenses of $7.3 million for the year ended December 31, 2015. Our marketing and promotional expenses as a percentage of net revenue increased slightly by 0.1% to 1.0% for the year ended December 31, 2016, from 0.9% for the year ended December 31, 2015.</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year ended December 31, 2016 were $43.2 million,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$1.1 million, or 2.7%, as compared to general and administrative expenses of $42.1 million for the year ended December 31, 2015. This increase was primarily due to increases in employee compensation and related expenses including share-based compensation, and contributions to private school tuition organizations in lieu of state income taxes, partially offset by lower legal, audit and insurance costs and other general administrative expenses of $1.0 million, $1.2 million and $1.2 million respectively. During 2016 and 2015 our contributions to private school tuition organizations in lieu of state income taxes were $4.0 million and $2.8 million, respectively. Our general and administrative expenses as a percentage of net revenue decreased by 0.5% to 4.9% for the year ended December 31, 2016, from 5.4% for the year ended December 31, 2015 due to decreased legal costs and our ability to leverage our general and administrative expenses across an increasing revenue base.</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Lease termination costs</w:t>
      </w:r>
      <w:r>
        <w:rPr>
          <w:rFonts w:ascii="Arial" w:cs="Arial" w:eastAsia="Arial" w:hAnsi="Arial"/>
          <w:sz w:val="18"/>
          <w:szCs w:val="18"/>
          <w:color w:val="auto"/>
        </w:rPr>
        <w:t>. In July 2016, we notified a current landlord of our intent to vacate leased space by the fourth quarter of 2016. As a result, we</w:t>
      </w:r>
      <w:r>
        <w:rPr>
          <w:rFonts w:ascii="Arial" w:cs="Arial" w:eastAsia="Arial" w:hAnsi="Arial"/>
          <w:sz w:val="18"/>
          <w:szCs w:val="18"/>
          <w:i w:val="1"/>
          <w:iCs w:val="1"/>
          <w:color w:val="auto"/>
        </w:rPr>
        <w:t xml:space="preserve"> </w:t>
      </w:r>
      <w:r>
        <w:rPr>
          <w:rFonts w:ascii="Arial" w:cs="Arial" w:eastAsia="Arial" w:hAnsi="Arial"/>
          <w:sz w:val="18"/>
          <w:szCs w:val="18"/>
          <w:color w:val="auto"/>
        </w:rPr>
        <w:t>were required to pay a termination fee to terminate the lease resulting in $3.4 million of expense in the third quarter of 2016. Additionally in the fourth quarter of 2016, we completed our relocation of our employees to the new buildings and as a result expensed $0.1 million related to impaired assets from lease space no longer occupied by our employees.</w:t>
      </w:r>
    </w:p>
    <w:p>
      <w:pPr>
        <w:spacing w:after="0" w:line="18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2016 was $1.3 million, an increase of $0.1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$1.2 million for the year ended December 31, 2015. Our interest expense stayed flat as a percentage of net revenue at 0.2% for the years ended December 31, 2016 and 2015.</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Interest income and other</w:t>
      </w:r>
      <w:r>
        <w:rPr>
          <w:rFonts w:ascii="Arial" w:cs="Arial" w:eastAsia="Arial" w:hAnsi="Arial"/>
          <w:sz w:val="18"/>
          <w:szCs w:val="18"/>
          <w:color w:val="auto"/>
        </w:rPr>
        <w:t>. Our interest income and other for the year ended December 31, 2016 was a gain of $0.2 million, an increase of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interest income and other loss of $0.1 million for the year ended December 31, 2015. The increase was primarily due to higher investment returns.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2016 was $87.6 million, an increase of $10.0 million from $77.6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2015. This increase was primarily attributable to increased income before income taxes. Our effective tax rate was 37.1% for both of the years ended December 31, 2016 and 2015. The tax rate for both periods is less than the annual effective tax rates due to the contributions made in lieu of state income taxes in the third quarter of both years.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2016 was $148.5 million, an increase of $17.1 million, as compared to $131.4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2015,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21"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During 2017, we financed our operating activities and capital expenditures primarily through cash provided by operating activities. Our</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cash, cash equivalents and investments were $242.7 million at December 31, 2017 and our restricted cash and cash equivalents were</w:t>
      </w:r>
    </w:p>
    <w:p>
      <w:pPr>
        <w:ind w:right="80"/>
        <w:spacing w:after="0" w:line="253" w:lineRule="auto"/>
        <w:rPr>
          <w:sz w:val="20"/>
          <w:szCs w:val="20"/>
          <w:color w:val="auto"/>
        </w:rPr>
      </w:pPr>
      <w:r>
        <w:rPr>
          <w:rFonts w:ascii="Arial" w:cs="Arial" w:eastAsia="Arial" w:hAnsi="Arial"/>
          <w:sz w:val="18"/>
          <w:szCs w:val="18"/>
          <w:color w:val="auto"/>
        </w:rPr>
        <w:t>$94.5 million. In December 2012, we entered into a new credit agreement, which increased our term loan to $100 million with a maturity date of December 2019. Additionally, this facility, as amended in January 2016, provided a revolving line of credit in the amount of $150 million through December 2017 to be utilized for working capital, capital expenditures and other general corporate purposes. Indebtedness under the credit facility is secured by our assets and is guaranteed by certain of our subsidiaries. We did not renew our revolving line of credit at December 31, 2017 as we do not need this additional liquidity at this time.</w:t>
      </w:r>
    </w:p>
    <w:p>
      <w:pPr>
        <w:spacing w:after="0" w:line="19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$175.0 million in aggregate of common stock, from time to time, depending on market conditions and other considerations. The current expiration date on the repurchase authorization by our Board of Directors is December 31, 2018. Repurchases occur at the University’s discretion.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right="600" w:firstLine="456"/>
        <w:spacing w:after="0" w:line="286" w:lineRule="auto"/>
        <w:rPr>
          <w:sz w:val="20"/>
          <w:szCs w:val="20"/>
          <w:color w:val="auto"/>
        </w:rPr>
      </w:pPr>
      <w:r>
        <w:rPr>
          <w:rFonts w:ascii="Arial" w:cs="Arial" w:eastAsia="Arial" w:hAnsi="Arial"/>
          <w:sz w:val="17"/>
          <w:szCs w:val="17"/>
          <w:color w:val="auto"/>
        </w:rPr>
        <w:t>Since the approval of the initial share repurchase plan, the University has purchased 3.5 million shares of common stock at an aggregate cost of $77.3 million, which includes 17,230 shares of common stock at an aggregate cost of $1.5 million during the year ended December 31, 2017. At December 31, 2017, there remains $97.7 million available under our current share repurchase authorization.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years ended December 31, 2017, 2016 and 2015 was $304.9 million,</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$237.8 million and $185.1 million, respectively. Cash provided by operations in 2017, 2016 and 2015 resulted from our increased net income plus non-cash charges for provision for bad debts, depreciation and amortization, timing of income tax and employee related payments and student deposits and changes in other working capital.</w:t>
      </w:r>
    </w:p>
    <w:p>
      <w:pPr>
        <w:spacing w:after="0" w:line="19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$152.1 million, $216.0 million, and $200.9 million for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2017, 2016, and 2015, respectively. Our cash used in investing activities is primarily related to the purchase of short-term investments and capital expenditures, partially offset by proceeds from the sale or maturity of short-term investments. Purchases of short-term investments, net of proceeds of these investments, was $28.8 million for the year ended December 31, 2017. Proceeds from investment, net of purchases of short-term investments, was</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$20.8 million and $17.4 million during the years ended December 31, 2016 and 2015, respectively. Capital expenditures were $113.6 million, $178.3 million and $204.7 million for the years ended December 31, 2017, 2016, and 2015, respectively. In 2017, capital expenditures primarily consisted of the construction of an additional dormitory, other ground campus building projects and land acquisitions adjacent to our campus to support our growing traditional student enrollment, as well as purchases of computer equipment, other internal use software projects and furniture and equipment to support our increasing employee headcount. Included in off-site development for 2017 is $10.4 million we spent to finish the off-site student services center and parking garage that is in close proximity to our ground traditional campus. Employees that worked in two leased office buildings in the Phoenix area were relocated to this new building by the end of 2016. In 2016, capital expenditures primarily consisted of ground campus building projects that started in late 2015 such as three more apartment style residence halls, a 170,000 square foot classroom building for our College of Science, Engineering and Technology, a student service center, and a fourth parking structure, as well as land purchases adjacent to or near our Phoenix campus, and purchases of computer equipment, other internal use software projects and furniture and equipment to support our increasing employee headcount. Included in off-site development during 2016 is $60.7 million primarily related to an off-site student services center and parking garage that is in close proximity to our ground traditional campus. In 2015, in order to accommodate the continued growth of our traditional ground population, we completed four additional dormitories, a classroom building for our College of Science, Engineering and Technology, and a third parking structure prior to the 2015/2016 school year and started construction on all the construction projects completed in 2016, as well as land purchases adjacent to or near our Phoenix campus, and purchases of computer equipment, other internal use software projects and furniture and equipment to support our increasing employee headcount. Included in off-site development during 2015 is $10.0 million we spent to revitalize what was formerly known as the Maryvale Golf Course under a partnership agreement with the City of Phoenix. The golf course is now known</w:t>
      </w:r>
    </w:p>
    <w:p>
      <w:pPr>
        <w:sectPr>
          <w:pgSz w:w="11900" w:h="16838" w:orient="portrait"/>
          <w:cols w:equalWidth="0" w:num="1">
            <w:col w:w="11400"/>
          </w:cols>
          <w:pgMar w:left="240" w:top="459" w:right="259" w:bottom="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as Grand Canyon University Championship golf course. Also, in late 2015, we commenced construction on the off-site office building and parking garage that is in close proximity to our ground traditional campus.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240" w:top="125" w:right="5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used in financing activities was $35.7 million for the year ended December 31, 2017. Net cash provided by financing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activities was $10.7 million for the year ended December 31, 2016. Net cash used in financing activities was $18.9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During 2017, $25.0 million was used to repay our revolving line of credit, $1.5 million was used to purchase treasury stock in accordance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University’s share repurchase program and $9.8 million was used to purchase common shares withheld in lieu of income taxes resulting from restricted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awards while principal payments on notes payable and capital leases totaled $6.8 million, partially offset by proceeds from the exercise of stock options of</w:t>
      </w:r>
    </w:p>
    <w:p>
      <w:pPr>
        <w:spacing w:after="0" w:line="3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$7.4 million.</w:t>
      </w:r>
      <w:r>
        <w:rPr>
          <w:sz w:val="20"/>
          <w:szCs w:val="20"/>
          <w:color w:val="auto"/>
        </w:rPr>
        <w:tab/>
      </w:r>
      <w:r>
        <w:rPr>
          <w:rFonts w:ascii="Arial" w:cs="Arial" w:eastAsia="Arial" w:hAnsi="Arial"/>
          <w:sz w:val="16"/>
          <w:szCs w:val="16"/>
          <w:color w:val="auto"/>
        </w:rPr>
        <w:t>During 2016, net cash provided by financing activities consisted of net proceeds received from the revolving line of credit of $25.0 million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exercise of stock options of $13.2 million, partially offset by $15.4 million used to purchase treasury stock in accordance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University’s share repurchase program and $4.7 million used to purchase common shares withheld in lieu of income taxes resulting from restricted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awards and principal payments on notes payable, repayments on our notes payable and capital lease payments totaled $7.2 million. During 2015,</w:t>
      </w:r>
    </w:p>
    <w:p>
      <w:pPr>
        <w:spacing w:after="0" w:line="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$11.3 million was used to purchase treasury stock in accordance with the University’s share repurchase program and $4.3 million was used to purchase common shares withheld in lieu of income taxes resulting from restricted share awards while principal payments on notes payable and capital leases totaled $6.8 million, partially offset by proceeds from the exercise of stock options of $3.5 million.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sets forth, as of December 31, 2017,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4"/>
              </w:rPr>
              <w:t>Payments Due by Period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240" w:type="dxa"/>
            <w:vAlign w:val="bottom"/>
          </w:tcPr>
          <w:p>
            <w:pPr>
              <w:spacing w:after="0"/>
              <w:rPr>
                <w:sz w:val="10"/>
                <w:szCs w:val="10"/>
                <w:color w:val="auto"/>
              </w:rPr>
            </w:pPr>
          </w:p>
        </w:tc>
        <w:tc>
          <w:tcPr>
            <w:tcW w:w="10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86"/>
              </w:rPr>
              <w:t>4-5 Years</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r>
              <w:rPr>
                <w:rFonts w:ascii="Arial" w:cs="Arial" w:eastAsia="Arial" w:hAnsi="Arial"/>
                <w:sz w:val="15"/>
                <w:szCs w:val="15"/>
                <w:color w:val="auto"/>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40" w:hanging="452"/>
        <w:spacing w:after="0" w:line="25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See Note 6, “Notes Payable and Other Noncurrent Liabilities,” to our consolidated financial statements, included in Item 8,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for a discussion of our long term notes payable and other obligations.</w:t>
      </w:r>
    </w:p>
    <w:p>
      <w:pPr>
        <w:spacing w:after="0" w:line="1"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unconditional purchase obligations and other obligations. Amount consists primarily of construction agreements for construction in progress on our ground traditional campus.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See Note 7, “Commitments and Contingencies,”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operating lease obligations.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8"/>
          <w:szCs w:val="18"/>
          <w:i w:val="1"/>
          <w:iCs w:val="1"/>
          <w:color w:val="auto"/>
        </w:rPr>
        <w:t>Selected Consolidated Financial and Other Data,</w:t>
      </w:r>
      <w:r>
        <w:rPr>
          <w:rFonts w:ascii="Arial" w:cs="Arial" w:eastAsia="Arial" w:hAnsi="Arial"/>
          <w:sz w:val="18"/>
          <w:szCs w:val="18"/>
          <w:color w:val="auto"/>
        </w:rPr>
        <w:t xml:space="preserve"> for a discussion of our Adjusted EBITDA computation and reconciliation.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Summary of Significant Accounting Policies, in Item 8, Consolidated Financial Statements and Supplementary Data</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years ended December 31, 2017, 2016,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There can be no assurance that future inflation will not have an adverse impact on our operating results and financial condition.</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30-day LIBOR interest exposure from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matures in December 2019. The corridor instrument, which hedges variable interest rate risk starting March 1, 2013 through December 20, 2019 with a notional amount of $66.7 million as of December 31, 2017, permits us to hedge our interest rate risk at several thresholds. Under this arrangement, in addition to the credit spread, we will pay variable interest rates based on the 30-day LIBOR rates monthly until that index reaches 1.5%. If 30-day LIBOR is equal to 1.5% through 3.0%, we will continue to pay 1.5%. If the 30-day LIBOR exceeds 3.0%, we will pay actual 30-day LIBOR less 1.5%.</w:t>
      </w:r>
    </w:p>
    <w:p>
      <w:pPr>
        <w:spacing w:after="0" w:line="1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municipal bond portfolios, or municipal mutual funds at multiple financial institutions.</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 cash equivalents, BBB or higher</w:t>
      </w:r>
      <w:r>
        <w:rPr>
          <w:rFonts w:ascii="Arial" w:cs="Arial" w:eastAsia="Arial" w:hAnsi="Arial"/>
          <w:sz w:val="17"/>
          <w:szCs w:val="17"/>
          <w:i w:val="1"/>
          <w:iCs w:val="1"/>
          <w:color w:val="auto"/>
        </w:rPr>
        <w:t xml:space="preserve"> </w:t>
      </w:r>
      <w:r>
        <w:rPr>
          <w:rFonts w:ascii="Arial" w:cs="Arial" w:eastAsia="Arial" w:hAnsi="Arial"/>
          <w:sz w:val="17"/>
          <w:szCs w:val="17"/>
          <w:color w:val="auto"/>
        </w:rPr>
        <w:t>rated 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2017, a 10% increase or decrease in interest rates would not have a material impact on our future earnings, fair values, or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gridSpan w:val="8"/>
          </w:tcPr>
          <w:p>
            <w:pPr>
              <w:ind w:left="24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60" w:type="dxa"/>
            <w:vAlign w:val="bottom"/>
            <w:gridSpan w:val="9"/>
            <w:vMerge w:val="restart"/>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9"/>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Balance Sheets as of December 31, 2017 and 2016</w:t>
              </w:r>
            </w:hyperlink>
          </w:p>
        </w:tc>
        <w:tc>
          <w:tcPr>
            <w:tcW w:w="640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1106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Income Statements for the years ended December 31, 2017, 2016 and 2015</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Income for the years ended December 31, 2017, 2016 and 2015</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7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Stockholders’ Equity for the years ended December 31, 2017, 2016 and 2015</w:t>
              </w:r>
            </w:hyperlink>
          </w:p>
        </w:tc>
        <w:tc>
          <w:tcPr>
            <w:tcW w:w="1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1106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2017, 2016 and 2015</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24"/>
                <w:szCs w:val="24"/>
                <w:color w:val="auto"/>
              </w:rPr>
            </w:pPr>
          </w:p>
        </w:tc>
        <w:tc>
          <w:tcPr>
            <w:tcW w:w="410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5660" w:type="dxa"/>
            <w:vAlign w:val="bottom"/>
            <w:gridSpan w:val="4"/>
          </w:tcPr>
          <w:p>
            <w:pPr>
              <w:jc w:val="right"/>
              <w:ind w:right="660"/>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Grand Canyon Education, Inc. and subsidiaries (the “Company”) as of December 31, 2017 and 2016, the related consolidated statements of income, comprehensive income, stockholders’ equity, and cash flows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21, 2018, expressed an unqualified opinion on the effectiveness of the Company’s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discussed in Note 2 to the consolidated financial statements, the Company has elected to change its method of accounting for restricted cash in 2017, 2016, and 2015 due to the adoption of Accounting Standards Update 2016-18, Restricted Cash. In addition, as discussed in Note 2 to the consolidated financial statements, the Company has elected to change its method of accounting for the tax benefits associated with equity compensation in 2017 due to the adoption of Accounting Standards Update 2016-09, Improvements to Employee Share-Based Payment Accounting.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00" w:type="dxa"/>
            <w:vAlign w:val="bottom"/>
          </w:tcPr>
          <w:p>
            <w:pPr>
              <w:spacing w:after="0"/>
              <w:rPr>
                <w:sz w:val="14"/>
                <w:szCs w:val="14"/>
                <w:color w:val="auto"/>
              </w:rPr>
            </w:pPr>
          </w:p>
        </w:tc>
        <w:tc>
          <w:tcPr>
            <w:tcW w:w="19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9"/>
        </w:trPr>
        <w:tc>
          <w:tcPr>
            <w:tcW w:w="93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7360" w:type="dxa"/>
            <w:vAlign w:val="bottom"/>
            <w:tcBorders>
              <w:top w:val="single" w:sz="8" w:color="CCEEFF"/>
            </w:tcBorders>
            <w:shd w:val="clear" w:color="auto" w:fill="CCEEFF"/>
          </w:tcPr>
          <w:p>
            <w:pPr>
              <w:ind w:left="3320"/>
              <w:spacing w:after="0" w:line="189"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153,474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94,534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89,271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10,908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24,589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922,284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855,528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3"/>
        </w:trPr>
        <w:tc>
          <w:tcPr>
            <w:tcW w:w="93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1,303,573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1,092,493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29,139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23,173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46,895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31,636</w:t>
            </w:r>
          </w:p>
        </w:tc>
        <w:tc>
          <w:tcPr>
            <w:tcW w:w="0" w:type="dxa"/>
            <w:vAlign w:val="bottom"/>
          </w:tcPr>
          <w:p>
            <w:pPr>
              <w:spacing w:after="0"/>
              <w:rPr>
                <w:sz w:val="1"/>
                <w:szCs w:val="1"/>
                <w:color w:val="auto"/>
              </w:rPr>
            </w:pPr>
          </w:p>
        </w:tc>
      </w:tr>
      <w:tr>
        <w:trPr>
          <w:trHeight w:val="223"/>
        </w:trPr>
        <w:tc>
          <w:tcPr>
            <w:tcW w:w="934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18,362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59,925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66,616</w:t>
            </w:r>
          </w:p>
        </w:tc>
        <w:tc>
          <w:tcPr>
            <w:tcW w:w="0" w:type="dxa"/>
            <w:vAlign w:val="bottom"/>
          </w:tcPr>
          <w:p>
            <w:pPr>
              <w:spacing w:after="0"/>
              <w:rPr>
                <w:sz w:val="1"/>
                <w:szCs w:val="1"/>
                <w:color w:val="auto"/>
              </w:rPr>
            </w:pPr>
          </w:p>
        </w:tc>
      </w:tr>
      <w:tr>
        <w:trPr>
          <w:trHeight w:val="230"/>
        </w:trPr>
        <w:tc>
          <w:tcPr>
            <w:tcW w:w="93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Preferred stock, $0.01 par value, 10,000 shares authorized; 0 shares issued and outstanding at December 31, 2017 and 2016</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gridSpan w:val="2"/>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52,277 and 51,509 shares issued and 48,125 and 47,559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gridSpan w:val="2"/>
          </w:tcPr>
          <w:p>
            <w:pPr>
              <w:ind w:left="160"/>
              <w:spacing w:after="0"/>
              <w:rPr>
                <w:sz w:val="20"/>
                <w:szCs w:val="20"/>
                <w:color w:val="auto"/>
              </w:rPr>
            </w:pPr>
            <w:r>
              <w:rPr>
                <w:rFonts w:ascii="Arial" w:cs="Arial" w:eastAsia="Arial" w:hAnsi="Arial"/>
                <w:sz w:val="18"/>
                <w:szCs w:val="18"/>
                <w:color w:val="auto"/>
              </w:rPr>
              <w:t>outstanding at December 31, 2017 and 2016, respectively</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4,152 and 3,950 shares of common stock at December 31, 2017 and 2016, respectively</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(100,694)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232,670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854,176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985,951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773,686</w:t>
            </w:r>
          </w:p>
        </w:tc>
        <w:tc>
          <w:tcPr>
            <w:tcW w:w="0" w:type="dxa"/>
            <w:vAlign w:val="bottom"/>
          </w:tcPr>
          <w:p>
            <w:pPr>
              <w:spacing w:after="0"/>
              <w:rPr>
                <w:sz w:val="1"/>
                <w:szCs w:val="1"/>
                <w:color w:val="auto"/>
              </w:rPr>
            </w:pPr>
          </w:p>
        </w:tc>
      </w:tr>
      <w:tr>
        <w:trPr>
          <w:trHeight w:val="223"/>
        </w:trPr>
        <w:tc>
          <w:tcPr>
            <w:tcW w:w="93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1,303,573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1,092,493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4"/>
                <w:szCs w:val="14"/>
                <w:color w:val="auto"/>
              </w:rPr>
            </w:pPr>
          </w:p>
        </w:tc>
        <w:tc>
          <w:tcPr>
            <w:tcW w:w="272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860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Net revenue</w:t>
            </w:r>
          </w:p>
        </w:tc>
        <w:tc>
          <w:tcPr>
            <w:tcW w:w="6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974,134</w:t>
            </w: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873,344</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778,200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410,840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373,101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329,651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Admissions advisory and related</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128,544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119,286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Marketing and promotional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9,629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Lease termination costs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691,380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636,141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567,839</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282,754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237,203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210,361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283,528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236,124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203,319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148,514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131,411</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48,235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6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8660" w:type="dxa"/>
            <w:vAlign w:val="bottom"/>
            <w:gridSpan w:val="3"/>
            <w:vMerge w:val="continue"/>
          </w:tcPr>
          <w:p>
            <w:pPr>
              <w:spacing w:after="0"/>
              <w:rPr>
                <w:sz w:val="14"/>
                <w:szCs w:val="14"/>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Net income</w:t>
            </w:r>
          </w:p>
        </w:tc>
        <w:tc>
          <w:tcPr>
            <w:tcW w:w="77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$203,319</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$148,514</w:t>
            </w:r>
          </w:p>
        </w:tc>
        <w:tc>
          <w:tcPr>
            <w:tcW w:w="3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4"/>
              </w:rPr>
              <w:t>$ 131,411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Unrealized gains (losses) on hedging derivatives, net of taxes of $6, $94, and $230 for the years ended</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December 31, 2017, 2016 and 2015, respectively</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Unrealized gains (losses) on available for sale securities, net of taxes of $108, $168 and $50 for the years ended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gridSpan w:val="2"/>
          </w:tcPr>
          <w:p>
            <w:pPr>
              <w:ind w:left="520"/>
              <w:spacing w:after="0"/>
              <w:rPr>
                <w:sz w:val="20"/>
                <w:szCs w:val="20"/>
                <w:color w:val="auto"/>
              </w:rPr>
            </w:pPr>
            <w:r>
              <w:rPr>
                <w:rFonts w:ascii="Arial" w:cs="Arial" w:eastAsia="Arial" w:hAnsi="Arial"/>
                <w:sz w:val="18"/>
                <w:szCs w:val="18"/>
                <w:color w:val="auto"/>
              </w:rPr>
              <w:t>December 31, 2017, 2016 and 2015, respectively</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(270)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7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203,505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148,093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0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vMerge w:val="restart"/>
          </w:tcPr>
          <w:p>
            <w:pPr>
              <w:spacing w:after="0"/>
              <w:rPr>
                <w:sz w:val="14"/>
                <w:szCs w:val="14"/>
                <w:color w:val="auto"/>
              </w:rPr>
            </w:pPr>
          </w:p>
        </w:tc>
        <w:tc>
          <w:tcPr>
            <w:tcW w:w="14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300" w:type="dxa"/>
            <w:vAlign w:val="bottom"/>
            <w:tcBorders>
              <w:bottom w:val="single" w:sz="8" w:color="auto"/>
            </w:tcBorders>
            <w:gridSpan w:val="5"/>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460" w:type="dxa"/>
            <w:vAlign w:val="bottom"/>
            <w:tcBorders>
              <w:bottom w:val="single" w:sz="8" w:color="auto"/>
            </w:tcBorders>
            <w:gridSpan w:val="5"/>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0"/>
                <w:szCs w:val="10"/>
                <w:color w:val="auto"/>
              </w:rPr>
            </w:pPr>
          </w:p>
        </w:tc>
        <w:tc>
          <w:tcPr>
            <w:tcW w:w="7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0"/>
                <w:szCs w:val="10"/>
                <w:color w:val="auto"/>
              </w:rPr>
            </w:pP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12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9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Retained</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49,746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497</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3,002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(53,770)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$158,549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$370,991</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$476,232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(454)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131,411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(11,279)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324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(4,283)</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218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50,288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503</w:t>
            </w:r>
          </w:p>
        </w:tc>
        <w:tc>
          <w:tcPr>
            <w:tcW w:w="240" w:type="dxa"/>
            <w:vAlign w:val="bottom"/>
          </w:tcPr>
          <w:p>
            <w:pPr>
              <w:spacing w:after="0"/>
              <w:rPr>
                <w:sz w:val="19"/>
                <w:szCs w:val="19"/>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4"/>
              </w:rPr>
              <w:t>3,411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(69,332)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502,402</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148,514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(15,367)</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275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(4,695)</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946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Excess tax benefits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9,921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51,509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515</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3,950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(89,394)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212,559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650,916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Arial" w:cs="Arial" w:eastAsia="Arial" w:hAnsi="Arial"/>
                <w:sz w:val="18"/>
                <w:szCs w:val="18"/>
                <w:color w:val="auto"/>
              </w:rPr>
              <w:t>Cumulative effect from the adoption of accounting</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pronouncements, net of taxes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186</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203,319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192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576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52,277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523</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4,152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(100,694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232,670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854,176</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985,951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90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844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Cash flows</w:t>
            </w:r>
          </w:p>
        </w:tc>
        <w:tc>
          <w:tcPr>
            <w:tcW w:w="75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provided by operating activities:</w:t>
            </w: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203,319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148,514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12,688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12,276</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54,228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45,683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Other, including fixed asset impairments</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(19,848)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(20,598)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700"/>
              <w:spacing w:after="0"/>
              <w:rPr>
                <w:sz w:val="20"/>
                <w:szCs w:val="20"/>
                <w:color w:val="auto"/>
              </w:rPr>
            </w:pPr>
            <w:r>
              <w:rPr>
                <w:rFonts w:ascii="Arial" w:cs="Arial" w:eastAsia="Arial" w:hAnsi="Arial"/>
                <w:sz w:val="18"/>
                <w:szCs w:val="18"/>
                <w:color w:val="auto"/>
              </w:rPr>
              <w:t>Income taxes receivable/payable</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16,048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Student deposits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304,898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237,761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185,080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(113,586)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(178,292)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(204,718)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land, building and golf course improvements related to off-site development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Return of equity method investment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Purchases of investments</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(94,054)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(49,157)</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65,542</w:t>
            </w:r>
          </w:p>
        </w:tc>
        <w:tc>
          <w:tcPr>
            <w:tcW w:w="0" w:type="dxa"/>
            <w:vAlign w:val="bottom"/>
          </w:tcPr>
          <w:p>
            <w:pPr>
              <w:spacing w:after="0"/>
              <w:rPr>
                <w:sz w:val="1"/>
                <w:szCs w:val="1"/>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(152,064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(216,001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(200,881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(7,224)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Net borrowings from revolving line of credit</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13,207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117,101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32,487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beginning of year</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130,907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98,420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133,078</w:t>
            </w:r>
          </w:p>
        </w:tc>
        <w:tc>
          <w:tcPr>
            <w:tcW w:w="0" w:type="dxa"/>
            <w:vAlign w:val="bottom"/>
          </w:tcPr>
          <w:p>
            <w:pPr>
              <w:spacing w:after="0"/>
              <w:rPr>
                <w:sz w:val="1"/>
                <w:szCs w:val="1"/>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and restricted cash,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248,008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130,907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Cash paid during the year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during the year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Purchases of equipment though capital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Grand Canyon Education, Inc. (together with its subsidiaries, the “University”) was formed in Delaware in November 2003 as a limited liability company, under the name Significant Education, LLC, for the purpose of acquiring the assets of Grand Canyon University from a non-profit foundation on February 2, 2004. On August 24, 2005, the University converted from a limited liability company to a corporation and changed its name to Significant Education, Inc. On May 9, 2008, the University changed its name to Grand Canyon Education, Inc.</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University is a comprehensive regionally accredited university that offers over 225 graduate and undergraduate degree programs, emphases and certificates across nine colleges both online and on ground at our over 275 acre campus in Phoenix, Arizona, at leased facilities and at facilities owned by third party employers. Our undergraduate programs are designed to be innovative and to meet the future needs of employers, while providing students with the needed critical thinking and effective communication skills developed through a Christian, liberal arts foundation. We offer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 owned subsidiaries are primarily used to facilitate expansion of the University campus.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Grand Canyon Education, Inc. and its wholly 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University invests a portion of its cash in excess of current operating requirements in short term certificates of deposit and money market instruments. The University considers all highly liquid investments with maturities of three months or less at the time of purchase to be cash equivalents.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 significant portion of the University’s revenue is received from students who participate in government financial aid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and cash equivalents. The majority of these funds remain as restricted for an average of 60 to 90 days from the date of receipt.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University considers its investments in municipal bond, mutual funds, municipal securities and certificates of deposit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Internally developed software represents qualifying salary and consulting costs for time spent on developing internal use software and is included in construction in progress until its completion. The University capitalizes interest using its interest rates on the specific borrowings used to finance the improvements, which approximated 2.8% in 2017, 2.2% in 2016, and 1.9% in 2015. Interest cost capitalized and incurred in the years ended December 31, 2017, 2016, and 2015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2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2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$2,656</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$2,538</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$1,962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capitalized</w:t>
            </w:r>
          </w:p>
        </w:tc>
        <w:tc>
          <w:tcPr>
            <w:tcW w:w="2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University enters into various lease agreements in conducting its business. At the inception of each lease, the University evaluates the lease agreement to determine whether the lease is an operating or capital lease. In addition, many of the lease agreements contain renewal options and tenant improvement allowances. When such items are included in a lease agreement, the University records a deferred liability on the balance sheet and records the rent expense evenly over the term of the lease. Leasehold improvements are included as investing activities and are included as additions to property, plant and equipment. For leases with renewal options, the University records rent expense and amortizes the leasehold improvement on a straight-line basis over the initial non-cancelable lease term unless it intends to exercise the renewal option. Once it extends the renewal option, the University amortizes any tenant improvement allowances over the extended lease period as well as the leasehold improvement asset (unless the extended lease term is longer than the economic life of the asset). The University expenses any additional payments under its operating leases for taxes, insurance or other operating expenses as incurred.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University developed our online delivery platform with an affiliated entity and put this platform into full production in 2011. The University has prepaid perpetual license fees and source code rights for the software developed, and has prepaid maintenance and service fees. Included in current other assets is the amount that will be amortized in the next twelve month cycle for maintenance and service fees and included in property and equipment is the amount that will be amortized over fifteen years for the perpetual licenses.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University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Royalties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connection with the February 2004 acquisition of the assets of Grand Canyon University from a non-profit foundation, the University entered into a royalty fee arrangement with the former owner in which the University agreed to pay a stated percentage of cash revenue generated by its online programs. The University settled all future royalty obligations with the former owner in April 2008 when it finalized an agreement to pay $22,500 to the former owner. Of this payment $5,920 was considered as settlement of the future royalty payment obligation and is included in the accompanying balance sheet as a component of “Prepaid Royalty” and is being amortized over a period of 20 years.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Goodwill represents the excess of the cost over the fair market value of net assets acquired, including identified intangible assets. Goodwill is tested annually or more frequently if circumstances indicate potential impairment. The Financial Accounting Standards Board (“FASB”) has issued guidance that permits an entity to first assess qualitative factors to determine whether it is necessary to perform the two-step quantitative goodwill impairment test. The University performed its annual goodwill impairment test, by performing a qualitative assessment. Following this assessment, the University determined that it is more likely than not that its fair value exceeds its carrying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University measures and recognizes compensation expense for share-based payment awards made to employees and directors. The fair value of the University’s restricted stock awards is based on the market price of its common stock on the date of grant. Stock-based compensation expense related to restricted stock grants is expensed over the vesting period using the straight-line method for University employees and the University’s board of directors. Starting January 1, 2017 with the adoption of the share-based compensation accounting standard, the University made an accounting policy election to account for forfeitures as they occur, prior to 2017 these forfeitures were estimated and reported net of the expense. See Note 2, Accounting Pronouncements Adopted in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carrying value of cash and cash equivalents, accounts receivable, note receivable, accounts payable, accrued compensation and benefits and accrued liabilities approximate their fair value based on the liquidity or the short-term maturities of these instruments. The carrying value of notes payable approximate fair value based on its variable rate index. The carrying value of notes payable approximate fair value based upon market interest rates available to the University for debt of similar risk and maturities.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 See Note 8, Derivative Instruments.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fair value of investments, primarily municipal securities, were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University accounts for income taxes payable or refundable for the current year and deferred tax assets and liabilities for future tax consequences of events that have been recognized in the University’s consolidated financial statements or tax returns. Deferred tax assets and liabilities are measured using enacted tax rates in effect for the year in which the temporary differences are expected to be realized.</w:t>
      </w:r>
    </w:p>
    <w:p>
      <w:pPr>
        <w:spacing w:after="0" w:line="18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University applies a more-likely-than-not threshold for financial statement recognition and measurement of an uncertain tax position taken or expected to be taken in a tax return. The University recognizes interest and penalties related to uncertain tax positions in income tax expense. As of December 31, 2017 and 2016, the University has reserved approximately $2,008 and $1,981, respectively, for uncertain tax positions, including interest and penalties, which is classified within accrued liabilities on the accompanying consolidated balance sheet.</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University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University accrues for a contingent obligation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at its over 275 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years ended December 31, 2017, 2016 and 2015, the University’s revenue was reduced by approximately $196,334, $179,230 and $163,893,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to Title IV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our consolidated balance sheet.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consolidated income statement and are reflected as current liabilities in the accompanying consolidated balance sheets.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and the aging of the accounts receivable and student status. The University applies reserves to its receivables based upon an estimate of the risk presented by the age of the receivables and student status. The University writes off accounts receivable balances of active students at the earlier of the time the balances were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General and administrative expenses include salaries, and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termination costs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July 2016, the University notified a current landlord of its intent to vacate leased space by the end of the fourth quarter of 2016. As part of that notification, the University was required to pay a termination fee to its landlord of $3,363 which was recorded as an expense in the third quarter of 2016. As of December 31, 2016, the University had vacated the space, and expensed an additional $160 in the fourth quarter of 2016 related to the remaining amounts due under the lease net of remaining deferred rent.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University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University’s loss exposure related to self-insurance is limited by stop loss coverage on a per occurrence and aggregate basis. The University regularly analyzes its reserves for incurred but not reported claims, and for reported but not paid claims related to self-funded insurance programs. While the University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University believes the credit risk related to cash equivalents and investments is limited due to its adherence to an investment policy that required investments to have a minimum BBB rating, depending on the type of security, by one major rating agency at the time of purchase. All of the University’s cash equivalents and investments as of December 31, 2017 and 2016 consist of investments rated BBB or higher by at least one rating agency. Additionally, the University utilizes more than one financial institution to conduct initial and ongoing credit analysis on its investment portfolio to monitor and lower the potential impact of market risk associated with its cash equivalents and investment portfolio.</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majority of the University’s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University’s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University.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 in 2017</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March 2016, the FASB issued “Compensation – Stock Compensation: Improvement to Employee Share-Based Payment Accounting,” to simplify certain aspects of the accounting for share-based payment transactions to employees. The new standard requires excess tax benefits and tax deficiencies to be recorded in the consolidated statements of income as a component of the provision for income taxes when stock awards vest or options are exercised. In addition, it eliminates the requirement to reclassify cash flows related to excess tax benefits from operating activities to financing activities on the consolidated statements of cash flows. The standard also provides an accounting policy election to account for forfeitures as they occur, allows us to withhold more of an employee’s vesting shares for tax withholding purposes without triggering liability accounting, and clarifies that all cash payments made to tax authorities on an employee’s behalf for withheld shares should be presented as a financing activity on our consolidated cash flows statement.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University adopted the new guidance in the first quarter of 2017 which required us to reflect any adjustments as of January 1, 2017. Upon adoption, excess tax benefits or deficiencies from share-based awards or options are now reflected in the consolidated statement of income as a component of the provision for income taxes, whereas previously they were recognized in equity. The University elected to account for forfeitures as they occur, rather than estimate expected forfeitures. The net cumulative effect of this change increased additional paid-in capital and decreased retained earnings as of January 1, 2017 by $59, net of tax. The University did not have any previously unrecognized excess tax effects that had not been recorded as a reduction to tax liability.</w:t>
      </w:r>
    </w:p>
    <w:p>
      <w:pPr>
        <w:spacing w:after="0" w:line="15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University adopted the provisions of the standard impacting the cash flow presentation retrospectively, and accordingly, to conform to the current period presentation, we reclassified $9,928 and $3,636 of excess tax benefits which had been included as a financing activity to an operating activity for the years ended December 31, 2016 and 2015, respectively, in our consolidated statement of cash flows. The presentation requirement for cash flows related to employee taxes paid for withheld shares had no impact on our consolidated statement of cash flows since such cash flows have historically been presented as a financing activity.</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Adoption of the provision of the new standard related to income taxes was adopted prospectively and resulted in a reduction to our provision for income taxes of $16,511 for the year ended December 31, 2017, due to the recognition of excess tax benefits from restricted stock awards that vested or stock options that were exercised in 2017. Our restricted stock awards vest in March each year so the excess tax benefits and deficiencies is greatest in the first quarter each year.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August 2016, the FASB issued a new standard that clarifies how certain cash receipts and cash payments are presented and classified in the consolidated statement of cash flows. The University elected to early adopt this guidance in the first quarter of 2017 on a retrospective basis. There was no reclassification impact of the adoption on our consolidated statement of cash flows for the years ended December 31, 2017, 2016 and 2015, as our historical statements have been presented in accordance with this new guidance.</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November 2016, the FASB issued a new standard that requires restricted cash and cash equivalents to be included with the amount of cash and cash equivalents that are reconciled on the consolidated statement of cash flows. The University elected to early adopt this guidance in the first quarter of 2017 on a retrospective basis, and accordingly, to conform to the current period presentation, we reclassified our restricted cash and cash equivalents to be included in the total of cash and cash equivalents presented at the bottom of our consolidated statement of cash flows for both the beginning and ending periods for our years ended December 31, 2017, 2016 and 2015. As a result, the amount of the change in our net cash provided by operating activities no longer includes the impact of the change in restricted cash and cash equivalents for either period.</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summarizes the effects related to the adoption of both accounting standards (share-based compensation and restricted cash and cash equivalents) for the years ended December 31, 2016 and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Cash Flows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 2015</w:t>
            </w:r>
          </w:p>
        </w:tc>
      </w:tr>
      <w:tr>
        <w:trPr>
          <w:trHeight w:val="119"/>
        </w:trPr>
        <w:tc>
          <w:tcPr>
            <w:tcW w:w="53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74"/>
              <w:spacing w:after="0" w:line="119" w:lineRule="exact"/>
              <w:rPr>
                <w:sz w:val="20"/>
                <w:szCs w:val="20"/>
                <w:color w:val="auto"/>
              </w:rPr>
            </w:pPr>
            <w:r>
              <w:rPr>
                <w:rFonts w:ascii="Arial" w:cs="Arial" w:eastAsia="Arial" w:hAnsi="Arial"/>
                <w:sz w:val="13"/>
                <w:szCs w:val="13"/>
                <w:b w:val="1"/>
                <w:bCs w:val="1"/>
                <w:color w:val="auto"/>
              </w:rPr>
              <w:t>As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As</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As</w:t>
            </w:r>
          </w:p>
        </w:tc>
        <w:tc>
          <w:tcPr>
            <w:tcW w:w="100" w:type="dxa"/>
            <w:vAlign w:val="bottom"/>
          </w:tcPr>
          <w:p>
            <w:pPr>
              <w:spacing w:after="0"/>
              <w:rPr>
                <w:sz w:val="10"/>
                <w:szCs w:val="10"/>
                <w:color w:val="auto"/>
              </w:rPr>
            </w:pPr>
          </w:p>
        </w:tc>
      </w:tr>
      <w:tr>
        <w:trPr>
          <w:trHeight w:val="171"/>
        </w:trPr>
        <w:tc>
          <w:tcPr>
            <w:tcW w:w="5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reported</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adjusted</w:t>
            </w:r>
          </w:p>
        </w:tc>
        <w:tc>
          <w:tcPr>
            <w:tcW w:w="14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reported</w:t>
            </w: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adjusted</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218,286</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237,761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173,900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185,080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20,655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10,727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(15,221)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(18,857)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increase (decrease) in cash and cash equivalents and restricted cash</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(42,202)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(34,658)</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9"/>
              </w:rPr>
              <w:t>Cash and cash equivalents and restricted cash, beginning of period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23,036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98,420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65,238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133,078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130,907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98,420</w:t>
            </w:r>
          </w:p>
        </w:tc>
      </w:tr>
      <w:tr>
        <w:trPr>
          <w:trHeight w:val="365"/>
        </w:trPr>
        <w:tc>
          <w:tcPr>
            <w:tcW w:w="5380" w:type="dxa"/>
            <w:vAlign w:val="bottom"/>
          </w:tcPr>
          <w:p>
            <w:pPr>
              <w:spacing w:after="0"/>
              <w:rPr>
                <w:sz w:val="24"/>
                <w:szCs w:val="24"/>
                <w:color w:val="auto"/>
              </w:rPr>
            </w:pPr>
          </w:p>
        </w:tc>
        <w:tc>
          <w:tcPr>
            <w:tcW w:w="2320" w:type="dxa"/>
            <w:vAlign w:val="bottom"/>
          </w:tcPr>
          <w:p>
            <w:pPr>
              <w:jc w:val="right"/>
              <w:ind w:right="181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May 2014, the FASB issued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amended.”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accounting guidance also requires additional disclosure about the nature, amount, timing and uncertainty of revenue and cash flows arising from customer contracts, including significant judgements and changes in judgements and assets recognized from costs incurred to obtain or fulfill a contract. In July 2015, the FASB approved a one-year delay in the effective date. The University will adopt this new standard January 1, 2018 using the modified retrospective method and providing certain additional disclosures as defined within the standard. The University has elected to apply this guidance retrospectively to all contracts at the date of initial application. Management has undertaken a review of contracts and revenue streams for all of our net revenues. The majority of our revenues are related to tuition, net of scholarships, due from our students. Tuition revenues, net of scholarships, are currently recognized pro-rata over the applicable period of instruction which the University believes is consistent with the revenue recognition method required by the new standard. The University will provide expanded disclosures pertaining to revenue recognition in our annual and quarterly filings beginning in the period of adoption. The University will clarify further its receivables, contract assets and contract liabilities reported in its consolidated balance sheets. The University will elect the short-term contract exemption with respect to disclosures associated with its performance obligations as all performance obligations as of the end of any reporting period have original terms of less than a year. Thus, we anticipate the adoption of this standard will not have a material impact on our consolidated financial statements, cash flows or results of operations.</w:t>
      </w:r>
    </w:p>
    <w:p>
      <w:pPr>
        <w:spacing w:after="0" w:line="1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2016, the FASB issued “</w:t>
      </w:r>
      <w:r>
        <w:rPr>
          <w:rFonts w:ascii="Arial" w:cs="Arial" w:eastAsia="Arial" w:hAnsi="Arial"/>
          <w:sz w:val="18"/>
          <w:szCs w:val="18"/>
          <w:i w:val="1"/>
          <w:iCs w:val="1"/>
          <w:color w:val="auto"/>
        </w:rPr>
        <w:t>Financial Instruments – Overall: Recognition and Measurement of Financial Assets and Financial Liabilities</w:t>
      </w:r>
      <w:r>
        <w:rPr>
          <w:rFonts w:ascii="Arial" w:cs="Arial" w:eastAsia="Arial" w:hAnsi="Arial"/>
          <w:sz w:val="18"/>
          <w:szCs w:val="18"/>
          <w:color w:val="auto"/>
        </w:rPr>
        <w:t>.” The standard addresses certain aspects of recognition, measurement, presentation, and disclosure of financial instruments. Most prominent among the amendments is the requirement for changes in the fair value of equity investments, with certain exceptions, to be recognized through net income rather than other comprehensive income (“OCI”). This standard is effective for fiscal years, and interim periods within those years, beginning after December 15, 2017, and early adoption is not permitted. Accordingly, the standard is effective for us on January 1, 2018. We are currently evaluating the impact that the standard will have on our consolidated financial statements.</w:t>
      </w:r>
    </w:p>
    <w:p>
      <w:pPr>
        <w:spacing w:after="0" w:line="193"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February 2016, the FASB issued “</w:t>
      </w:r>
      <w:r>
        <w:rPr>
          <w:rFonts w:ascii="Arial" w:cs="Arial" w:eastAsia="Arial" w:hAnsi="Arial"/>
          <w:sz w:val="17"/>
          <w:szCs w:val="17"/>
          <w:i w:val="1"/>
          <w:iCs w:val="1"/>
          <w:color w:val="auto"/>
        </w:rPr>
        <w:t>Leases</w:t>
      </w:r>
      <w:r>
        <w:rPr>
          <w:rFonts w:ascii="Arial" w:cs="Arial" w:eastAsia="Arial" w:hAnsi="Arial"/>
          <w:sz w:val="17"/>
          <w:szCs w:val="17"/>
          <w:color w:val="auto"/>
        </w:rPr>
        <w:t>.” The standard establishes a right-of-use (“ROU”) model that requires a lessee to recognize a ROU asset and a lease liability on the balance sheet for all leases with lease terms longer than 12 months. Leases will be classified as either finance or operating, with classification affecting the pattern of expense recognition in the income statement. This standard is effective for fiscal years, and interim periods within those years, beginning after December 15, 2018, and early adoption is permitted. Accordingly, the standard is effective for us on January 1, 2019 using a modified retrospective transition approach. A modified retrospective transition approach is required for lessees for capital and operating leases existing at, or entered into after, the beginning of the earliest comparative period presented in the financial statements, with certain practical expedients available. The University has begun evaluating the impact that the future adoption of this standard will have on our consolidated financial statements and we believe the adoption will slightly increase our assets and liabilities, and will expand our financial statement disclosures.</w:t>
      </w:r>
    </w:p>
    <w:p>
      <w:pPr>
        <w:spacing w:after="0" w:line="17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June 2016, the FASB issued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The new guidance revises the accounting requirements related to the measurement of credit losses on financial instruments and the timing of when such losses are recorded. The standard is effective for fiscal years, and interim periods within those years, beginning after December 15, 2019. Early adoption is permitted for fiscal years and interim periods within those years, beginning after December 15, 2018. Accordingly, the standard is effective for us on January 1, 2020 using a modified retrospective approach, and we are currently evaluating the impact that the standard will have on our consolidated financial statements.</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could otherwise have a material impact on its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investments as of December 31, 2017 and 2016. The University considers all investments as available for sale.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As of December 31, 2017</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34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$84,768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$ 84,359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920" w:type="dxa"/>
            <w:vAlign w:val="bottom"/>
            <w:gridSpan w:val="3"/>
          </w:tcPr>
          <w:p>
            <w:pPr>
              <w:ind w:left="2320"/>
              <w:spacing w:after="0"/>
              <w:rPr>
                <w:sz w:val="20"/>
                <w:szCs w:val="20"/>
                <w:color w:val="auto"/>
              </w:rPr>
            </w:pPr>
            <w:r>
              <w:rPr>
                <w:rFonts w:ascii="Arial" w:cs="Arial" w:eastAsia="Arial" w:hAnsi="Arial"/>
                <w:sz w:val="18"/>
                <w:szCs w:val="18"/>
                <w:color w:val="auto"/>
                <w:w w:val="96"/>
              </w:rPr>
              <w:t>$ 4,915</w:t>
            </w:r>
          </w:p>
        </w:tc>
        <w:tc>
          <w:tcPr>
            <w:tcW w:w="26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  4,912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3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920" w:type="dxa"/>
            <w:vAlign w:val="bottom"/>
            <w:gridSpan w:val="3"/>
            <w:shd w:val="clear" w:color="auto" w:fill="CCEEFF"/>
          </w:tcPr>
          <w:p>
            <w:pPr>
              <w:ind w:left="2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89,683</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$ 89,271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As of December 31, 2016</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2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34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62,769</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w w:val="89"/>
              </w:rPr>
              <w:t>12</w:t>
            </w: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$ 62,596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cash flows of municipal securities are backed by the issuing municipality’s credit worthiness. All municipal securities and certificates of deposit are due in one year or less as of December 31, 2017. For the years ended December 31, 2017 and 2016, the net unrealized losses on available-for-sale securities were $255 and $430, net of taxes,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Valuation and Qualifying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9"/>
              </w:rPr>
              <w:t>Balance at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Beginning of</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1"/>
              </w:rPr>
              <w:t>Charged to</w:t>
            </w:r>
          </w:p>
        </w:tc>
        <w:tc>
          <w:tcPr>
            <w:tcW w:w="1240" w:type="dxa"/>
            <w:vAlign w:val="bottom"/>
            <w:gridSpan w:val="6"/>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Deductions</w:t>
            </w:r>
          </w:p>
        </w:tc>
        <w:tc>
          <w:tcPr>
            <w:tcW w:w="10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73"/>
              <w:spacing w:after="0"/>
              <w:rPr>
                <w:sz w:val="20"/>
                <w:szCs w:val="20"/>
                <w:color w:val="auto"/>
              </w:rPr>
            </w:pPr>
            <w:r>
              <w:rPr>
                <w:rFonts w:ascii="Arial" w:cs="Arial" w:eastAsia="Arial" w:hAnsi="Arial"/>
                <w:sz w:val="12"/>
                <w:szCs w:val="12"/>
                <w:b w:val="1"/>
                <w:bCs w:val="1"/>
                <w:color w:val="auto"/>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1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Year ended December 31, 2017</w:t>
            </w: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5,918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18,478</w:t>
            </w:r>
          </w:p>
        </w:tc>
        <w:tc>
          <w:tcPr>
            <w:tcW w:w="48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(18,489)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4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(17,858)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Year ended December 31, 2015</w:t>
            </w:r>
          </w:p>
        </w:tc>
        <w:tc>
          <w:tcPr>
            <w:tcW w:w="14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6,472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16,620</w:t>
            </w:r>
          </w:p>
        </w:tc>
        <w:tc>
          <w:tcPr>
            <w:tcW w:w="48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(17,955)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445"/>
        </w:trPr>
        <w:tc>
          <w:tcPr>
            <w:tcW w:w="524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consist of the following:</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8"/>
          </w:tcPr>
          <w:p>
            <w:pPr>
              <w:ind w:left="44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127,769</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Land improvements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23,158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595,384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559,791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Building and leasehold improvements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117,460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105,168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Computer equipment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108,551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59,300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30,407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19,112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1,154,223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1,040,375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(231,939)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(184,847)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922,284</w:t>
            </w: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855,528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60" w:type="dxa"/>
            <w:vAlign w:val="bottom"/>
            <w:vMerge w:val="restart"/>
          </w:tcPr>
          <w:p>
            <w:pPr>
              <w:jc w:val="right"/>
              <w:ind w:right="61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$53,607, $44,829, and $34,821 for the years ended December 31, 2017, 2016,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Payable and Other Noncurrent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2012, we entered into a new credit agreement, which increased our term loan to $100,000 with a maturity date of December 2019. Additionally,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facility, as amended in January 2016, provided a revolving line of credit in the amount of $150,000 through December 2017 to be utilized for working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share repurchases and other general corporate purposes. The amendment to this facility increased the revolving line of credit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 to $150,000. Indebtedness under the credit facility is secured by our assets and is guaranteed by certain of our subsidiaries. The Agreement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standard covenants that, among other things, restrict the University’s ability to incur additional debt or make certain investments, require the University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maintain compliance with certain applicable regulatory standards, and require the University to achieve certain financial ratios and maintain certain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 As of December 31, 2017, the University is in compliance with its debt covenants. No amounts were drawn on the revolver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and it expired.</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7"/>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Payable</w:t>
            </w: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6840" w:type="dxa"/>
            <w:vAlign w:val="bottom"/>
            <w:gridSpan w:val="2"/>
          </w:tcPr>
          <w:p>
            <w:pPr>
              <w:spacing w:after="0" w:line="201" w:lineRule="exact"/>
              <w:rPr>
                <w:sz w:val="20"/>
                <w:szCs w:val="20"/>
                <w:color w:val="auto"/>
              </w:rPr>
            </w:pPr>
            <w:r>
              <w:rPr>
                <w:rFonts w:ascii="Arial" w:cs="Arial" w:eastAsia="Arial" w:hAnsi="Arial"/>
                <w:sz w:val="18"/>
                <w:szCs w:val="18"/>
                <w:color w:val="auto"/>
                <w:w w:val="97"/>
              </w:rPr>
              <w:t>Note payable, monthly payment of $556; interest at 30 day LIBOR plus 1.75% (3.11% at</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December 31, 2017) through December 31, 2019</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$66,477</w:t>
            </w:r>
          </w:p>
        </w:tc>
        <w:tc>
          <w:tcPr>
            <w:tcW w:w="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$73,001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Revolving line of credit; interest at 30 day LIBOR plus 1.75% (2.3% at December 31, 2016)</w:t>
            </w: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Annuities; quarterly payments of $34; extending through 2019; interest at 10%</w:t>
            </w:r>
          </w:p>
        </w:tc>
        <w:tc>
          <w:tcPr>
            <w:tcW w:w="20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66,616</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6,691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59,925</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jc w:val="right"/>
              <w:ind w:right="1130"/>
              <w:spacing w:after="0"/>
              <w:rPr>
                <w:sz w:val="20"/>
                <w:szCs w:val="20"/>
                <w:color w:val="auto"/>
              </w:rPr>
            </w:pPr>
            <w:r>
              <w:rPr>
                <w:rFonts w:ascii="Arial" w:cs="Arial" w:eastAsia="Arial" w:hAnsi="Arial"/>
                <w:sz w:val="18"/>
                <w:szCs w:val="18"/>
                <w:color w:val="auto"/>
                <w:w w:val="89"/>
              </w:rPr>
              <w:t>Payments due under the notes payable obligations are as follows as of December 31, 2017:</w:t>
            </w: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gridSpan w:val="2"/>
            <w:vMerge w:val="restart"/>
          </w:tcPr>
          <w:p>
            <w:pPr>
              <w:spacing w:after="0"/>
              <w:rPr>
                <w:sz w:val="21"/>
                <w:szCs w:val="21"/>
                <w:color w:val="auto"/>
              </w:rPr>
            </w:pPr>
          </w:p>
        </w:tc>
        <w:tc>
          <w:tcPr>
            <w:tcW w:w="638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10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gridSpan w:val="2"/>
            <w:vMerge w:val="continue"/>
          </w:tcPr>
          <w:p>
            <w:pPr>
              <w:spacing w:after="0"/>
              <w:rPr>
                <w:sz w:val="18"/>
                <w:szCs w:val="18"/>
                <w:color w:val="auto"/>
              </w:rPr>
            </w:pPr>
          </w:p>
        </w:tc>
        <w:tc>
          <w:tcPr>
            <w:tcW w:w="6380" w:type="dxa"/>
            <w:vAlign w:val="bottom"/>
            <w:shd w:val="clear" w:color="auto" w:fill="CCEEFF"/>
          </w:tcPr>
          <w:p>
            <w:pPr>
              <w:jc w:val="right"/>
              <w:ind w:right="5930"/>
              <w:spacing w:after="0"/>
              <w:rPr>
                <w:sz w:val="20"/>
                <w:szCs w:val="20"/>
                <w:color w:val="auto"/>
              </w:rPr>
            </w:pPr>
            <w:r>
              <w:rPr>
                <w:rFonts w:ascii="Arial" w:cs="Arial" w:eastAsia="Arial" w:hAnsi="Arial"/>
                <w:sz w:val="18"/>
                <w:szCs w:val="18"/>
                <w:color w:val="auto"/>
                <w:w w:val="84"/>
              </w:rPr>
              <w:t>2018</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gridSpan w:val="2"/>
          </w:tcPr>
          <w:p>
            <w:pPr>
              <w:spacing w:after="0"/>
              <w:rPr>
                <w:sz w:val="19"/>
                <w:szCs w:val="19"/>
                <w:color w:val="auto"/>
              </w:rPr>
            </w:pPr>
          </w:p>
        </w:tc>
        <w:tc>
          <w:tcPr>
            <w:tcW w:w="6380" w:type="dxa"/>
            <w:vAlign w:val="bottom"/>
          </w:tcPr>
          <w:p>
            <w:pPr>
              <w:jc w:val="right"/>
              <w:ind w:right="5930"/>
              <w:spacing w:after="0"/>
              <w:rPr>
                <w:sz w:val="20"/>
                <w:szCs w:val="20"/>
                <w:color w:val="auto"/>
              </w:rPr>
            </w:pPr>
            <w:r>
              <w:rPr>
                <w:rFonts w:ascii="Arial" w:cs="Arial" w:eastAsia="Arial" w:hAnsi="Arial"/>
                <w:sz w:val="18"/>
                <w:szCs w:val="18"/>
                <w:color w:val="auto"/>
                <w:w w:val="84"/>
              </w:rPr>
              <w:t>2019</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59,925</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66,616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deferred rent included in other noncurrent liabilities as of December 31, 2017 and 2016 was $460 and $729,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2022. Future minimum lease payments under operating leases due each year are as follows at December 31, 2017:</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2019</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2021</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Thereafter</w:t>
            </w:r>
          </w:p>
        </w:tc>
        <w:tc>
          <w:tcPr>
            <w:tcW w:w="4380" w:type="dxa"/>
            <w:vAlign w:val="bottom"/>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380" w:type="dxa"/>
            <w:vAlign w:val="bottom"/>
            <w:vMerge w:val="restart"/>
          </w:tcPr>
          <w:p>
            <w:pPr>
              <w:jc w:val="right"/>
              <w:ind w:right="3150"/>
              <w:spacing w:after="0"/>
              <w:rPr>
                <w:sz w:val="20"/>
                <w:szCs w:val="20"/>
                <w:color w:val="auto"/>
              </w:rPr>
            </w:pPr>
            <w:r>
              <w:rPr>
                <w:rFonts w:ascii="Arial" w:cs="Arial" w:eastAsia="Arial" w:hAnsi="Arial"/>
                <w:sz w:val="18"/>
                <w:szCs w:val="18"/>
                <w:color w:val="auto"/>
              </w:rPr>
              <w:t>73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years ended December 31, 2017, 2016 and 2015 was $1,545, $6,694, and $7,759,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both December 31, 2017 and 2016, the University has no reserve for tax matters where its ultimate exposure is considered probable and the potential loss can be reasonably estimated.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27, 2013, the University entered into an interest rate corridor to manage its 30 Day LIBOR interest exposure related to its variable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debt. This instrument did not contain financing elements. The contractual terms of the University’s derivative instrument have not been structured such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payments made by one party in the earlier periods are to be subsequently returned by the counterparty in later periods of the derivative’s term.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University’s derivative instrument has not been amended or modified since inception. The fair value of the interest rate corridor instrument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2016 was $509 and $490, respectively, which is included in other assets. The fair value of the derivative instrument was determined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a hypothetical derivative transaction and Level 2 of the hierarchy of valuation inputs. This derivative instrument was originally designated as a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 hedge of variable rate debt obligations. The adjustments of $17, $245, and $602 for the years ended December 31, 2017, 2016 and 2015,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effective portion of the gain/loss on the derivative is included as a component of other comprehensive income, net of taxes.</w:t>
      </w:r>
    </w:p>
    <w:p>
      <w:pPr>
        <w:spacing w:after="0" w:line="21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interest rate corridor instrument reduces variable interest rate risk starting March 1, 2013 through December 20, 2019 with a notional amount of $66,667 as of December 31, 2017. The corridor instrument’s terms permit the University to hedge its interest rate risk at several thresholds; the University pays variable interest monthly based on the 30-day LIBOR rates until that index reaches 1.5%. If 30-day LIBOR is equal to 1.5% through 3.0%, the University pays 1.5%. If 30-day LIBOR exceeds 3.0%, the University pays actual 30-day LIBOR less 1.5%. Therefore, the University has hedged its exposure to future variable rate cash flows through December 20, 2019.</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As of December 31, 2017 no derivative ineffectiveness was identified. Any ineffectiveness in the University’s derivative instrument designated as a hedge would be reported in interest expense in the income statement. At December 31, 2017, the University does not expect to reclassify any gains or losses on derivative instruments from accumulated other comprehensive income (loss) into earnings during the next 12 months.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38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2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r>
      <w:tr>
        <w:trPr>
          <w:trHeight w:val="196"/>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47,140</w:t>
            </w:r>
          </w:p>
        </w:tc>
        <w:tc>
          <w:tcPr>
            <w:tcW w:w="3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46,083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45,975</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1,306</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48,235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47,121</w:t>
            </w: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47,281</w:t>
            </w:r>
          </w:p>
        </w:tc>
        <w:tc>
          <w:tcPr>
            <w:tcW w:w="6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60"/>
          </w:cols>
          <w:pgMar w:left="240" w:top="459" w:right="29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each of the years ended December 31, 2017, 2016 and 2015, approximately 2, 344 and 385, respectively, of the University’s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of December 31, 2017 and 2016, the University had 10,000 shares of authorized but unissued and undesignated preferred stock. The University’s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Board of Directors has authorized the University to repurchase up to $175,000 in aggregate of common stock, from time to time, depending on market conditions and other considerations. The expiration date on the repurchase authorization has been extended to December 31, 2018.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3,509 shares of common stock at an aggregate cost of $77,292, which are recorded at cost in the accompanying December 31, 2017 consolidated balance sheet and statement of stockholders’ equity. During the year ended December 31, 2017 the University repurchased 17 shares of common stock at an aggregate costs of $1,510. At December 31, 2017, there remained $97,708 available under its current share repurchase authorization. Shares repurchase in lieu of taxes are not included in the repurchase plan totals as they were approved in conjunction with the restricted share awards.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University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University will realize the benefits of these deductible differences. The University has no valuation allowance at December 31, 2017 and 2016.</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December 22, 2017, the Tax Cuts and Jobs Act (the “Act”) was signed into law. For businesses, the Act reduces the corporate federal tax rate from a maximum of 35% to a flat 21% rate. The rate reduction took effect on January 1, 2018. The University has concluded that the Act will cause the University’s deferred tax assets and liabilities to be revalued. 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 The University’s net deferred tax liability was revalued as of December 22, 2017. The University recorded a $10.7 million income tax benefit related to the revaluation of its net deferred tax liabilities. Excluding this income tax benefit in 2017, our effective tax rate would have been 32.1%. Due to the enactment date and complexities of the new tax law, the regulations may have not been fully interpreted by the federal and state taxing authorities, thus there may be additional impacts to the tax provision that may not have been included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13"/>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16"/>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Federal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$76,966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5"/>
          </w:tcPr>
          <w:p>
            <w:pPr>
              <w:jc w:val="right"/>
              <w:ind w:right="420"/>
              <w:spacing w:after="0"/>
              <w:rPr>
                <w:sz w:val="20"/>
                <w:szCs w:val="20"/>
                <w:color w:val="auto"/>
              </w:rPr>
            </w:pPr>
            <w:r>
              <w:rPr>
                <w:rFonts w:ascii="Arial" w:cs="Arial" w:eastAsia="Arial" w:hAnsi="Arial"/>
                <w:sz w:val="18"/>
                <w:szCs w:val="18"/>
                <w:color w:val="auto"/>
              </w:rPr>
              <w:t>$64,006</w:t>
            </w: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$63,481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4,831</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85,555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68,837</w:t>
            </w:r>
          </w:p>
        </w:tc>
        <w:tc>
          <w:tcPr>
            <w:tcW w:w="42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68,703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tcPr>
          <w:p>
            <w:pPr>
              <w:ind w:left="360"/>
              <w:spacing w:after="0"/>
              <w:rPr>
                <w:sz w:val="20"/>
                <w:szCs w:val="20"/>
                <w:color w:val="auto"/>
              </w:rPr>
            </w:pPr>
            <w:r>
              <w:rPr>
                <w:rFonts w:ascii="Arial" w:cs="Arial" w:eastAsia="Arial" w:hAnsi="Arial"/>
                <w:sz w:val="18"/>
                <w:szCs w:val="18"/>
                <w:color w:val="auto"/>
              </w:rPr>
              <w:t>Federal</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(6,189)</w:t>
            </w:r>
          </w:p>
        </w:tc>
        <w:tc>
          <w:tcPr>
            <w:tcW w:w="260" w:type="dxa"/>
            <w:vAlign w:val="bottom"/>
          </w:tcPr>
          <w:p>
            <w:pPr>
              <w:spacing w:after="0"/>
              <w:rPr>
                <w:sz w:val="18"/>
                <w:szCs w:val="18"/>
                <w:color w:val="auto"/>
              </w:rPr>
            </w:pPr>
          </w:p>
        </w:tc>
        <w:tc>
          <w:tcPr>
            <w:tcW w:w="1140" w:type="dxa"/>
            <w:vAlign w:val="bottom"/>
            <w:gridSpan w:val="5"/>
          </w:tcPr>
          <w:p>
            <w:pPr>
              <w:jc w:val="right"/>
              <w:ind w:right="420"/>
              <w:spacing w:after="0"/>
              <w:rPr>
                <w:sz w:val="20"/>
                <w:szCs w:val="20"/>
                <w:color w:val="auto"/>
              </w:rPr>
            </w:pPr>
            <w:r>
              <w:rPr>
                <w:rFonts w:ascii="Arial" w:cs="Arial" w:eastAsia="Arial" w:hAnsi="Arial"/>
                <w:sz w:val="18"/>
                <w:szCs w:val="18"/>
                <w:color w:val="auto"/>
              </w:rPr>
              <w:t>7,961</w:t>
            </w: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891</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(5,346)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8,852</w:t>
            </w:r>
          </w:p>
        </w:tc>
        <w:tc>
          <w:tcPr>
            <w:tcW w:w="42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5,030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Tax expense recorded as an increase of paid-in capital</w:t>
            </w:r>
          </w:p>
        </w:tc>
        <w:tc>
          <w:tcPr>
            <w:tcW w:w="3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11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9,921</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80,209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87,610</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60" w:type="dxa"/>
            <w:vAlign w:val="bottom"/>
            <w:gridSpan w:val="7"/>
          </w:tcPr>
          <w:p>
            <w:pPr>
              <w:jc w:val="right"/>
              <w:ind w:right="240"/>
              <w:spacing w:after="0"/>
              <w:rPr>
                <w:sz w:val="20"/>
                <w:szCs w:val="20"/>
                <w:color w:val="auto"/>
              </w:rPr>
            </w:pPr>
            <w:r>
              <w:rPr>
                <w:rFonts w:ascii="Arial" w:cs="Arial" w:eastAsia="Arial" w:hAnsi="Arial"/>
                <w:sz w:val="18"/>
                <w:szCs w:val="18"/>
                <w:color w:val="auto"/>
                <w:w w:val="91"/>
              </w:rPr>
              <w:t>A reconciliation of income tax computed at the U.S. statutory rate to the effective income tax rate is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11"/>
          </w:tcPr>
          <w:p>
            <w:pPr>
              <w:jc w:val="center"/>
              <w:ind w:right="5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gridSpan w:val="2"/>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3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940" w:type="dxa"/>
            <w:vAlign w:val="bottom"/>
            <w:gridSpan w:val="5"/>
          </w:tcPr>
          <w:p>
            <w:pPr>
              <w:jc w:val="right"/>
              <w:ind w:right="260"/>
              <w:spacing w:after="0"/>
              <w:rPr>
                <w:sz w:val="20"/>
                <w:szCs w:val="20"/>
                <w:color w:val="auto"/>
              </w:rPr>
            </w:pPr>
            <w:r>
              <w:rPr>
                <w:rFonts w:ascii="Arial" w:cs="Arial" w:eastAsia="Arial" w:hAnsi="Arial"/>
                <w:sz w:val="18"/>
                <w:szCs w:val="18"/>
                <w:color w:val="auto"/>
              </w:rPr>
              <w:t>3.2</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9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1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Excess tax benefits</w:t>
            </w:r>
          </w:p>
        </w:tc>
        <w:tc>
          <w:tcPr>
            <w:tcW w:w="940" w:type="dxa"/>
            <w:vAlign w:val="bottom"/>
            <w:gridSpan w:val="5"/>
          </w:tcPr>
          <w:p>
            <w:pPr>
              <w:jc w:val="right"/>
              <w:ind w:right="200"/>
              <w:spacing w:after="0"/>
              <w:rPr>
                <w:sz w:val="20"/>
                <w:szCs w:val="20"/>
                <w:color w:val="auto"/>
              </w:rPr>
            </w:pPr>
            <w:r>
              <w:rPr>
                <w:rFonts w:ascii="Arial" w:cs="Arial" w:eastAsia="Arial" w:hAnsi="Arial"/>
                <w:sz w:val="18"/>
                <w:szCs w:val="18"/>
                <w:color w:val="auto"/>
              </w:rPr>
              <w:t>(5.8)</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revaluation (Federal Rate change)</w:t>
            </w:r>
          </w:p>
        </w:tc>
        <w:tc>
          <w:tcPr>
            <w:tcW w:w="9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940" w:type="dxa"/>
            <w:vAlign w:val="bottom"/>
            <w:gridSpan w:val="5"/>
          </w:tcPr>
          <w:p>
            <w:pPr>
              <w:jc w:val="right"/>
              <w:ind w:right="260"/>
              <w:spacing w:after="0"/>
              <w:rPr>
                <w:sz w:val="20"/>
                <w:szCs w:val="20"/>
                <w:color w:val="auto"/>
              </w:rPr>
            </w:pPr>
            <w:r>
              <w:rPr>
                <w:rFonts w:ascii="Arial" w:cs="Arial" w:eastAsia="Arial" w:hAnsi="Arial"/>
                <w:sz w:val="18"/>
                <w:szCs w:val="18"/>
                <w:color w:val="auto"/>
              </w:rPr>
              <w:t>0.0</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6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00" w:type="dxa"/>
            <w:vAlign w:val="bottom"/>
            <w:vMerge w:val="restart"/>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28.3%</w:t>
            </w:r>
          </w:p>
        </w:tc>
        <w:tc>
          <w:tcPr>
            <w:tcW w:w="280" w:type="dxa"/>
            <w:vAlign w:val="bottom"/>
            <w:gridSpan w:val="2"/>
            <w:vMerge w:val="continue"/>
          </w:tcPr>
          <w:p>
            <w:pPr>
              <w:spacing w:after="0"/>
              <w:rPr>
                <w:sz w:val="19"/>
                <w:szCs w:val="19"/>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37.1%</w:t>
            </w:r>
          </w:p>
        </w:tc>
        <w:tc>
          <w:tcPr>
            <w:tcW w:w="60" w:type="dxa"/>
            <w:vAlign w:val="bottom"/>
            <w:vMerge w:val="continue"/>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37.1%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Significant components of the University’s deferred income tax assets and liabilities, included in Deferred income taxes, non-current on the consolidated balance sheets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3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1,685</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Deferred tuition revenue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scholarship</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State taxes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700"/>
              <w:spacing w:after="0"/>
              <w:rPr>
                <w:sz w:val="20"/>
                <w:szCs w:val="20"/>
                <w:color w:val="auto"/>
              </w:rPr>
            </w:pPr>
            <w:r>
              <w:rPr>
                <w:rFonts w:ascii="Arial" w:cs="Arial" w:eastAsia="Arial" w:hAnsi="Arial"/>
                <w:sz w:val="18"/>
                <w:szCs w:val="18"/>
                <w:color w:val="auto"/>
              </w:rPr>
              <w:t>Deferred tax assets</w:t>
            </w: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10,849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(28,028)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(40,358)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3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(29,211)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(41,617)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liability</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(18,362)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320" w:type="dxa"/>
            <w:vAlign w:val="bottom"/>
            <w:vMerge w:val="restart"/>
          </w:tcPr>
          <w:p>
            <w:pPr>
              <w:jc w:val="right"/>
              <w:ind w:right="2290"/>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240" w:top="459" w:right="11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deferred tax liability on the accompanying consolidated balance sheet is comprised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(23,576)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(31,522)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(18,362)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University recognizes the impact of a tax position in its financial statements if that position is more-likely-than-not to be sustained on audit, based on the technical merits of the position. The University discloses all unrecognized tax benefits, which includes the reserves recorded for uncertain tax positions on filed tax returns and the unrecognized portion of affirmative claims. The University recognizes interest and penalties related to uncertain tax positions in income tax expense. Unrecognized tax benefits as of December 31, 2017 and 2016 were not significant.</w:t>
      </w:r>
    </w:p>
    <w:p>
      <w:pPr>
        <w:spacing w:after="0" w:line="171"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The University is subject to taxation in the United States, in states with an income tax and in several local jurisdictions. The University is currently under audit by various state taxing authorities. The University does not anticipate any material adjustments as a result of these audits. As of December 31, 2017, the earliest tax year still subject to examination for federal and state purposes is 2014 and 2013,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Regulatory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University’s accreditation has been reaffirmed by the Higher Learning Commission (“HLC”) after a comprehensive review of the institution’s academic offerings, governance and administration, mission, finances and resources during 2016. The accreditation was reaffirmed by the HLC’s Institutional Actions council at its meeting on February 28, 2017 with no requirements for any monitoring or interim reports. The comprehensive review occurs every 10 years, along with a mid-term report in year four. As of December 31, 2017, management believes the University is in compliance with the applicable regulations in all material respects. The University has a program participation agreement with full certification from the Department of Education, which gives the University the ability to participate in the Title IV programs through December 31, 2020.</w:t>
      </w:r>
    </w:p>
    <w:p>
      <w:pPr>
        <w:spacing w:after="0" w:line="169"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90/10 Disclosure</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University derives a substantial portion of its revenues from student financial aid received by its students under the Title IV programs administered by the Department of Education pursuant to the Higher Education Act. To continue to participate in the student financial aid programs the University must comply with the regulations promulgated under the Higher Education Act. The regulations restrict the proportion of cash receipts for tuition and fees from eligible programs to not more than 90 percent from Title IV programs (the “90/10 revenue test”). If an institution fails to satisfy the test for one year, its participation status becomes provisional for two consecutive fiscal years. If the test is not satisfied for two consecutive years, eligibility to participate in Title IV programs is lost for at least two fiscal years. Using the Department of Education’s cash-basis, regulatory formula under the 90/10 Rule as currently in effect, for its 2017, 2016, and 2015 fiscal years, the University derived 71.5%, 72.3%, and 74.8%, respectively, for its 90/10 revenue from Title IV program funds.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 Plans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Plans</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Prior to June 2017, the University made grants of restricted stock and stock options under its 2008 Equity Incentive Plan (the “2008 Plan”). In January 2017, the Board of Directors of the University approved, and at the University’s 2017 annual meeting of stockholders held on June 14, 2017, the University’s stockholders adopted a 2017 Equity Incentive Plan (the “2017 Plan”) under which a maximum of 3 million shares may be granted. All future grants of equity incentives will be made from the 2017 Plan.</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During fiscal year 2017, 2016, and 2015, the University granted 188, 264, and 315 shares of common stock under the 2008 Plan, respectively, with a service vesting condition to certain of its executives, officers, faculty and employees. The restricted shares have voting rights and vest evenly at 20% over each of the next five years. Upon vesting, shares will be held in lieu of taxes equivalent to the statutory tax withholding required to be paid when the restricted stock vests. During the years ended December 31, 2017, 2016 and 2015, the University withheld 151, 114, and 94 shares of common stock in lieu of taxes at a cost of $9,790, $4,695, and $4,283, on the restricted stock vesting dates, respectively. In June 2017, following the annual stockholders meeting, the University granted 4 shares of common stock under the 2017 Plan to the non-employee members of the University’s board of directors. In 2016 and 2015, the University granted 11 and 9 shares of common stock under the 2008 Plan, respectively, to certain of the non-employee members of the University’s board of directors. The restricted shares granted to these directors have voting rights and vest on the earlier of (a) the one year anniversary of the date of grant or (b) immediately prior to the following year’s annual stockholders’ meeting.</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3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34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34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3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44.46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2"/>
            <w:vMerge w:val="continue"/>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34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34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3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70.44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2"/>
            <w:vMerge w:val="continue"/>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34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34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0" w:type="dxa"/>
            <w:vAlign w:val="bottom"/>
            <w:vMerge w:val="restart"/>
          </w:tcPr>
          <w:p>
            <w:pPr>
              <w:jc w:val="right"/>
              <w:ind w:right="2430"/>
              <w:spacing w:after="0"/>
              <w:rPr>
                <w:sz w:val="20"/>
                <w:szCs w:val="20"/>
                <w:color w:val="auto"/>
              </w:rPr>
            </w:pPr>
            <w:r>
              <w:rPr>
                <w:rFonts w:ascii="Arial" w:cs="Arial" w:eastAsia="Arial" w:hAnsi="Arial"/>
                <w:sz w:val="18"/>
                <w:szCs w:val="18"/>
                <w:color w:val="auto"/>
              </w:rPr>
              <w:t>78</w:t>
            </w: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December 31, 2017, there was approximately $27,221 of total unrecognized share-based compensation cost related to unvested restricted stock awards. These costs are expected to be recognized over a weighted average period of 2.0 years.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No options were granted in 2017, 2016 and 2015. Prior to 2012, the University granted time vested options to purchase shares of common stock with an exercise price equal to the fair market value on the date of grant to employees. These time vested options vest ratably over a period of five years and expire ten years from the date of grant. A summary of the activity related to stock options granted under the University’s Incentive Plan is as follows: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4"/>
              </w:rPr>
              <w:t>Summary of Stock Options Outstanding</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Exercise</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Price</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Remaining</w:t>
            </w:r>
          </w:p>
        </w:tc>
        <w:tc>
          <w:tcPr>
            <w:tcW w:w="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rPr>
              <w:t>per</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 w:type="dxa"/>
            <w:vAlign w:val="bottom"/>
          </w:tcPr>
          <w:p>
            <w:pPr>
              <w:spacing w:after="0"/>
              <w:rPr>
                <w:sz w:val="12"/>
                <w:szCs w:val="12"/>
                <w:color w:val="auto"/>
              </w:rPr>
            </w:pPr>
          </w:p>
        </w:tc>
        <w:tc>
          <w:tcPr>
            <w:tcW w:w="7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Share</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Term (Years)</w:t>
            </w:r>
          </w:p>
        </w:tc>
        <w:tc>
          <w:tcPr>
            <w:tcW w:w="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2,452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14.83</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15.97</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16.08</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14.71</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vMerge w:val="restart"/>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13.97</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19.23</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15.26</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vMerge w:val="restart"/>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12.79</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16.35</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17.31</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50,114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2017</w:t>
            </w: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vMerge w:val="restart"/>
          </w:tcPr>
          <w:p>
            <w:pPr>
              <w:ind w:left="36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ind w:left="80"/>
              <w:spacing w:after="0"/>
              <w:rPr>
                <w:sz w:val="20"/>
                <w:szCs w:val="20"/>
                <w:color w:val="auto"/>
              </w:rPr>
            </w:pPr>
            <w:r>
              <w:rPr>
                <w:rFonts w:ascii="Arial" w:cs="Arial" w:eastAsia="Arial" w:hAnsi="Arial"/>
                <w:sz w:val="18"/>
                <w:szCs w:val="18"/>
                <w:color w:val="auto"/>
              </w:rPr>
              <w:t>17.31</w:t>
            </w:r>
          </w:p>
        </w:tc>
        <w:tc>
          <w:tcPr>
            <w:tcW w:w="126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2.71</w:t>
            </w:r>
          </w:p>
        </w:tc>
        <w:tc>
          <w:tcPr>
            <w:tcW w:w="22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4"/>
              </w:rPr>
              <w:t>50,114</w:t>
            </w: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34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December 29, 2017 ($89.53) in excess of the exercise price multiplied by the number of options outstanding or exercisable.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Restricted Stock Awards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University measures and recognizes compensation expense for share-based payment awards made to employees and directors. The fair value of the University’s restricted stock awards is based on the market price of its common stock on the date of grant. Stock-based compensation expense related to restricted stock grants is expensed over the vesting period using the straight-line method for University employees and the University’s board of directors. Starting January 1, 2017 with the adoption of the share-based compensation accounting standard, the University made an accounting policy election to account for forfeitures as they occur, prior to 2017 these forfeitures were estimated and reported net of the expense. The restricted shares have voting rights.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years ended December 31, 2017, 2016 and 2015 related to restricted stock and stock options granted: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Admissions advisory and related</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4,156</w:t>
            </w:r>
          </w:p>
        </w:tc>
      </w:tr>
      <w:tr>
        <w:trPr>
          <w:trHeight w:val="27"/>
        </w:trPr>
        <w:tc>
          <w:tcPr>
            <w:tcW w:w="6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12,688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12,276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11,257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(5,075)</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(4,910)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(4,503)</w:t>
            </w:r>
          </w:p>
        </w:tc>
      </w:tr>
      <w:tr>
        <w:trPr>
          <w:trHeight w:val="27"/>
        </w:trPr>
        <w:tc>
          <w:tcPr>
            <w:tcW w:w="6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6,754</w:t>
            </w:r>
          </w:p>
        </w:tc>
      </w:tr>
      <w:tr>
        <w:trPr>
          <w:trHeight w:val="20"/>
        </w:trPr>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University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University to make discretionary matching contributions. The University plans to make a matching contribution to the Plan of approximately $2,837 for the year ended December 31, 2017. The University made discretionary matching contributions to the Plan of $1,920 and $1,769 for the years ended December 31, 2016 and 2015,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Related party transactions include transactions between the University and certain of its affiliates. The following transactions were in the normal course of operations and were measured at the exchange amount, which is the amount of consideration established and agreed to by the parties. As of and for the years ended December 31, 2017, 2016, and 2015, related party transactions consisted of the following: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GCU Community Fund (“GCUCF”) — </w:t>
      </w:r>
      <w:r>
        <w:rPr>
          <w:rFonts w:ascii="Arial" w:cs="Arial" w:eastAsia="Arial" w:hAnsi="Arial"/>
          <w:sz w:val="18"/>
          <w:szCs w:val="18"/>
          <w:color w:val="auto"/>
        </w:rPr>
        <w:t>GCUCF was formed in 2014 to provide seed funding for entrepreneurial ventures initiated by the University’s</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The University’s President, CEO and Chairman serves as the president of GCUCF. The University is not the primary beneficiary of GCUCF, and accordingly, the University does not consolidate GCUCF’s statement of activities with its financial results. The University contributed $500 for the year ended December 31, 2015.</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Results of Operations (Unaudited)</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summarizes the unaudited quarterly results of operations for 2017 and 2016 and should be read in conjunction with other information included in the accompanying consolidated financial statements.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First Quarter</w:t>
            </w:r>
          </w:p>
        </w:tc>
        <w:tc>
          <w:tcPr>
            <w:tcW w:w="28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Quarter</w:t>
            </w:r>
          </w:p>
        </w:tc>
        <w:tc>
          <w:tcPr>
            <w:tcW w:w="48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Third Quarter</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248,206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218,301</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236,209</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102,574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95,030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104,303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31,972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31,085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31,426</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24,776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25,523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2,264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2,350</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12,915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10,845</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171,578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176,517</w:t>
            </w:r>
          </w:p>
        </w:tc>
        <w:tc>
          <w:tcPr>
            <w:tcW w:w="5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76,628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55,088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59,692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1,445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76,050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60,570</w:t>
            </w: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15,485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21,266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23,320</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55,912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39,304</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Basic income per share</w:t>
            </w:r>
            <w:r>
              <w:rPr>
                <w:rFonts w:ascii="Arial" w:cs="Arial" w:eastAsia="Arial" w:hAnsi="Arial"/>
                <w:sz w:val="15"/>
                <w:szCs w:val="15"/>
                <w:b w:val="1"/>
                <w:bCs w:val="1"/>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0.85</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0.83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w:t>
            </w:r>
            <w:r>
              <w:rPr>
                <w:rFonts w:ascii="Arial" w:cs="Arial" w:eastAsia="Arial" w:hAnsi="Arial"/>
                <w:sz w:val="15"/>
                <w:szCs w:val="15"/>
                <w:b w:val="1"/>
                <w:bCs w:val="1"/>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0.83</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47,316</w:t>
            </w: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48,070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48,192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48,292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First Quarter</w:t>
            </w:r>
          </w:p>
        </w:tc>
        <w:tc>
          <w:tcPr>
            <w:tcW w:w="28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Quarter</w:t>
            </w:r>
          </w:p>
        </w:tc>
        <w:tc>
          <w:tcPr>
            <w:tcW w:w="48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Third Quarter</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226,958</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191,279</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210,444</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94,654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84,599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91,748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29,544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28,866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28,814</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22,149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23,896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2,242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2,108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2,127</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13,430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Lease termination costs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158,267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146,531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163,378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167,965</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68,691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47,066</w:t>
            </w: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(2,291)</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44,883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44,431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26,745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17,257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15,187</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27,626</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29,244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47,979</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share</w:t>
            </w:r>
            <w:r>
              <w:rPr>
                <w:rFonts w:ascii="Arial" w:cs="Arial" w:eastAsia="Arial" w:hAnsi="Arial"/>
                <w:sz w:val="15"/>
                <w:szCs w:val="15"/>
                <w:b w:val="1"/>
                <w:bCs w:val="1"/>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income per share</w:t>
            </w:r>
            <w:r>
              <w:rPr>
                <w:rFonts w:ascii="Arial" w:cs="Arial" w:eastAsia="Arial" w:hAnsi="Arial"/>
                <w:sz w:val="15"/>
                <w:szCs w:val="15"/>
                <w:b w:val="1"/>
                <w:bCs w:val="1"/>
                <w:color w:val="auto"/>
              </w:rPr>
              <w:t>(1)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46,004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46,231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46,470</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46,860</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47,175</w:t>
            </w: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ectPr>
          <w:pgSz w:w="11900" w:h="16838" w:orient="portrait"/>
          <w:cols w:equalWidth="0" w:num="1">
            <w:col w:w="10960"/>
          </w:cols>
          <w:pgMar w:left="240" w:top="459" w:right="699" w:bottom="1440" w:gutter="0" w:footer="0" w:header="0"/>
        </w:sectPr>
      </w:pP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960"/>
          </w:cols>
          <w:pgMar w:left="240" w:top="459" w:right="69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380" w:firstLine="456"/>
        <w:spacing w:after="0" w:line="297"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58" w:lineRule="exact"/>
        <w:rPr>
          <w:sz w:val="20"/>
          <w:szCs w:val="20"/>
          <w:color w:val="auto"/>
        </w:rPr>
      </w:pPr>
    </w:p>
    <w:p>
      <w:pPr>
        <w:ind w:right="400" w:firstLine="456"/>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2017.</w:t>
      </w:r>
    </w:p>
    <w:p>
      <w:pPr>
        <w:spacing w:after="0" w:line="18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Officer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3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42" w:lineRule="exact"/>
        <w:rPr>
          <w:rFonts w:ascii="Arial" w:cs="Arial" w:eastAsia="Arial" w:hAnsi="Arial"/>
          <w:sz w:val="17"/>
          <w:szCs w:val="17"/>
          <w:color w:val="auto"/>
        </w:rPr>
      </w:pPr>
    </w:p>
    <w:p>
      <w:pPr>
        <w:ind w:left="900" w:right="60" w:hanging="446"/>
        <w:spacing w:after="0" w:line="381" w:lineRule="auto"/>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6" w:lineRule="exact"/>
        <w:rPr>
          <w:rFonts w:ascii="Arial" w:cs="Arial" w:eastAsia="Arial" w:hAnsi="Arial"/>
          <w:sz w:val="15"/>
          <w:szCs w:val="15"/>
          <w:color w:val="auto"/>
        </w:rPr>
      </w:pPr>
    </w:p>
    <w:p>
      <w:pPr>
        <w:ind w:left="900" w:right="3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2017, utilizing the criteria described in the “Internal Control-Integrated Framework (2013)” issued by the Committee of Sponsoring Organizations of the Treadway Commission. The objective of this assessment was to determine whether our internal control over financial reporting was effective as of December 31, 2017. Based on its assessment, management believes that, as of December 31, 2017, the Company’s internal control over financial reporting is effective.</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and for the year ended December 31, 2017 has been audited by KPMG LLP, an independent registered public accounting firm, as stated in their audit report which is included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have audited Grand Canyon Education, Inc. and subsidiaries (the “Company”)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income, comprehensive income, stockholders’ equity, and cash flows for each of the years in the three-year period ended December 31, 2017, and the related notes (collectively, the “consolidated financial statements”), and our report dated February 21, 2018, expressed an unqualified opinion on those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9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2017 that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a policy governing transactions in our securities by directors, officers, employees and others which permits these individuals to enter into trading plans complying with Rule 10b5-1 under the Securities Exchange Act of 1934, as amended.</w:t>
      </w:r>
    </w:p>
    <w:p>
      <w:pPr>
        <w:spacing w:after="0" w:line="170"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2018 proxy statement, to be filed within 120 days of our fiscal year end (December 31, 2017) and such information is incorporated herein by reference.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 Governance.</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charters of our Audit Committee, Compensation Committee, and Nominating and Corporate Governance Committee are also available in the Corporate Governance section of our website located at www.gcu.edu/Investor Relations/Corporate Governance.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Information relating to this item appears in the section entitled “Executive Compensation” in our 2018 proxy statement, to be filed within 120 days of our fiscal year end (December 31, 2017) and such information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Information relating to this item appears in the sections entitled “Executive Compensation” and “Beneficial Ownership of Common Stock” in our 2018 proxy statement, to be filed within 120 days of our fiscal year end (December 31, 2017) and such information is incorporated herein by reference.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Information relating to this item appears in the sections entitled “Corporate Governance and Board Matters — Director Independence” and “Certain Relationships and Related Party Transactions” in our 2018 proxy statement, to be filed within 120 days of our fiscal year end (December 31, 2017) and such information is incorporated herein by reference.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Information relating to this item appears in the section entitled “Ratification of Independent Registered Public Accounting Firm — Fees” in our 2018 our proxy statement, to be filed within 120 days of our fiscal year end (December 31, 2017) and such information is incorporated herein by reference.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0" w:type="dxa"/>
            <w:vAlign w:val="bottom"/>
            <w:gridSpan w:val="5"/>
          </w:tcPr>
          <w:p>
            <w:pPr>
              <w:ind w:left="70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10300" w:type="dxa"/>
            <w:vAlign w:val="bottom"/>
            <w:gridSpan w:val="9"/>
          </w:tcPr>
          <w:p>
            <w:pPr>
              <w:ind w:left="280"/>
              <w:spacing w:after="0"/>
              <w:rPr>
                <w:sz w:val="20"/>
                <w:szCs w:val="20"/>
                <w:color w:val="auto"/>
              </w:rPr>
            </w:pPr>
            <w:r>
              <w:rPr>
                <w:rFonts w:ascii="Arial" w:cs="Arial" w:eastAsia="Arial" w:hAnsi="Arial"/>
                <w:sz w:val="18"/>
                <w:szCs w:val="18"/>
                <w:b w:val="1"/>
                <w:bCs w:val="1"/>
                <w:i w:val="1"/>
                <w:iCs w:val="1"/>
                <w:color w:val="auto"/>
              </w:rPr>
              <w:t>Exhibits and Consolidated Financial Statement Schedules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60" w:type="dxa"/>
            <w:vAlign w:val="bottom"/>
            <w:gridSpan w:val="11"/>
          </w:tcPr>
          <w:p>
            <w:pPr>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 w:type="dxa"/>
            <w:vAlign w:val="bottom"/>
            <w:gridSpan w:val="2"/>
          </w:tcPr>
          <w:p>
            <w:pPr>
              <w:ind w:left="460"/>
              <w:spacing w:after="0"/>
              <w:rPr>
                <w:sz w:val="20"/>
                <w:szCs w:val="20"/>
                <w:color w:val="auto"/>
              </w:rPr>
            </w:pPr>
            <w:r>
              <w:rPr>
                <w:rFonts w:ascii="Arial" w:cs="Arial" w:eastAsia="Arial" w:hAnsi="Arial"/>
                <w:sz w:val="18"/>
                <w:szCs w:val="18"/>
                <w:color w:val="auto"/>
              </w:rPr>
              <w:t>1.</w:t>
            </w:r>
          </w:p>
        </w:tc>
        <w:tc>
          <w:tcPr>
            <w:tcW w:w="1030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Statements filed as part of this report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60" w:type="dxa"/>
            <w:vAlign w:val="bottom"/>
            <w:gridSpan w:val="11"/>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83"/>
              </w:rPr>
              <w:t>Page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gridSpan w:val="2"/>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040" w:type="dxa"/>
            <w:vAlign w:val="bottom"/>
            <w:gridSpan w:val="10"/>
          </w:tcPr>
          <w:p>
            <w:pPr>
              <w:spacing w:after="0" w:line="189" w:lineRule="exact"/>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line="189"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Balance Sheets as of December 31, 2017 and 2016</w:t>
              </w:r>
            </w:hyperlink>
          </w:p>
        </w:tc>
        <w:tc>
          <w:tcPr>
            <w:tcW w:w="64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060" w:type="dxa"/>
            <w:vAlign w:val="bottom"/>
            <w:gridSpan w:val="1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Income Statements for the years ended December 31, 2017, 2016 and 2015</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160" w:type="dxa"/>
            <w:vAlign w:val="bottom"/>
            <w:gridSpan w:val="4"/>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Income for the years ended December 31, 2017, 2016 and 2015</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7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Stockholders’ Equity for the years ended December 31, 2017, 2016 and 2015</w:t>
              </w:r>
            </w:hyperlink>
          </w:p>
        </w:tc>
        <w:tc>
          <w:tcPr>
            <w:tcW w:w="180" w:type="dxa"/>
            <w:vAlign w:val="bottom"/>
            <w:tcBorders>
              <w:top w:val="single" w:sz="8" w:color="0000EE"/>
            </w:tcBorders>
          </w:tcPr>
          <w:p>
            <w:pPr>
              <w:spacing w:after="0"/>
              <w:rPr>
                <w:sz w:val="17"/>
                <w:szCs w:val="17"/>
                <w:color w:val="auto"/>
              </w:rPr>
            </w:pPr>
          </w:p>
        </w:tc>
        <w:tc>
          <w:tcPr>
            <w:tcW w:w="32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1060" w:type="dxa"/>
            <w:vAlign w:val="bottom"/>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2017, 2016 and 2015</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41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790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2.</w:t>
            </w:r>
          </w:p>
        </w:tc>
        <w:tc>
          <w:tcPr>
            <w:tcW w:w="1030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14"/>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5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2"/>
                <w:szCs w:val="22"/>
                <w:color w:val="auto"/>
              </w:rPr>
            </w:pPr>
          </w:p>
        </w:tc>
        <w:tc>
          <w:tcPr>
            <w:tcW w:w="5080" w:type="dxa"/>
            <w:vAlign w:val="bottom"/>
            <w:gridSpan w:val="21"/>
          </w:tcPr>
          <w:p>
            <w:pPr>
              <w:spacing w:after="0"/>
              <w:rPr>
                <w:rFonts w:ascii="Arial" w:cs="Arial" w:eastAsia="Arial" w:hAnsi="Arial"/>
                <w:sz w:val="18"/>
                <w:szCs w:val="18"/>
                <w:color w:val="0000EE"/>
              </w:rPr>
            </w:pPr>
            <w:hyperlink r:id="rId104">
              <w:r>
                <w:rPr>
                  <w:rFonts w:ascii="Arial" w:cs="Arial" w:eastAsia="Arial" w:hAnsi="Arial"/>
                  <w:sz w:val="18"/>
                  <w:szCs w:val="18"/>
                  <w:color w:val="0000EE"/>
                </w:rPr>
                <w:t>Amended and Restated Certificate of Incorporation</w:t>
              </w:r>
            </w:hyperlink>
          </w:p>
        </w:tc>
      </w:tr>
      <w:tr>
        <w:trPr>
          <w:trHeight w:val="73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27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Third Amended and Restated Bylaws</w:t>
              </w:r>
            </w:hyperlink>
          </w:p>
        </w:tc>
        <w:tc>
          <w:tcPr>
            <w:tcW w:w="980" w:type="dxa"/>
            <w:vAlign w:val="bottom"/>
            <w:tcBorders>
              <w:top w:val="single" w:sz="8" w:color="0000EE"/>
            </w:tcBorders>
            <w:gridSpan w:val="2"/>
          </w:tcPr>
          <w:p>
            <w:pPr>
              <w:spacing w:after="0"/>
              <w:rPr>
                <w:sz w:val="24"/>
                <w:szCs w:val="24"/>
                <w:color w:val="auto"/>
              </w:rPr>
            </w:pPr>
          </w:p>
        </w:tc>
        <w:tc>
          <w:tcPr>
            <w:tcW w:w="1400" w:type="dxa"/>
            <w:vAlign w:val="bottom"/>
            <w:gridSpan w:val="11"/>
          </w:tcPr>
          <w:p>
            <w:pPr>
              <w:spacing w:after="0"/>
              <w:rPr>
                <w:sz w:val="24"/>
                <w:szCs w:val="24"/>
                <w:color w:val="auto"/>
              </w:rPr>
            </w:pPr>
          </w:p>
        </w:tc>
      </w:tr>
      <w:tr>
        <w:trPr>
          <w:trHeight w:val="52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2160" w:type="dxa"/>
            <w:vAlign w:val="bottom"/>
            <w:tcBorders>
              <w:bottom w:val="single" w:sz="8" w:color="0000EE"/>
            </w:tcBorders>
            <w:gridSpan w:val="7"/>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Specimen of Stock Certificate</w:t>
              </w:r>
            </w:hyperlink>
          </w:p>
        </w:tc>
        <w:tc>
          <w:tcPr>
            <w:tcW w:w="2920" w:type="dxa"/>
            <w:vAlign w:val="bottom"/>
            <w:gridSpan w:val="14"/>
          </w:tcPr>
          <w:p>
            <w:pPr>
              <w:spacing w:after="0"/>
              <w:rPr>
                <w:sz w:val="24"/>
                <w:szCs w:val="24"/>
                <w:color w:val="auto"/>
              </w:rPr>
            </w:pPr>
          </w:p>
        </w:tc>
      </w:tr>
      <w:tr>
        <w:trPr>
          <w:trHeight w:val="736"/>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5080" w:type="dxa"/>
            <w:vAlign w:val="bottom"/>
            <w:gridSpan w:val="21"/>
          </w:tcPr>
          <w:p>
            <w:pPr>
              <w:spacing w:after="0"/>
              <w:rPr>
                <w:rFonts w:ascii="Arial" w:cs="Arial" w:eastAsia="Arial" w:hAnsi="Arial"/>
                <w:sz w:val="18"/>
                <w:szCs w:val="18"/>
                <w:color w:val="0000EE"/>
              </w:rPr>
            </w:pPr>
            <w:hyperlink r:id="rId107">
              <w:r>
                <w:rPr>
                  <w:rFonts w:ascii="Arial" w:cs="Arial" w:eastAsia="Arial" w:hAnsi="Arial"/>
                  <w:sz w:val="18"/>
                  <w:szCs w:val="18"/>
                  <w:color w:val="0000EE"/>
                </w:rPr>
                <w:t>2008 Equity Incentive Plan, as amended†</w:t>
              </w:r>
            </w:hyperlink>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36"/>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5080" w:type="dxa"/>
            <w:vAlign w:val="bottom"/>
            <w:gridSpan w:val="21"/>
          </w:tcPr>
          <w:p>
            <w:pPr>
              <w:spacing w:after="0"/>
              <w:rPr>
                <w:rFonts w:ascii="Arial" w:cs="Arial" w:eastAsia="Arial" w:hAnsi="Arial"/>
                <w:sz w:val="18"/>
                <w:szCs w:val="18"/>
                <w:color w:val="0000EE"/>
              </w:rPr>
            </w:pPr>
            <w:hyperlink r:id="rId108">
              <w:r>
                <w:rPr>
                  <w:rFonts w:ascii="Arial" w:cs="Arial" w:eastAsia="Arial" w:hAnsi="Arial"/>
                  <w:sz w:val="18"/>
                  <w:szCs w:val="18"/>
                  <w:color w:val="0000EE"/>
                </w:rPr>
                <w:t>2017 Equity Incentive Plan, as amended†</w:t>
              </w:r>
            </w:hyperlink>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502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Form of Restricted Stock Agreement under the 2017 Equity Incentive</w:t>
              </w:r>
            </w:hyperlink>
          </w:p>
        </w:tc>
        <w:tc>
          <w:tcPr>
            <w:tcW w:w="6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96">
              <w:r>
                <w:rPr>
                  <w:rFonts w:ascii="Arial" w:cs="Arial" w:eastAsia="Arial" w:hAnsi="Arial"/>
                  <w:sz w:val="18"/>
                  <w:szCs w:val="18"/>
                  <w:color w:val="0000EE"/>
                  <w:w w:val="85"/>
                </w:rPr>
                <w:t>Plan, as amended†</w:t>
              </w:r>
            </w:hyperlink>
          </w:p>
        </w:tc>
        <w:tc>
          <w:tcPr>
            <w:tcW w:w="3740" w:type="dxa"/>
            <w:vAlign w:val="bottom"/>
            <w:gridSpan w:val="15"/>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4700" w:type="dxa"/>
            <w:vAlign w:val="bottom"/>
            <w:tcBorders>
              <w:bottom w:val="single" w:sz="8" w:color="0000EE"/>
            </w:tcBorders>
            <w:gridSpan w:val="14"/>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Amended Executive Employment Agreement, dated February 9,</w:t>
              </w:r>
            </w:hyperlink>
          </w:p>
        </w:tc>
        <w:tc>
          <w:tcPr>
            <w:tcW w:w="380" w:type="dxa"/>
            <w:vAlign w:val="bottom"/>
            <w:gridSpan w:val="7"/>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80" w:type="dxa"/>
            <w:vAlign w:val="bottom"/>
            <w:gridSpan w:val="21"/>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2016, by and between Grand Canyon Education, Inc. and Brian E.</w:t>
              </w:r>
            </w:hyperlink>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Mueller†</w:t>
              </w:r>
            </w:hyperlink>
          </w:p>
        </w:tc>
        <w:tc>
          <w:tcPr>
            <w:tcW w:w="4100" w:type="dxa"/>
            <w:vAlign w:val="bottom"/>
            <w:tcBorders>
              <w:top w:val="single" w:sz="8" w:color="0000EE"/>
            </w:tcBorders>
            <w:gridSpan w:val="11"/>
          </w:tcPr>
          <w:p>
            <w:pPr>
              <w:spacing w:after="0"/>
              <w:rPr>
                <w:sz w:val="17"/>
                <w:szCs w:val="17"/>
                <w:color w:val="auto"/>
              </w:rPr>
            </w:pPr>
          </w:p>
        </w:tc>
        <w:tc>
          <w:tcPr>
            <w:tcW w:w="320" w:type="dxa"/>
            <w:vAlign w:val="bottom"/>
            <w:gridSpan w:val="6"/>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5080" w:type="dxa"/>
            <w:vAlign w:val="bottom"/>
            <w:tcBorders>
              <w:bottom w:val="single" w:sz="8" w:color="0000EE"/>
            </w:tcBorders>
            <w:gridSpan w:val="21"/>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Amended Executive Employment Agreement, dated February 9, 2016,</w:t>
              </w:r>
            </w:hyperlink>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by and between Grand Canyon Education, Inc. and W. Stan Meyer†</w:t>
              </w:r>
            </w:hyperlink>
          </w:p>
        </w:tc>
        <w:tc>
          <w:tcPr>
            <w:tcW w:w="180" w:type="dxa"/>
            <w:vAlign w:val="bottom"/>
            <w:gridSpan w:val="2"/>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4680" w:type="dxa"/>
            <w:vAlign w:val="bottom"/>
            <w:tcBorders>
              <w:bottom w:val="single" w:sz="8" w:color="0000EE"/>
            </w:tcBorders>
            <w:gridSpan w:val="13"/>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Amended Executive Employment Agreement, dated February 9,</w:t>
              </w:r>
            </w:hyperlink>
          </w:p>
        </w:tc>
        <w:tc>
          <w:tcPr>
            <w:tcW w:w="400" w:type="dxa"/>
            <w:vAlign w:val="bottom"/>
            <w:gridSpan w:val="8"/>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80" w:type="dxa"/>
            <w:vAlign w:val="bottom"/>
            <w:gridSpan w:val="21"/>
          </w:tcPr>
          <w:p>
            <w:pPr>
              <w:spacing w:after="0" w:line="196"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2016, by and between Grand Canyon Education, Inc. and Daniel E.</w:t>
              </w:r>
            </w:hyperlink>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11">
              <w:r>
                <w:rPr>
                  <w:rFonts w:ascii="Arial" w:cs="Arial" w:eastAsia="Arial" w:hAnsi="Arial"/>
                  <w:sz w:val="18"/>
                  <w:szCs w:val="18"/>
                  <w:color w:val="0000EE"/>
                  <w:w w:val="85"/>
                </w:rPr>
                <w:t>Bachus†</w:t>
              </w:r>
            </w:hyperlink>
          </w:p>
        </w:tc>
        <w:tc>
          <w:tcPr>
            <w:tcW w:w="4220" w:type="dxa"/>
            <w:vAlign w:val="bottom"/>
            <w:tcBorders>
              <w:top w:val="single" w:sz="8" w:color="0000EE"/>
            </w:tcBorders>
            <w:gridSpan w:val="15"/>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4680" w:type="dxa"/>
            <w:vAlign w:val="bottom"/>
            <w:tcBorders>
              <w:bottom w:val="single" w:sz="8" w:color="0000EE"/>
            </w:tcBorders>
            <w:gridSpan w:val="13"/>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Amended Executive Employment Agreement, dated February 9,</w:t>
              </w:r>
            </w:hyperlink>
          </w:p>
        </w:tc>
        <w:tc>
          <w:tcPr>
            <w:tcW w:w="400" w:type="dxa"/>
            <w:vAlign w:val="bottom"/>
            <w:gridSpan w:val="8"/>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2016, by and between Grand Canyon Education, Inc. and Joseph N.</w:t>
              </w:r>
            </w:hyperlink>
          </w:p>
        </w:tc>
        <w:tc>
          <w:tcPr>
            <w:tcW w:w="200" w:type="dxa"/>
            <w:vAlign w:val="bottom"/>
            <w:gridSpan w:val="3"/>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Mildenhall†</w:t>
              </w:r>
            </w:hyperlink>
          </w:p>
        </w:tc>
        <w:tc>
          <w:tcPr>
            <w:tcW w:w="4200" w:type="dxa"/>
            <w:vAlign w:val="bottom"/>
            <w:gridSpan w:val="16"/>
          </w:tcPr>
          <w:p>
            <w:pPr>
              <w:spacing w:after="0"/>
              <w:rPr>
                <w:sz w:val="17"/>
                <w:szCs w:val="17"/>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5080" w:type="dxa"/>
            <w:vAlign w:val="bottom"/>
            <w:gridSpan w:val="21"/>
          </w:tcPr>
          <w:p>
            <w:pPr>
              <w:spacing w:after="0"/>
              <w:rPr>
                <w:rFonts w:ascii="Arial" w:cs="Arial" w:eastAsia="Arial" w:hAnsi="Arial"/>
                <w:sz w:val="18"/>
                <w:szCs w:val="18"/>
                <w:color w:val="0000EE"/>
                <w:w w:val="99"/>
              </w:rPr>
            </w:pPr>
            <w:hyperlink r:id="rId113">
              <w:r>
                <w:rPr>
                  <w:rFonts w:ascii="Arial" w:cs="Arial" w:eastAsia="Arial" w:hAnsi="Arial"/>
                  <w:sz w:val="18"/>
                  <w:szCs w:val="18"/>
                  <w:color w:val="0000EE"/>
                  <w:w w:val="99"/>
                </w:rPr>
                <w:t>Amended Executive Employment Agreement, dated February 9,</w:t>
              </w:r>
            </w:hyperlink>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80" w:type="dxa"/>
            <w:vAlign w:val="bottom"/>
            <w:gridSpan w:val="8"/>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2016, by and between Grand Canyon Education, Inc. and Brian M.</w:t>
              </w:r>
            </w:hyperlink>
          </w:p>
        </w:tc>
        <w:tc>
          <w:tcPr>
            <w:tcW w:w="260" w:type="dxa"/>
            <w:vAlign w:val="bottom"/>
            <w:gridSpan w:val="5"/>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80" w:type="dxa"/>
            <w:vAlign w:val="bottom"/>
            <w:gridSpan w:val="21"/>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Roberts†</w:t>
              </w:r>
            </w:hyperlink>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5080" w:type="dxa"/>
            <w:vAlign w:val="bottom"/>
            <w:gridSpan w:val="21"/>
          </w:tcPr>
          <w:p>
            <w:pPr>
              <w:spacing w:after="0"/>
              <w:rPr>
                <w:rFonts w:ascii="Arial" w:cs="Arial" w:eastAsia="Arial" w:hAnsi="Arial"/>
                <w:sz w:val="18"/>
                <w:szCs w:val="18"/>
                <w:color w:val="0000EE"/>
              </w:rPr>
            </w:pPr>
            <w:hyperlink r:id="rId114">
              <w:r>
                <w:rPr>
                  <w:rFonts w:ascii="Arial" w:cs="Arial" w:eastAsia="Arial" w:hAnsi="Arial"/>
                  <w:sz w:val="18"/>
                  <w:szCs w:val="18"/>
                  <w:color w:val="0000EE"/>
                </w:rPr>
                <w:t>Form of Director and Officer Indemnity Agreement</w:t>
              </w:r>
            </w:hyperlink>
          </w:p>
        </w:tc>
      </w:tr>
      <w:tr>
        <w:trPr>
          <w:trHeight w:val="817"/>
        </w:trPr>
        <w:tc>
          <w:tcPr>
            <w:tcW w:w="52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3700" w:type="dxa"/>
            <w:vAlign w:val="bottom"/>
            <w:tcBorders>
              <w:top w:val="single" w:sz="8" w:color="0000EE"/>
            </w:tcBorders>
            <w:gridSpan w:val="10"/>
          </w:tcPr>
          <w:p>
            <w:pPr>
              <w:spacing w:after="0"/>
              <w:rPr>
                <w:sz w:val="24"/>
                <w:szCs w:val="24"/>
                <w:color w:val="auto"/>
              </w:rPr>
            </w:pPr>
          </w:p>
        </w:tc>
        <w:tc>
          <w:tcPr>
            <w:tcW w:w="1160" w:type="dxa"/>
            <w:vAlign w:val="bottom"/>
            <w:gridSpan w:val="7"/>
          </w:tcPr>
          <w:p>
            <w:pPr>
              <w:jc w:val="right"/>
              <w:ind w:right="4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1984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9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10.1 to the University’s Quarterly Report on Form 10-Q filed with the SEC on November 14, 2011.</w:t>
      </w:r>
    </w:p>
    <w:p>
      <w:pPr>
        <w:spacing w:after="0" w:line="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Incorporated by reference to Exhibit 10.1 to the University’s Current Report on Form 8-K filed with the SEC on June 14,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10.4.1 to the University Annual Report on Form 10-K filed with the SEC on February 17, 2016.</w:t>
      </w:r>
    </w:p>
    <w:p>
      <w:pPr>
        <w:spacing w:after="0" w:line="1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10.5.1 to the University Annual Report on Form 10-K filed with the SEC on February 17, 2016.</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10.6.1 to the University Annual Report on Form 10-K filed with the SEC on February 17, 2016.</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10.7.1 to the University Annual Report on Form 10-K filed with the SEC on February 17, 2016.</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10.8.1 to the University Annual Report on Form 10-K filed with the SEC on February 17, 2016.</w:t>
      </w:r>
    </w:p>
    <w:p>
      <w:pPr>
        <w:spacing w:after="0" w:line="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Incorporated by reference to Exhibit 10.21 to Amendment No. 2 to the University’s Registration Statement on Form S-1 filed with the SEC on September 29, 2008.</w:t>
      </w:r>
    </w:p>
    <w:p>
      <w:pPr>
        <w:sectPr>
          <w:pgSz w:w="11900" w:h="16838" w:orient="portrait"/>
          <w:cols w:equalWidth="0" w:num="2">
            <w:col w:w="6040" w:space="340"/>
            <w:col w:w="498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gridSpan w:val="14"/>
          </w:tcPr>
          <w:p>
            <w:pPr>
              <w:ind w:left="700"/>
              <w:spacing w:after="0"/>
              <w:rPr>
                <w:sz w:val="20"/>
                <w:szCs w:val="20"/>
                <w:color w:val="auto"/>
              </w:rPr>
            </w:pPr>
            <w:r>
              <w:rPr>
                <w:rFonts w:ascii="Arial" w:cs="Arial" w:eastAsia="Arial" w:hAnsi="Arial"/>
                <w:sz w:val="14"/>
                <w:szCs w:val="14"/>
                <w:b w:val="1"/>
                <w:bCs w:val="1"/>
                <w:color w:val="auto"/>
              </w:rPr>
              <w:t>Description</w:t>
            </w:r>
          </w:p>
        </w:tc>
      </w:tr>
      <w:tr>
        <w:trPr>
          <w:trHeight w:val="257"/>
        </w:trPr>
        <w:tc>
          <w:tcPr>
            <w:tcW w:w="5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8"/>
              </w:rPr>
              <w:t>10.10</w:t>
            </w:r>
          </w:p>
        </w:tc>
        <w:tc>
          <w:tcPr>
            <w:tcW w:w="540" w:type="dxa"/>
            <w:vAlign w:val="bottom"/>
          </w:tcPr>
          <w:p>
            <w:pPr>
              <w:spacing w:after="0"/>
              <w:rPr>
                <w:sz w:val="22"/>
                <w:szCs w:val="22"/>
                <w:color w:val="auto"/>
              </w:rPr>
            </w:pPr>
          </w:p>
        </w:tc>
        <w:tc>
          <w:tcPr>
            <w:tcW w:w="490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Credit Agreement, dated December 21, 2012, by and among Grand</w:t>
              </w:r>
            </w:hyperlink>
          </w:p>
        </w:tc>
        <w:tc>
          <w:tcPr>
            <w:tcW w:w="240" w:type="dxa"/>
            <w:vAlign w:val="bottom"/>
            <w:tcBorders>
              <w:top w:val="single" w:sz="8" w:color="auto"/>
            </w:tcBorders>
            <w:gridSpan w:val="5"/>
          </w:tcPr>
          <w:p>
            <w:pPr>
              <w:spacing w:after="0"/>
              <w:rPr>
                <w:sz w:val="22"/>
                <w:szCs w:val="22"/>
                <w:color w:val="auto"/>
              </w:rPr>
            </w:pPr>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40" w:type="dxa"/>
            <w:vAlign w:val="bottom"/>
            <w:gridSpan w:val="18"/>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Canyon Education, Inc., Bank of America, N.A., and the other parties</w:t>
              </w:r>
            </w:hyperlink>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named therein.</w:t>
              </w:r>
            </w:hyperlink>
          </w:p>
        </w:tc>
        <w:tc>
          <w:tcPr>
            <w:tcW w:w="3940" w:type="dxa"/>
            <w:vAlign w:val="bottom"/>
            <w:tcBorders>
              <w:top w:val="single" w:sz="8" w:color="0000EE"/>
            </w:tcBorders>
            <w:gridSpan w:val="14"/>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w w:val="88"/>
              </w:rPr>
              <w:t>10.11</w:t>
            </w:r>
          </w:p>
        </w:tc>
        <w:tc>
          <w:tcPr>
            <w:tcW w:w="540" w:type="dxa"/>
            <w:vAlign w:val="bottom"/>
          </w:tcPr>
          <w:p>
            <w:pPr>
              <w:spacing w:after="0"/>
              <w:rPr>
                <w:sz w:val="24"/>
                <w:szCs w:val="24"/>
                <w:color w:val="auto"/>
              </w:rPr>
            </w:pPr>
          </w:p>
        </w:tc>
        <w:tc>
          <w:tcPr>
            <w:tcW w:w="4940" w:type="dxa"/>
            <w:vAlign w:val="bottom"/>
            <w:tcBorders>
              <w:bottom w:val="single" w:sz="8" w:color="0000EE"/>
            </w:tcBorders>
            <w:gridSpan w:val="14"/>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Amendment No. 1 to Credit Agreement, dated January 15, 2016, by</w:t>
              </w:r>
            </w:hyperlink>
          </w:p>
        </w:tc>
        <w:tc>
          <w:tcPr>
            <w:tcW w:w="200" w:type="dxa"/>
            <w:vAlign w:val="bottom"/>
            <w:gridSpan w:val="4"/>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and among Grand Canyon Education, Inc., Bank of America, N.A.,</w:t>
              </w:r>
            </w:hyperlink>
          </w:p>
        </w:tc>
        <w:tc>
          <w:tcPr>
            <w:tcW w:w="280" w:type="dxa"/>
            <w:vAlign w:val="bottom"/>
            <w:gridSpan w:val="7"/>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40" w:type="dxa"/>
            <w:vAlign w:val="bottom"/>
            <w:gridSpan w:val="18"/>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and the other parties named therein.</w:t>
              </w:r>
            </w:hyperlink>
          </w:p>
        </w:tc>
      </w:tr>
      <w:tr>
        <w:trPr>
          <w:trHeight w:val="20"/>
        </w:trPr>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rPr>
              <w:t>21.0</w:t>
            </w:r>
          </w:p>
        </w:tc>
        <w:tc>
          <w:tcPr>
            <w:tcW w:w="540" w:type="dxa"/>
            <w:vAlign w:val="bottom"/>
          </w:tcPr>
          <w:p>
            <w:pPr>
              <w:spacing w:after="0"/>
              <w:rPr>
                <w:sz w:val="24"/>
                <w:szCs w:val="24"/>
                <w:color w:val="auto"/>
              </w:rPr>
            </w:pPr>
          </w:p>
        </w:tc>
        <w:tc>
          <w:tcPr>
            <w:tcW w:w="3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Subsidiaries of Grand Canyon Education, Inc.</w:t>
              </w:r>
            </w:hyperlink>
          </w:p>
        </w:tc>
        <w:tc>
          <w:tcPr>
            <w:tcW w:w="1820" w:type="dxa"/>
            <w:vAlign w:val="bottom"/>
            <w:gridSpan w:val="11"/>
          </w:tcPr>
          <w:p>
            <w:pPr>
              <w:spacing w:after="0"/>
              <w:rPr>
                <w:sz w:val="24"/>
                <w:szCs w:val="24"/>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140" w:type="dxa"/>
            <w:vAlign w:val="bottom"/>
            <w:gridSpan w:val="18"/>
          </w:tcPr>
          <w:p>
            <w:pPr>
              <w:spacing w:after="0"/>
              <w:rPr>
                <w:rFonts w:ascii="Arial" w:cs="Arial" w:eastAsia="Arial" w:hAnsi="Arial"/>
                <w:sz w:val="18"/>
                <w:szCs w:val="18"/>
                <w:color w:val="0000EE"/>
                <w:w w:val="96"/>
              </w:rPr>
            </w:pPr>
            <w:hyperlink w:anchor="page110">
              <w:r>
                <w:rPr>
                  <w:rFonts w:ascii="Arial" w:cs="Arial" w:eastAsia="Arial" w:hAnsi="Arial"/>
                  <w:sz w:val="18"/>
                  <w:szCs w:val="18"/>
                  <w:color w:val="0000EE"/>
                  <w:w w:val="96"/>
                </w:rPr>
                <w:t>Consent of KPMG LLP, Independent Registered Public Accounting</w:t>
              </w:r>
            </w:hyperlink>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10">
              <w:r>
                <w:rPr>
                  <w:rFonts w:ascii="Arial" w:cs="Arial" w:eastAsia="Arial" w:hAnsi="Arial"/>
                  <w:sz w:val="18"/>
                  <w:szCs w:val="18"/>
                  <w:color w:val="0000EE"/>
                  <w:w w:val="94"/>
                </w:rPr>
                <w:t>Firm</w:t>
              </w:r>
            </w:hyperlink>
          </w:p>
        </w:tc>
        <w:tc>
          <w:tcPr>
            <w:tcW w:w="4520" w:type="dxa"/>
            <w:vAlign w:val="bottom"/>
            <w:tcBorders>
              <w:top w:val="single" w:sz="8" w:color="0000EE"/>
            </w:tcBorders>
            <w:gridSpan w:val="11"/>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5140" w:type="dxa"/>
            <w:vAlign w:val="bottom"/>
            <w:gridSpan w:val="1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Power of Attorney</w:t>
              </w:r>
            </w:hyperlink>
          </w:p>
        </w:tc>
      </w:tr>
      <w:tr>
        <w:trPr>
          <w:trHeight w:val="20"/>
        </w:trPr>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5140" w:type="dxa"/>
            <w:vAlign w:val="bottom"/>
            <w:gridSpan w:val="18"/>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Certification of Principal Executive Officer Pursuant to</w:t>
              </w:r>
            </w:hyperlink>
          </w:p>
        </w:tc>
      </w:tr>
      <w:tr>
        <w:trPr>
          <w:trHeight w:val="20"/>
        </w:trPr>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40" w:type="dxa"/>
            <w:vAlign w:val="bottom"/>
            <w:gridSpan w:val="18"/>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Rule 13a-14(a) and 15d-14(a) as Adopted Pursuant to Section 302 of</w:t>
              </w:r>
            </w:hyperlink>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the Sarbanes-Oxley Act of 2002</w:t>
              </w:r>
            </w:hyperlink>
          </w:p>
        </w:tc>
        <w:tc>
          <w:tcPr>
            <w:tcW w:w="140" w:type="dxa"/>
            <w:vAlign w:val="bottom"/>
            <w:gridSpan w:val="3"/>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51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Certification of Principal Financial Officer Pursuant to Rule 13a-14(a)</w:t>
              </w:r>
            </w:hyperlink>
          </w:p>
        </w:tc>
        <w:tc>
          <w:tcPr>
            <w:tcW w:w="2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12">
              <w:r>
                <w:rPr>
                  <w:rFonts w:ascii="Arial" w:cs="Arial" w:eastAsia="Arial" w:hAnsi="Arial"/>
                  <w:sz w:val="18"/>
                  <w:szCs w:val="18"/>
                  <w:color w:val="0000EE"/>
                  <w:w w:val="88"/>
                </w:rPr>
                <w:t>and 15d-14(a) as Adopted Pursuant to Section 302 of the Sarbanes-</w:t>
              </w:r>
            </w:hyperlink>
          </w:p>
        </w:tc>
        <w:tc>
          <w:tcPr>
            <w:tcW w:w="280" w:type="dxa"/>
            <w:vAlign w:val="bottom"/>
            <w:gridSpan w:val="7"/>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40" w:type="dxa"/>
            <w:vAlign w:val="bottom"/>
            <w:gridSpan w:val="18"/>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Oxley Act of 2002</w:t>
              </w:r>
            </w:hyperlink>
          </w:p>
        </w:tc>
      </w:tr>
      <w:tr>
        <w:trPr>
          <w:trHeight w:val="20"/>
        </w:trPr>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5140" w:type="dxa"/>
            <w:vAlign w:val="bottom"/>
            <w:gridSpan w:val="1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Certification of Principal Executive Officer Pursuant to 18 U.S.C.</w:t>
              </w:r>
            </w:hyperlink>
          </w:p>
        </w:tc>
      </w:tr>
      <w:tr>
        <w:trPr>
          <w:trHeight w:val="20"/>
        </w:trPr>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22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40" w:type="dxa"/>
            <w:vAlign w:val="bottom"/>
            <w:gridSpan w:val="18"/>
          </w:tcPr>
          <w:p>
            <w:pPr>
              <w:spacing w:after="0" w:line="19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Section 1350, as Adopted Pursuant to Section 906 of the Sarbanes-</w:t>
              </w:r>
            </w:hyperlink>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Oxley Act of 2002††</w:t>
              </w:r>
            </w:hyperlink>
          </w:p>
        </w:tc>
        <w:tc>
          <w:tcPr>
            <w:tcW w:w="320" w:type="dxa"/>
            <w:vAlign w:val="bottom"/>
            <w:gridSpan w:val="8"/>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47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Certification of Principal Financial Officer Pursuant to 18 U.S.C.</w:t>
              </w:r>
            </w:hyperlink>
          </w:p>
        </w:tc>
        <w:tc>
          <w:tcPr>
            <w:tcW w:w="400" w:type="dxa"/>
            <w:vAlign w:val="bottom"/>
            <w:gridSpan w:val="9"/>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40" w:type="dxa"/>
            <w:vAlign w:val="bottom"/>
            <w:gridSpan w:val="18"/>
          </w:tcPr>
          <w:p>
            <w:pPr>
              <w:spacing w:after="0" w:line="196" w:lineRule="exact"/>
              <w:rPr>
                <w:rFonts w:ascii="Arial" w:cs="Arial" w:eastAsia="Arial" w:hAnsi="Arial"/>
                <w:sz w:val="18"/>
                <w:szCs w:val="18"/>
                <w:color w:val="0000EE"/>
                <w:w w:val="94"/>
              </w:rPr>
            </w:pPr>
            <w:hyperlink w:anchor="page114">
              <w:r>
                <w:rPr>
                  <w:rFonts w:ascii="Arial" w:cs="Arial" w:eastAsia="Arial" w:hAnsi="Arial"/>
                  <w:sz w:val="18"/>
                  <w:szCs w:val="18"/>
                  <w:color w:val="0000EE"/>
                  <w:w w:val="94"/>
                </w:rPr>
                <w:t>Section 1350, as Adopted Pursuant to Section 906 of the Sarbanes-</w:t>
              </w:r>
            </w:hyperlink>
          </w:p>
        </w:tc>
      </w:tr>
      <w:tr>
        <w:trPr>
          <w:trHeight w:val="196"/>
        </w:trPr>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Oxley Act of 2002††</w:t>
              </w:r>
            </w:hyperlink>
          </w:p>
        </w:tc>
        <w:tc>
          <w:tcPr>
            <w:tcW w:w="320" w:type="dxa"/>
            <w:vAlign w:val="bottom"/>
            <w:gridSpan w:val="8"/>
          </w:tcPr>
          <w:p>
            <w:pPr>
              <w:spacing w:after="0"/>
              <w:rPr>
                <w:sz w:val="17"/>
                <w:szCs w:val="17"/>
                <w:color w:val="auto"/>
              </w:rPr>
            </w:pPr>
          </w:p>
        </w:tc>
      </w:tr>
      <w:tr>
        <w:trPr>
          <w:trHeight w:val="20"/>
        </w:trPr>
        <w:tc>
          <w:tcPr>
            <w:tcW w:w="1060" w:type="dxa"/>
            <w:vAlign w:val="bottom"/>
            <w:gridSpan w:val="2"/>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620" w:type="dxa"/>
            <w:vAlign w:val="bottom"/>
            <w:gridSpan w:val="14"/>
          </w:tcPr>
          <w:p>
            <w:pPr>
              <w:spacing w:after="0" w:line="20" w:lineRule="exact"/>
              <w:rPr>
                <w:sz w:val="1"/>
                <w:szCs w:val="1"/>
                <w:color w:val="auto"/>
              </w:rPr>
            </w:pPr>
          </w:p>
        </w:tc>
      </w:tr>
      <w:tr>
        <w:trPr>
          <w:trHeight w:val="345"/>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4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18"/>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31813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10.10 to the University’s Annual Report on Form 10-K filed with the SEC on February 19, 2013.</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10.10.1 to the University Annual Report on Form 10-K filed with the SEC on February 17,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(on signature page)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200" w:space="200"/>
            <w:col w:w="4720"/>
          </w:cols>
          <w:pgMar w:left="240" w:top="459" w:right="539" w:bottom="1440" w:gutter="0" w:footer="0" w:header="0"/>
        </w:sectPr>
      </w:pPr>
    </w:p>
    <w:p>
      <w:pPr>
        <w:spacing w:after="0" w:line="9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31" w:lineRule="exact"/>
        <w:rPr>
          <w:sz w:val="20"/>
          <w:szCs w:val="20"/>
          <w:color w:val="auto"/>
        </w:rPr>
      </w:pPr>
    </w:p>
    <w:p>
      <w:pPr>
        <w:ind w:left="460" w:right="120" w:hanging="452"/>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240" w:top="459" w:right="5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Brian E. Mueller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Dated: February 21, 2018</w:t>
      </w:r>
    </w:p>
    <w:p>
      <w:pPr>
        <w:spacing w:after="0" w:line="21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Brian E. Mueller, Daniel E. Bachus, and Brian M. Roberts,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7"/>
        </w:trPr>
        <w:tc>
          <w:tcPr>
            <w:tcW w:w="600" w:type="dxa"/>
            <w:vAlign w:val="bottom"/>
            <w:shd w:val="clear" w:color="auto" w:fill="000000"/>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gridSpan w:val="2"/>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r>
      <w:tr>
        <w:trPr>
          <w:trHeight w:val="297"/>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 Mueller</w:t>
            </w:r>
          </w:p>
        </w:tc>
        <w:tc>
          <w:tcPr>
            <w:tcW w:w="100" w:type="dxa"/>
            <w:vAlign w:val="bottom"/>
          </w:tcPr>
          <w:p>
            <w:pPr>
              <w:spacing w:after="0"/>
              <w:rPr>
                <w:sz w:val="24"/>
                <w:szCs w:val="24"/>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President, Chief Executive Officer and 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100" w:type="dxa"/>
            <w:vAlign w:val="bottom"/>
          </w:tcPr>
          <w:p>
            <w:pPr>
              <w:spacing w:after="0"/>
              <w:rPr>
                <w:sz w:val="19"/>
                <w:szCs w:val="19"/>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19"/>
                <w:szCs w:val="19"/>
                <w:color w:val="auto"/>
              </w:rPr>
            </w:pPr>
          </w:p>
        </w:tc>
      </w:tr>
      <w:tr>
        <w:trPr>
          <w:trHeight w:val="323"/>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E. Bachus</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r>
      <w:tr>
        <w:trPr>
          <w:trHeight w:val="209"/>
        </w:trPr>
        <w:tc>
          <w:tcPr>
            <w:tcW w:w="428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100" w:type="dxa"/>
            <w:vAlign w:val="bottom"/>
          </w:tcPr>
          <w:p>
            <w:pPr>
              <w:spacing w:after="0"/>
              <w:rPr>
                <w:sz w:val="18"/>
                <w:szCs w:val="18"/>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Financial Officer and Principal</w:t>
            </w:r>
          </w:p>
        </w:tc>
        <w:tc>
          <w:tcPr>
            <w:tcW w:w="17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Accounting Officer)</w:t>
            </w:r>
          </w:p>
        </w:tc>
        <w:tc>
          <w:tcPr>
            <w:tcW w:w="1740" w:type="dxa"/>
            <w:vAlign w:val="bottom"/>
          </w:tcPr>
          <w:p>
            <w:pPr>
              <w:spacing w:after="0"/>
              <w:rPr>
                <w:sz w:val="20"/>
                <w:szCs w:val="20"/>
                <w:color w:val="auto"/>
              </w:rPr>
            </w:pPr>
          </w:p>
        </w:tc>
      </w:tr>
      <w:tr>
        <w:trPr>
          <w:trHeight w:val="3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 R. Dial</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3"/>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J. Johnson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David J. Johnson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3"/>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A. Henry</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3"/>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F. Warren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gridSpan w:val="2"/>
          </w:tcPr>
          <w:p>
            <w:pPr>
              <w:jc w:val="right"/>
              <w:ind w:right="3572"/>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Participants)</w:t>
      </w:r>
    </w:p>
    <w:p>
      <w:pPr>
        <w:spacing w:after="0" w:line="211"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 xml:space="preserve">Grand Canyon Education, Inc.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i w:val="1"/>
          <w:iCs w:val="1"/>
          <w:color w:val="auto"/>
        </w:rPr>
        <w:t>”</w:t>
      </w:r>
      <w:r>
        <w:rPr>
          <w:rFonts w:ascii="Arial" w:cs="Arial" w:eastAsia="Arial" w:hAnsi="Arial"/>
          <w:sz w:val="16"/>
          <w:szCs w:val="16"/>
          <w:color w:val="auto"/>
        </w:rPr>
        <w:t xml:space="preserve">) has granted to the Participant named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Grant Notice</w:t>
      </w:r>
      <w:r>
        <w:rPr>
          <w:rFonts w:ascii="Arial" w:cs="Arial" w:eastAsia="Arial" w:hAnsi="Arial"/>
          <w:sz w:val="16"/>
          <w:szCs w:val="16"/>
          <w:i w:val="1"/>
          <w:iCs w:val="1"/>
          <w:color w:val="auto"/>
        </w:rPr>
        <w:t>”</w:t>
      </w:r>
      <w:r>
        <w:rPr>
          <w:rFonts w:ascii="Arial" w:cs="Arial" w:eastAsia="Arial" w:hAnsi="Arial"/>
          <w:sz w:val="16"/>
          <w:szCs w:val="16"/>
          <w:color w:val="auto"/>
        </w:rPr>
        <w:t xml:space="preserve">) to which this Restricted Stock Agreement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is attached an Award consisting of Shares subject to the terms and conditions set forth in the Grant Notice and this Agreement. The Award has been granted pursuant to and shall in all respects be subject to the terms and conditions of the Grand Canyon Education, Inc. 2017 Equity Incentive Plan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Plan Prospectus</w:t>
      </w:r>
      <w:r>
        <w:rPr>
          <w:rFonts w:ascii="Arial" w:cs="Arial" w:eastAsia="Arial" w:hAnsi="Arial"/>
          <w:sz w:val="16"/>
          <w:szCs w:val="16"/>
          <w:i w:val="1"/>
          <w:iCs w:val="1"/>
          <w:color w:val="auto"/>
        </w:rPr>
        <w:t>”</w:t>
      </w:r>
      <w:r>
        <w:rPr>
          <w:rFonts w:ascii="Arial" w:cs="Arial" w:eastAsia="Arial" w:hAnsi="Arial"/>
          <w:sz w:val="16"/>
          <w:szCs w:val="16"/>
          <w:color w:val="auto"/>
        </w:rPr>
        <w:t>), (b) accepts the Award subject to all of the terms and conditions of the Grant Notice, this Agreement and the Plan and</w:t>
      </w:r>
    </w:p>
    <w:p>
      <w:pPr>
        <w:spacing w:after="0" w:line="3" w:lineRule="exact"/>
        <w:rPr>
          <w:sz w:val="20"/>
          <w:szCs w:val="20"/>
          <w:color w:val="auto"/>
        </w:rPr>
      </w:pPr>
    </w:p>
    <w:p>
      <w:pPr>
        <w:ind w:right="140" w:firstLine="8"/>
        <w:spacing w:after="0" w:line="261"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agrees to accept as binding, conclusive and final all decisions or interpretations of the Committee upon any questions arising under the Grant Notice, this Agreement or the Plan.</w:t>
      </w:r>
    </w:p>
    <w:p>
      <w:pPr>
        <w:spacing w:after="0" w:line="328"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color w:val="auto"/>
        </w:rPr>
        <w:t>.</w:t>
      </w:r>
    </w:p>
    <w:p>
      <w:pPr>
        <w:spacing w:after="0" w:line="117"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Unless otherwise defined herein, capitalized terms shall have the meanings assigned to such terms in the Grant Notice 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7" w:lineRule="exact"/>
        <w:rPr>
          <w:sz w:val="20"/>
          <w:szCs w:val="20"/>
          <w:color w:val="auto"/>
        </w:rPr>
      </w:pPr>
    </w:p>
    <w:p>
      <w:pPr>
        <w:ind w:right="300" w:firstLine="913"/>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325"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ectPr>
          <w:pgSz w:w="11900" w:h="16838" w:orient="portrait"/>
          <w:cols w:equalWidth="0" w:num="1">
            <w:col w:w="11420"/>
          </w:cols>
          <w:pgMar w:left="240" w:top="121" w:right="239" w:bottom="1440" w:gutter="0" w:footer="0" w:header="0"/>
        </w:sectPr>
      </w:pPr>
    </w:p>
    <w:bookmarkStart w:id="96" w:name="page97"/>
    <w:bookmarkEnd w:id="96"/>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color w:val="auto"/>
        </w:rPr>
        <w:t>.</w:t>
      </w:r>
    </w:p>
    <w:p>
      <w:pPr>
        <w:spacing w:after="0" w:line="117" w:lineRule="exact"/>
        <w:rPr>
          <w:sz w:val="20"/>
          <w:szCs w:val="20"/>
          <w:color w:val="auto"/>
        </w:rPr>
      </w:pPr>
    </w:p>
    <w:p>
      <w:pPr>
        <w:ind w:right="140" w:firstLine="913"/>
        <w:spacing w:after="0" w:line="28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Grant and Issuance of Shares.</w:t>
      </w:r>
      <w:r>
        <w:rPr>
          <w:rFonts w:ascii="Arial" w:cs="Arial" w:eastAsia="Arial" w:hAnsi="Arial"/>
          <w:sz w:val="17"/>
          <w:szCs w:val="17"/>
          <w:color w:val="auto"/>
        </w:rPr>
        <w:t xml:space="preserve"> On the Date of Grant, the Participant shall acquire and the Company shall issue, subject to the provisions of this Agreement, a number of Shares equal to the Total Number of Shares, subject to adjustment as provided in Section 9. As a condition to the issuance of the Shares, the Participant shall execute and deliver the Grant Notice to the Company, and, if required by the Company, an Assignment Separate from Certificate duly endorsed (with date and number of shares blank) in the form provided by the Company.</w:t>
      </w:r>
    </w:p>
    <w:p>
      <w:pPr>
        <w:spacing w:after="0" w:line="165" w:lineRule="exact"/>
        <w:rPr>
          <w:sz w:val="20"/>
          <w:szCs w:val="20"/>
          <w:color w:val="auto"/>
        </w:rPr>
      </w:pPr>
    </w:p>
    <w:p>
      <w:pPr>
        <w:ind w:right="160" w:firstLine="913"/>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No Monetary Payment Required.</w:t>
      </w:r>
      <w:r>
        <w:rPr>
          <w:rFonts w:ascii="Arial" w:cs="Arial" w:eastAsia="Arial" w:hAnsi="Arial"/>
          <w:sz w:val="18"/>
          <w:szCs w:val="18"/>
          <w:color w:val="auto"/>
        </w:rPr>
        <w:t xml:space="preserve"> The Participant is not required to make any monetary payment (other than to satisfy applicable tax withholding, if any, with respect to the issuance or vesting of the Shares) as a condition to receiving the Shares,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issued pursuant to the Award.</w:t>
      </w:r>
    </w:p>
    <w:p>
      <w:pPr>
        <w:spacing w:after="0" w:line="184" w:lineRule="exact"/>
        <w:rPr>
          <w:sz w:val="20"/>
          <w:szCs w:val="20"/>
          <w:color w:val="auto"/>
        </w:rPr>
      </w:pPr>
    </w:p>
    <w:p>
      <w:pPr>
        <w:ind w:right="40" w:firstLine="913"/>
        <w:spacing w:after="0" w:line="274"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Participant hereby authorizes the Company, in its sole discretion, to deposit the Shares with the Company’s transfer agent, including any successor transfer agent, to be held in book entry form during the term of the Escrow pursuant to Section 6. Furthermore, the Participant hereby authorizes the Company, in its sole discretion, to deposit, following the term of such Escrow, for the benefit of the Participant with any broker with which the Participant has an account relationship of which the Company has notice any or all Shares which are no longer subject to such Escrow. Except as provided by the foregoing, a certificate for the Shares shall be registered in the name of the Participant, or, if applicable, in the names of the heirs of the Participant.</w:t>
      </w:r>
    </w:p>
    <w:p>
      <w:pPr>
        <w:spacing w:after="0" w:line="174"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Issuance of Shares in Compliance with Law</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issuance of the Shares shall be subject to compliance with all applicable requirements of federal, state or foreign law with respect to such securities. No Shares shall be issued hereunder if their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the Shares,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321"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ESTING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HARES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Shares acquired pursuant to this Agreement shall become Vested Shares as provided in the Grant Notice. For purposes of determining the number of Vested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97" w:name="page98"/>
    <w:bookmarkEnd w:id="97"/>
    <w:p>
      <w:pPr>
        <w:ind w:righ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spacing w:after="0" w:line="29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EACQUISITION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w:t>
      </w:r>
      <w:r>
        <w:rPr>
          <w:rFonts w:ascii="Arial" w:cs="Arial" w:eastAsia="Arial" w:hAnsi="Arial"/>
          <w:sz w:val="18"/>
          <w:szCs w:val="18"/>
          <w:b w:val="1"/>
          <w:bCs w:val="1"/>
          <w:color w:val="auto"/>
        </w:rPr>
        <w:t>.</w:t>
      </w:r>
    </w:p>
    <w:p>
      <w:pPr>
        <w:spacing w:after="0" w:line="117"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Grant of Company Reacquisition Right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otherwise provided by the Superseding Agreement, if any, in the event that</w:t>
      </w:r>
    </w:p>
    <w:p>
      <w:pPr>
        <w:spacing w:after="0" w:line="27" w:lineRule="exact"/>
        <w:rPr>
          <w:sz w:val="20"/>
          <w:szCs w:val="20"/>
          <w:color w:val="auto"/>
        </w:rPr>
      </w:pPr>
    </w:p>
    <w:p>
      <w:pPr>
        <w:ind w:firstLine="8"/>
        <w:spacing w:after="0" w:line="253"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Participant’s Service terminates for any reason or no reason, with or without cause, or (b) the Participant, the Participant’s legal representative, or other holder of the Shares, attempts to sell, exchange, transfer, pledge, or otherwise dispose of (other than pursuant to an Ownership Change Event), including, without limitation, any transfer to a nominee or agent of the Participant, any Shares which are not Vested Shares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Participant shall forfeit and the Company shall automatically reacquire the Unvested Shares, and the Participant shall not be entitled to any payment therefor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Reacquisition Right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7"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Ownership Change Event, Non-Cash Dividends, Distributions and Adjustments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to which the Participant is entitled by reason of the Participant’s ownership of Unvested Shares shall be immediately subject to the Company Reacquisition Right and included in the terms “Shares,” “Stock” and “Unvested Shares” for all purposes of the Company Reacquisition Right with the same force and effect as the Unvested Shares immediately prior to the Ownership Change Event, dividend, distribution or adjustment, as the case may be. For purposes of determining the number of Vested Shares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spacing w:after="0" w:line="189"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Forfeiture of Cash Dividends and Distributions.</w:t>
      </w:r>
      <w:r>
        <w:rPr>
          <w:rFonts w:ascii="Arial" w:cs="Arial" w:eastAsia="Arial" w:hAnsi="Arial"/>
          <w:sz w:val="18"/>
          <w:szCs w:val="18"/>
          <w:color w:val="auto"/>
        </w:rPr>
        <w:t xml:space="preserve"> All dividends and other distributions payable in cash with respect to Unvested Shares shall be subject to the same Vesting Conditions set forth in the Grant Notice as the Shares with respect to which such dividends or distributions are payable. Until such Unvested Shares become Vested Shares, any such related cash dividends and distributions shall be included in the term “Unvested Shares” and shall be subject to the Escrow described in Section 6 and the Company Reacquisition Right upon the Participant’s termination of Service to the same extent as the related Unvested Shares.</w:t>
      </w:r>
    </w:p>
    <w:p>
      <w:pPr>
        <w:spacing w:after="0" w:line="333"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SCROW</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Appointment of Agent.</w:t>
      </w:r>
      <w:r>
        <w:rPr>
          <w:rFonts w:ascii="Arial" w:cs="Arial" w:eastAsia="Arial" w:hAnsi="Arial"/>
          <w:sz w:val="18"/>
          <w:szCs w:val="18"/>
          <w:color w:val="auto"/>
        </w:rPr>
        <w:t xml:space="preserve"> To ensure that Shares (including and any cash dividends or distributions as provided by Section 5.3) subject to the Company Reacquisition Right will be available for reacquisition, the Participant and the Company hereby appoint the Secretary of the Company, or any other person designated by the Company, as their agent and as attorney-in-fact for the Participant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to hold any and all Unvested Shares and to sell, assign and transfer to the Company any such Unvested Shares reacquired by the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98" w:name="page99"/>
    <w:bookmarkEnd w:id="9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the Company Reacquisition Right. The Participant understands that appointment of the Agent is a material inducement to make this Agreement and that such appointment is coupled with an interest and is irrevocable. The Agent shall not be personally liable for any act the Agent may do or omit to do hereunder as escrow agent, agent for the Company, or attorney in fact for the Participant while acting in good faith and in the exercise of the Agent’s own good judgment, and any act done or omitted by the Agent pursuant to the advice of the Agent’s own attorneys shall be conclusive evidence of such good faith. The Agent may rely upon any letter, notice or other document executed by any signature purporting to be genuine and may resign at any time.</w:t>
      </w:r>
    </w:p>
    <w:p>
      <w:pPr>
        <w:spacing w:after="0" w:line="154"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Establishment of Escrow</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Participant authorizes the Company to deposit the Unvested Shares with the Company’s transfer agent to be held in book entry form, as provided in Section 3.3, and the Participant agrees to deliver to and deposit with the Agent each certificate, if any, evidencing the Shares and, if required by the Company, an Assignment Separate from Certificate with respect to such book entry shares and each such certificate duly endorsed (with date and number of Shares blank) in the form attached to this Agreement, to be held by the Agent under the terms and conditions of this Section 6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Escrow</w:t>
      </w:r>
      <w:r>
        <w:rPr>
          <w:rFonts w:ascii="Arial" w:cs="Arial" w:eastAsia="Arial" w:hAnsi="Arial"/>
          <w:sz w:val="16"/>
          <w:szCs w:val="16"/>
          <w:i w:val="1"/>
          <w:iCs w:val="1"/>
          <w:color w:val="auto"/>
        </w:rPr>
        <w:t>”</w:t>
      </w:r>
      <w:r>
        <w:rPr>
          <w:rFonts w:ascii="Arial" w:cs="Arial" w:eastAsia="Arial" w:hAnsi="Arial"/>
          <w:sz w:val="16"/>
          <w:szCs w:val="16"/>
          <w:color w:val="auto"/>
        </w:rPr>
        <w:t>).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to which the Participant is entitled by reason of his or her ownership of the Shares that remain, following such Ownership Change Event, dividend, distribution or change described in Section 9, subject to the Company Reacquisition Right shall be immediately subject to the Escrow to the same extent as the Shares immediately before such event. The Company shall bear the expenses of the Escrow.</w:t>
      </w:r>
    </w:p>
    <w:p>
      <w:pPr>
        <w:spacing w:after="0" w:line="160"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Delivery of Shares to Participant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Escrow shall continue with respect to any Shares for so long as such Shares remain subject to the Company Reacquisition Right. Upon termination of the Company Reacquisition Right with respect to Shares, the Company shall so notify the Agent and direct the Agent to deliver such number of Shares (and any related cash dividends or distributions payable with respect to such Shares) to the Participant. As soon as practicable after receipt of such notice, the Agent shall cause the Shares (and any related cash dividends or distributions payable with respect to such Shares) specified by such notice to be delivered to the Participant, and the Escrow shall terminate with respect to such Shares.</w:t>
      </w:r>
    </w:p>
    <w:p>
      <w:pPr>
        <w:spacing w:after="0" w:line="303"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ATTERS</w:t>
      </w:r>
      <w:r>
        <w:rPr>
          <w:rFonts w:ascii="Arial" w:cs="Arial" w:eastAsia="Arial" w:hAnsi="Arial"/>
          <w:sz w:val="18"/>
          <w:szCs w:val="18"/>
          <w:b w:val="1"/>
          <w:bCs w:val="1"/>
          <w:color w:val="auto"/>
        </w:rPr>
        <w:t>.</w:t>
      </w:r>
    </w:p>
    <w:p>
      <w:pPr>
        <w:spacing w:after="0" w:line="117"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Tax Withholding.</w:t>
      </w:r>
    </w:p>
    <w:p>
      <w:pPr>
        <w:spacing w:after="0" w:line="121" w:lineRule="exact"/>
        <w:rPr>
          <w:sz w:val="20"/>
          <w:szCs w:val="20"/>
          <w:color w:val="auto"/>
        </w:rPr>
      </w:pPr>
    </w:p>
    <w:p>
      <w:pPr>
        <w:ind w:right="20" w:firstLine="1492"/>
        <w:spacing w:after="0" w:line="286" w:lineRule="auto"/>
        <w:tabs>
          <w:tab w:leader="none" w:pos="1863"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 General. </w:t>
      </w:r>
      <w:r>
        <w:rPr>
          <w:rFonts w:ascii="Arial" w:cs="Arial" w:eastAsia="Arial" w:hAnsi="Arial"/>
          <w:sz w:val="16"/>
          <w:szCs w:val="16"/>
          <w:color w:val="auto"/>
        </w:rPr>
        <w:t>At the time the Grant Notice is executed, or at any time thereafter as requested by a Participating Company,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including, without limitation, obligations arising upon (a) the transfer of Shares to the Participant,</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lapsing of any restriction with respect to any Shares, (c) the filing of an election to recognize tax liability, or (d) the transfer by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9" w:name="page100"/>
    <w:bookmarkEnd w:id="99"/>
    <w:p>
      <w:pPr>
        <w:ind w:right="5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of any Shares. The Company shall have no obligation to deliver the Shares or to release any Shares from the Escrow established pursuant to Section 6 until the tax withholding obligations of the Participating Company have been satisfied by the Participant.</w:t>
      </w:r>
    </w:p>
    <w:p>
      <w:pPr>
        <w:spacing w:after="0" w:line="143" w:lineRule="exact"/>
        <w:rPr>
          <w:sz w:val="20"/>
          <w:szCs w:val="20"/>
          <w:color w:val="auto"/>
        </w:rPr>
      </w:pPr>
    </w:p>
    <w:p>
      <w:pPr>
        <w:ind w:right="60" w:firstLine="1492"/>
        <w:spacing w:after="0" w:line="258" w:lineRule="auto"/>
        <w:tabs>
          <w:tab w:leader="none" w:pos="1873"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of Sale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compliance with applicable law and the Company’s Trading Compliance Policy,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becoming Vested Shares on a Vesting Date as provided in the Grant Notice.</w:t>
      </w:r>
    </w:p>
    <w:p>
      <w:pPr>
        <w:spacing w:after="0" w:line="187" w:lineRule="exact"/>
        <w:rPr>
          <w:rFonts w:ascii="Arial" w:cs="Arial" w:eastAsia="Arial" w:hAnsi="Arial"/>
          <w:sz w:val="18"/>
          <w:szCs w:val="18"/>
          <w:color w:val="auto"/>
        </w:rPr>
      </w:pPr>
    </w:p>
    <w:p>
      <w:pPr>
        <w:ind w:firstLine="1492"/>
        <w:spacing w:after="0" w:line="255" w:lineRule="auto"/>
        <w:tabs>
          <w:tab w:leader="none" w:pos="1863"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Withholding in Shares. </w:t>
      </w:r>
      <w:r>
        <w:rPr>
          <w:rFonts w:ascii="Arial" w:cs="Arial" w:eastAsia="Arial" w:hAnsi="Arial"/>
          <w:sz w:val="18"/>
          <w:szCs w:val="18"/>
          <w:color w:val="auto"/>
        </w:rPr>
        <w:t>The Company shall have the right, but not the obligation, to require the Participant to satisfy all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a Participating Company’s tax withholding obligations by withholding a number of whole, Vested Shares otherwise deliverable to the Participant or by the Participant’s tender to the Company of a number of whole, Vested Shares or vested shares acquired otherwise than pursuant to the Award having, in any such case,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w:t>
      </w:r>
    </w:p>
    <w:p>
      <w:pPr>
        <w:spacing w:after="0" w:line="297"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Election Under Section 83(b) of the Code.</w:t>
      </w:r>
    </w:p>
    <w:p>
      <w:pPr>
        <w:spacing w:after="0" w:line="121" w:lineRule="exact"/>
        <w:rPr>
          <w:sz w:val="20"/>
          <w:szCs w:val="20"/>
          <w:color w:val="auto"/>
        </w:rPr>
      </w:pPr>
    </w:p>
    <w:p>
      <w:pPr>
        <w:ind w:firstLine="1492"/>
        <w:spacing w:after="0" w:line="268" w:lineRule="auto"/>
        <w:tabs>
          <w:tab w:leader="none" w:pos="18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Participant understands that Section 83 of the Code taxes as ordinary income the difference between the amount paid for the Shares, if anything, and the fair market value of the Shares as of the date on which the Shares are “substantially vested,” within the meaning of Section 83. In this context, “substantially vested” means that the right of the Company to reacquire the Shares pursuant to the Company Reacquisition Right has lapsed. The Participant understands that he or she may elect to have his or her taxable income determined at the time he or she acquires the Shares rather than when and as the Company Reacquisition Right lapses by filing an election under Section 83(b) of the Code with the Internal Revenue Service no later than thirty (30) days after the date of acquisition of the Shares. The Participant understands that failure to make a timely filing under Section 83(b) will result in his or her recognition of ordinary income, as the Company Reacquisition Right lapses, on the difference between the purchase price, if anything, and the fair market value of the Shares at the time such restrictions lapse. The Participant further understands, however, that if Shares with respect to which an election under Section 83(b) has been made are forfeited to the Company pursuant to its Company Reacquisition Right, such forfeiture will be treated as a sale on which there is realized a loss equal to the excess (if any) of the amount paid (if any) by the Participant for the forfeited Shares over the amount realized (if any) upon their forfeiture. If the Participant has paid nothing for the forfeited Shares and has received no payment upon their forfeiture, the Participant understands that he or she will be unable to recognize any loss on the forfeiture of the Shares even though the Participant incurred a tax liability by making an election under Section 83(b).</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0" w:name="page101"/>
    <w:bookmarkEnd w:id="100"/>
    <w:p>
      <w:pPr>
        <w:ind w:right="20" w:firstLine="1492"/>
        <w:spacing w:after="0" w:line="290" w:lineRule="auto"/>
        <w:tabs>
          <w:tab w:leader="none" w:pos="1870"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Participant understands that he or she should consult with his or her tax advisor regarding the advisability of filing with the Internal Revenue Service an election under Section 83(b) of the Code, which must be filed no later than thirty (30) days after the date of the acquisition of the Shares pursuant to this Agreement. Failure to file an election under Section 83(b), if appropriate, may result in adverse tax consequences to the Participant. The Participant acknowledges that he or she has been advised to consult with a tax advisor regarding the tax consequences to the Participant of the acquisition of Shares hereunder. ANY ELECTION UNDER SECTION 83(b) THE PARTICIPANT WISHES TO MAKE MUST BE FILED NO LATER THAN 30 DAYS AFTER THE DATE ON WHICH THE PARTICIPANT ACQUIRES THE SHARES. THIS TIME PERIOD CANNOT BE EXTENDED. THE PARTICIPANT ACKNOWLEDGES THAT TIMELY FILING OF A SECTION 83(b) ELECTION IS THE PARTICIPANT’S SOLE RESPONSIBILITY, EVEN IF THE PARTICIPANT REQUESTS THE COMPANY OR ITS REPRESENTATIVE TO FILE SUCH ELECTION ON HIS OR HER BEHALF.</w:t>
      </w:r>
    </w:p>
    <w:p>
      <w:pPr>
        <w:spacing w:after="0" w:line="166" w:lineRule="exact"/>
        <w:rPr>
          <w:rFonts w:ascii="Arial" w:cs="Arial" w:eastAsia="Arial" w:hAnsi="Arial"/>
          <w:sz w:val="16"/>
          <w:szCs w:val="16"/>
          <w:color w:val="auto"/>
        </w:rPr>
      </w:pPr>
    </w:p>
    <w:p>
      <w:pPr>
        <w:ind w:right="340" w:firstLine="1492"/>
        <w:spacing w:after="0" w:line="264" w:lineRule="auto"/>
        <w:tabs>
          <w:tab w:leader="none" w:pos="1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Participant will notify the Company in writing if the Participant files an election pursuant to Section 83(b) of the Code. The Company intends, in the event it does not receive from the Participant evidence of such filing, to claim a tax deduction for any amount which would otherwise be taxable to the Participant in the absence of such an election.</w:t>
      </w:r>
    </w:p>
    <w:p>
      <w:pPr>
        <w:spacing w:after="0" w:line="326"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In the event of a Change in Control, the Award shall be subject to the definitive agreement entered into by the Company in connection with the Change in Control. Except to the extent that the Committee determines to cash out the Award in accordance with Section 13.2(b) of the Plan, the surviving, continuing, successor, or purchasing corporation or other business entity or parent thereof, as the case may be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Acquiror</w:t>
      </w:r>
      <w:r>
        <w:rPr>
          <w:rFonts w:ascii="Arial" w:cs="Arial" w:eastAsia="Arial" w:hAnsi="Arial"/>
          <w:sz w:val="17"/>
          <w:szCs w:val="17"/>
          <w:i w:val="1"/>
          <w:iCs w:val="1"/>
          <w:color w:val="auto"/>
        </w:rPr>
        <w:t>”</w:t>
      </w:r>
      <w:r>
        <w:rPr>
          <w:rFonts w:ascii="Arial" w:cs="Arial" w:eastAsia="Arial" w:hAnsi="Arial"/>
          <w:sz w:val="17"/>
          <w:szCs w:val="17"/>
          <w:color w:val="auto"/>
        </w:rPr>
        <w:t>), may, without the consent of the Participant, assume or continue in full force and effect the Company’s rights and obligations under the Award or substitute for the Award a substantially equivalent award for the Acquiror’s stock. For purposes of this Section, the Award shall be deemed assumed if, following the Change in Control, the Award confers the right to receive, subject to the terms and conditions of the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the foregoing, Shares acquired pursuant to the Award prior to the Change in Control and any consideration received pursuant to the Change in Control with respect to such shares shall continue to be subject to all applicable provisions of this Agreement except as otherwise provided herein.</w:t>
      </w:r>
    </w:p>
    <w:p>
      <w:pPr>
        <w:spacing w:after="0" w:line="32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DJUSTMENTS FOR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HANGES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APITAL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TRUCTURE</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1" w:name="page102"/>
    <w:bookmarkEnd w:id="10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and kind of shares of stock or other property subject to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subject to Section 5.3) to which Participant is entitled by reason of ownership of shares acquired pursuant to this Award will be immediately subject to the provisions of this Award on the same basis as all shares originally acquired hereunder. Any fractional share resulting from an adjustment pursuant to this Section shall be rounded down to the nearest whole number. Such adjustments shall be determined by the Committee, and its determination shall be final, binding and conclusive.</w:t>
      </w:r>
    </w:p>
    <w:p>
      <w:pPr>
        <w:spacing w:after="0" w:line="326"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AS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5"/>
          <w:szCs w:val="15"/>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5"/>
          <w:szCs w:val="15"/>
          <w:b w:val="1"/>
          <w:bCs w:val="1"/>
          <w:u w:val="single" w:color="auto"/>
          <w:color w:val="auto"/>
        </w:rPr>
        <w:t>MPLOYEE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ONSULTANT</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The Participant shall have no rights as a stockholder with respect to any Shares subject to the Award until the date of the issuance of the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Subject to the provisions of this Agreement, the Participant shall exercise all rights and privileges of a stockholder of the Company with respect to Shares deposited in the Escrow pursuant to Section 6, including the right to vote such Shares and to receive all dividends and other distributions paid with respect to such Shares, subject to Section 5.3.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311"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EGENDS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The Company may at any time place legends referencing the Company Reacquisition Right and any applicable federal, state or foreign securities law restrictions on all certificates representing the Shares. The Participant shall, at the request of the Company, promptly present to the Company any and all certificates representing the Shares in the possession of the Participant in order to carry out the provisions of this Section. Unless otherwise specified by the Company, legends placed on such certificates may include, but shall not be limited to, the following:</w:t>
      </w:r>
    </w:p>
    <w:p>
      <w:pPr>
        <w:spacing w:after="0" w:line="63" w:lineRule="exact"/>
        <w:rPr>
          <w:sz w:val="20"/>
          <w:szCs w:val="20"/>
          <w:color w:val="auto"/>
        </w:rPr>
      </w:pPr>
    </w:p>
    <w:p>
      <w:pPr>
        <w:ind w:left="460" w:right="760"/>
        <w:spacing w:after="0" w:line="277" w:lineRule="auto"/>
        <w:rPr>
          <w:sz w:val="20"/>
          <w:szCs w:val="20"/>
          <w:color w:val="auto"/>
        </w:rPr>
      </w:pPr>
      <w:r>
        <w:rPr>
          <w:rFonts w:ascii="Arial" w:cs="Arial" w:eastAsia="Arial" w:hAnsi="Arial"/>
          <w:sz w:val="18"/>
          <w:szCs w:val="18"/>
          <w:color w:val="auto"/>
        </w:rPr>
        <w:t>“THE SECURITIES REPRESENTED BY THIS CERTIFICATE ARE SUBJECT TO RESTRICTIONS SET FORTH IN AN AGREEMENT BETWEEN THIS CORPORATION AND THE REGISTERED HOLDER, OR HIS PREDECESSOR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A COPY OF WHICH IS ON FILE AT THE PRINCIPAL OFFICE OF THIS CORPORATION.”</w:t>
      </w:r>
    </w:p>
    <w:p>
      <w:pPr>
        <w:spacing w:after="0" w:line="37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RANSFERS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IOLATION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GREEMENT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No Shares may be sold, exchanged, transferred, assigned, pledged, hypothecated or otherwise disposed of, including by operation of law, in any manner which violates any of the provisions of this Agreement and, except pursuant to an Ownership Change Event, until the date on which such shares become Vested Shares, and any such attempted disposition shall be void. The Company shall not be required (a) to transfer on its books any Shares which will have been transferred in violation of any of the provisions set forth in this Agreement or (b) to treat as owner of such Shares or to accord the right to vote as such owner or to pay dividends to any transferee to whom such Shares will have been so transferred. In order to enforce its rights under this Section, the Company shall be authorized to give a stop transfer instruction with respect to the Shares to the Company’s transfer agent.</w:t>
      </w:r>
    </w:p>
    <w:p>
      <w:pPr>
        <w:spacing w:after="0" w:line="309"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color w:val="auto"/>
        </w:rPr>
        <w:t>.</w:t>
      </w:r>
    </w:p>
    <w:p>
      <w:pPr>
        <w:spacing w:after="0" w:line="117" w:lineRule="exact"/>
        <w:rPr>
          <w:sz w:val="20"/>
          <w:szCs w:val="20"/>
          <w:color w:val="auto"/>
        </w:rPr>
      </w:pPr>
    </w:p>
    <w:p>
      <w:pPr>
        <w:ind w:right="220" w:firstLine="913"/>
        <w:spacing w:after="0" w:line="261"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Termination or Amendment.</w:t>
      </w:r>
      <w:r>
        <w:rPr>
          <w:rFonts w:ascii="Arial" w:cs="Arial" w:eastAsia="Arial" w:hAnsi="Arial"/>
          <w:sz w:val="18"/>
          <w:szCs w:val="18"/>
          <w:color w:val="auto"/>
        </w:rPr>
        <w:t xml:space="preserve"> The Committee may terminate or amend the Plan or this Agreement at any time; provided, however, that no such termination or amendment may have a materially adverse effect on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80" w:lineRule="exact"/>
        <w:rPr>
          <w:sz w:val="20"/>
          <w:szCs w:val="20"/>
          <w:color w:val="auto"/>
        </w:rPr>
      </w:pPr>
    </w:p>
    <w:p>
      <w:pPr>
        <w:jc w:val="both"/>
        <w:ind w:right="240" w:firstLine="913"/>
        <w:spacing w:after="0" w:line="261"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The right to acquire Shares pursuant to the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0"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80" w:firstLine="913"/>
        <w:spacing w:after="0" w:line="313"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color w:val="auto"/>
        </w:rPr>
        <w:t>Binding Effect.</w:t>
      </w:r>
      <w:r>
        <w:rPr>
          <w:rFonts w:ascii="Arial" w:cs="Arial" w:eastAsia="Arial" w:hAnsi="Arial"/>
          <w:sz w:val="17"/>
          <w:szCs w:val="17"/>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38"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Delivery of Documents and Notices.</w:t>
      </w:r>
      <w:r>
        <w:rPr>
          <w:rFonts w:ascii="Arial" w:cs="Arial" w:eastAsia="Arial" w:hAnsi="Arial"/>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3" w:name="page104"/>
    <w:bookmarkEnd w:id="103"/>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party at the address of such party set forth in the Grant Notice or at such other address as such party may designate in writing from time to time to the other party.</w:t>
      </w:r>
    </w:p>
    <w:p>
      <w:pPr>
        <w:spacing w:after="0" w:line="170" w:lineRule="exact"/>
        <w:rPr>
          <w:sz w:val="20"/>
          <w:szCs w:val="20"/>
          <w:color w:val="auto"/>
        </w:rPr>
      </w:pPr>
    </w:p>
    <w:p>
      <w:pPr>
        <w:ind w:right="40" w:firstLine="1492"/>
        <w:spacing w:after="0" w:line="272" w:lineRule="auto"/>
        <w:tabs>
          <w:tab w:leader="none" w:pos="1863"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and Signature. </w:t>
      </w:r>
      <w:r>
        <w:rPr>
          <w:rFonts w:ascii="Arial" w:cs="Arial" w:eastAsia="Arial" w:hAnsi="Arial"/>
          <w:sz w:val="17"/>
          <w:szCs w:val="17"/>
          <w:color w:val="auto"/>
        </w:rPr>
        <w:t>The Plan documents, which may include but do not necessarily include: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the Grant Notice, this Agreement, the Plan Prospectus, and any reports of the Company provided generally to the Company’s stockholders, may be delivered to the Participant electronically. In addition, if permitted by the Company, the parties may deliver electronically any notices called for in connection with the Escrow and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77" w:lineRule="exact"/>
        <w:rPr>
          <w:rFonts w:ascii="Arial" w:cs="Arial" w:eastAsia="Arial" w:hAnsi="Arial"/>
          <w:sz w:val="17"/>
          <w:szCs w:val="17"/>
          <w:color w:val="auto"/>
        </w:rPr>
      </w:pPr>
    </w:p>
    <w:p>
      <w:pPr>
        <w:ind w:right="100" w:firstLine="1492"/>
        <w:spacing w:after="0" w:line="287" w:lineRule="auto"/>
        <w:tabs>
          <w:tab w:leader="none" w:pos="1873"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and Signature. </w:t>
      </w:r>
      <w:r>
        <w:rPr>
          <w:rFonts w:ascii="Arial" w:cs="Arial" w:eastAsia="Arial" w:hAnsi="Arial"/>
          <w:sz w:val="16"/>
          <w:szCs w:val="16"/>
          <w:color w:val="auto"/>
        </w:rPr>
        <w:t>The Participant acknowledges that the Participant has read Section 13.5(a)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and consents to the electronic delivery of the Plan documents and, if permitted by the Company, the delivery of the Grant Notice and notices in connection with the Escrow,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5"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04" w:name="page105"/>
    <w:bookmarkEnd w:id="104"/>
    <w:p>
      <w:pPr>
        <w:ind w:firstLine="91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13.7 </w:t>
      </w:r>
      <w:r>
        <w:rPr>
          <w:rFonts w:ascii="Arial" w:cs="Arial" w:eastAsia="Arial" w:hAnsi="Arial"/>
          <w:sz w:val="18"/>
          <w:szCs w:val="18"/>
          <w:b w:val="1"/>
          <w:bCs w:val="1"/>
          <w:color w:val="auto"/>
        </w:rPr>
        <w:t>Applicable Law.</w:t>
      </w:r>
      <w:r>
        <w:rPr>
          <w:rFonts w:ascii="Arial" w:cs="Arial" w:eastAsia="Arial" w:hAnsi="Arial"/>
          <w:sz w:val="18"/>
          <w:szCs w:val="18"/>
          <w:color w:val="auto"/>
        </w:rPr>
        <w:t xml:space="preserve"> This Agreement shall be governed by the laws of the State of Arizona as such laws are applied to agreements between State of Arizona residents entered into and to be performed entirely within the State of State of Arizona.</w:t>
      </w:r>
    </w:p>
    <w:p>
      <w:pPr>
        <w:spacing w:after="0" w:line="162"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270" w:right="439" w:bottom="1440" w:gutter="0" w:footer="0" w:header="0"/>
        </w:sectPr>
      </w:pPr>
    </w:p>
    <w:bookmarkStart w:id="105" w:name="page106"/>
    <w:bookmarkEnd w:id="105"/>
    <w:p>
      <w:pPr>
        <w:ind w:left="3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SEPARATE FROM 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VALUE RECEIVED the undersigned does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3940" w:type="dxa"/>
            <w:vAlign w:val="bottom"/>
            <w:gridSpan w:val="2"/>
          </w:tcPr>
          <w:p>
            <w:pPr>
              <w:spacing w:after="0"/>
              <w:rPr>
                <w:sz w:val="17"/>
                <w:szCs w:val="17"/>
                <w:color w:val="auto"/>
              </w:rPr>
            </w:pPr>
          </w:p>
        </w:tc>
        <w:tc>
          <w:tcPr>
            <w:tcW w:w="10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3960" w:type="dxa"/>
            <w:vAlign w:val="bottom"/>
            <w:gridSpan w:val="3"/>
          </w:tcPr>
          <w:p>
            <w:pPr>
              <w:spacing w:after="0"/>
              <w:rPr>
                <w:sz w:val="20"/>
                <w:szCs w:val="20"/>
                <w:color w:val="auto"/>
              </w:rPr>
            </w:pPr>
            <w:r>
              <w:rPr>
                <w:rFonts w:ascii="Arial" w:cs="Arial" w:eastAsia="Arial" w:hAnsi="Arial"/>
                <w:sz w:val="18"/>
                <w:szCs w:val="18"/>
                <w:color w:val="auto"/>
              </w:rPr>
              <w:t>) shares of the Capital Stock of Grand Canyon</w:t>
            </w:r>
          </w:p>
        </w:tc>
      </w:tr>
      <w:tr>
        <w:trPr>
          <w:trHeight w:val="20"/>
        </w:trPr>
        <w:tc>
          <w:tcPr>
            <w:tcW w:w="4300" w:type="dxa"/>
            <w:vAlign w:val="bottom"/>
            <w:gridSpan w:val="2"/>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8320" w:type="dxa"/>
            <w:vAlign w:val="bottom"/>
            <w:gridSpan w:val="6"/>
          </w:tcPr>
          <w:p>
            <w:pPr>
              <w:spacing w:after="0" w:line="196" w:lineRule="exact"/>
              <w:rPr>
                <w:sz w:val="20"/>
                <w:szCs w:val="20"/>
                <w:color w:val="auto"/>
              </w:rPr>
            </w:pPr>
            <w:r>
              <w:rPr>
                <w:rFonts w:ascii="Arial" w:cs="Arial" w:eastAsia="Arial" w:hAnsi="Arial"/>
                <w:sz w:val="18"/>
                <w:szCs w:val="18"/>
                <w:color w:val="auto"/>
                <w:w w:val="90"/>
              </w:rPr>
              <w:t>Education, Inc. standing in the undersigned’s name on the books of said corporation represented by Certificate No.</w:t>
            </w:r>
          </w:p>
        </w:tc>
        <w:tc>
          <w:tcPr>
            <w:tcW w:w="940" w:type="dxa"/>
            <w:vAlign w:val="bottom"/>
            <w:tcBorders>
              <w:bottom w:val="single" w:sz="8" w:color="auto"/>
            </w:tcBorders>
          </w:tcPr>
          <w:p>
            <w:pPr>
              <w:spacing w:after="0"/>
              <w:rPr>
                <w:sz w:val="17"/>
                <w:szCs w:val="17"/>
                <w:color w:val="auto"/>
              </w:rPr>
            </w:pPr>
          </w:p>
        </w:tc>
        <w:tc>
          <w:tcPr>
            <w:tcW w:w="2140" w:type="dxa"/>
            <w:vAlign w:val="bottom"/>
          </w:tcPr>
          <w:p>
            <w:pPr>
              <w:spacing w:after="0" w:line="196" w:lineRule="exact"/>
              <w:rPr>
                <w:sz w:val="20"/>
                <w:szCs w:val="20"/>
                <w:color w:val="auto"/>
              </w:rPr>
            </w:pPr>
            <w:r>
              <w:rPr>
                <w:rFonts w:ascii="Arial" w:cs="Arial" w:eastAsia="Arial" w:hAnsi="Arial"/>
                <w:sz w:val="18"/>
                <w:szCs w:val="18"/>
                <w:color w:val="auto"/>
              </w:rPr>
              <w:t>herewith and does hereby</w:t>
            </w:r>
          </w:p>
        </w:tc>
      </w:tr>
      <w:tr>
        <w:trPr>
          <w:trHeight w:val="196"/>
        </w:trPr>
        <w:tc>
          <w:tcPr>
            <w:tcW w:w="2500" w:type="dxa"/>
            <w:vAlign w:val="bottom"/>
          </w:tcPr>
          <w:p>
            <w:pPr>
              <w:spacing w:after="0" w:line="196" w:lineRule="exact"/>
              <w:rPr>
                <w:sz w:val="20"/>
                <w:szCs w:val="20"/>
                <w:color w:val="auto"/>
              </w:rPr>
            </w:pPr>
            <w:r>
              <w:rPr>
                <w:rFonts w:ascii="Arial" w:cs="Arial" w:eastAsia="Arial" w:hAnsi="Arial"/>
                <w:sz w:val="18"/>
                <w:szCs w:val="18"/>
                <w:color w:val="auto"/>
                <w:w w:val="92"/>
              </w:rPr>
              <w:t>irrevocably constitute and appoint</w:t>
            </w:r>
          </w:p>
        </w:tc>
        <w:tc>
          <w:tcPr>
            <w:tcW w:w="1800" w:type="dxa"/>
            <w:vAlign w:val="bottom"/>
            <w:tcBorders>
              <w:bottom w:val="single" w:sz="8" w:color="auto"/>
            </w:tcBorders>
          </w:tcPr>
          <w:p>
            <w:pPr>
              <w:spacing w:after="0"/>
              <w:rPr>
                <w:sz w:val="17"/>
                <w:szCs w:val="17"/>
                <w:color w:val="auto"/>
              </w:rPr>
            </w:pPr>
          </w:p>
        </w:tc>
        <w:tc>
          <w:tcPr>
            <w:tcW w:w="7100" w:type="dxa"/>
            <w:vAlign w:val="bottom"/>
            <w:gridSpan w:val="6"/>
          </w:tcPr>
          <w:p>
            <w:pPr>
              <w:ind w:left="40"/>
              <w:spacing w:after="0" w:line="196" w:lineRule="exact"/>
              <w:rPr>
                <w:sz w:val="20"/>
                <w:szCs w:val="20"/>
                <w:color w:val="auto"/>
              </w:rPr>
            </w:pPr>
            <w:r>
              <w:rPr>
                <w:rFonts w:ascii="Arial" w:cs="Arial" w:eastAsia="Arial" w:hAnsi="Arial"/>
                <w:sz w:val="18"/>
                <w:szCs w:val="18"/>
                <w:color w:val="auto"/>
                <w:w w:val="92"/>
              </w:rPr>
              <w:t>Attorney to transfer the said stock on the books of said corporation with full power of substitution</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u w:val="single" w:color="auto"/>
          <w:color w:val="auto"/>
        </w:rPr>
        <w:t>Instructions</w:t>
      </w:r>
      <w:r>
        <w:rPr>
          <w:rFonts w:ascii="Arial" w:cs="Arial" w:eastAsia="Arial" w:hAnsi="Arial"/>
          <w:sz w:val="17"/>
          <w:szCs w:val="17"/>
          <w:color w:val="auto"/>
        </w:rPr>
        <w:t>: Please do not fill in any blanks other than the signature line. The purpose of this assignment is to enable the Company to exercise its Company Reacquisition Right set forth in the Restricted Stock Agreement without requiring additional signatures on the part of the Participant.</w:t>
      </w:r>
    </w:p>
    <w:p>
      <w:pPr>
        <w:sectPr>
          <w:pgSz w:w="11900" w:h="16838" w:orient="portrait"/>
          <w:cols w:equalWidth="0" w:num="1">
            <w:col w:w="11400"/>
          </w:cols>
          <w:pgMar w:left="240" w:top="274" w:right="259" w:bottom="1440" w:gutter="0" w:footer="0" w:header="0"/>
        </w:sectPr>
      </w:pPr>
    </w:p>
    <w:bookmarkStart w:id="106" w:name="page107"/>
    <w:bookmarkEnd w:id="10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SAMPLE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1715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11715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[IRS Service Center where Form 1040 is Filed]</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Section 83(b) Election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information is submitted pursuant to section 1.83-2 of the Treasury Regulations in connection with this election by the undersigned under section 83(b) of the Internal Revenue Code of 1986, as amended (the “Code”).</w:t>
      </w:r>
    </w:p>
    <w:p>
      <w:pPr>
        <w:spacing w:after="0" w:line="76" w:lineRule="exact"/>
        <w:rPr>
          <w:sz w:val="20"/>
          <w:szCs w:val="20"/>
          <w:color w:val="auto"/>
        </w:rPr>
      </w:pPr>
    </w:p>
    <w:p>
      <w:pPr>
        <w:ind w:left="920" w:right="5560" w:hanging="912"/>
        <w:spacing w:after="0" w:line="501" w:lineRule="auto"/>
        <w:tabs>
          <w:tab w:leader="none" w:pos="4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taxpayer are: Name:</w:t>
      </w:r>
    </w:p>
    <w:p>
      <w:pPr>
        <w:ind w:left="92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-284480</wp:posOffset>
            </wp:positionV>
            <wp:extent cx="28003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2800350" cy="889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-10160</wp:posOffset>
            </wp:positionV>
            <wp:extent cx="26860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2686050" cy="8890"/>
                    </a:xfrm>
                    <a:prstGeom prst="rect">
                      <a:avLst/>
                    </a:prstGeom>
                    <a:noFill/>
                  </pic:spPr>
                </pic:pic>
              </a:graphicData>
            </a:graphic>
          </wp:anchor>
        </w:drawing>
        <w:drawing>
          <wp:anchor simplePos="0" relativeHeight="251657728" behindDoc="1" locked="0" layoutInCell="0" allowOverlap="1">
            <wp:simplePos x="0" y="0"/>
            <wp:positionH relativeFrom="column">
              <wp:posOffset>984885</wp:posOffset>
            </wp:positionH>
            <wp:positionV relativeFrom="paragraph">
              <wp:posOffset>417830</wp:posOffset>
            </wp:positionV>
            <wp:extent cx="27432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-10160</wp:posOffset>
            </wp:positionV>
            <wp:extent cx="19145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3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is a description of each item of property with respect to which the election is made:</w:t>
      </w:r>
    </w:p>
    <w:p>
      <w:pPr>
        <w:spacing w:after="0" w:line="117" w:lineRule="exact"/>
        <w:rPr>
          <w:sz w:val="20"/>
          <w:szCs w:val="20"/>
          <w:color w:val="auto"/>
        </w:rPr>
      </w:pPr>
    </w:p>
    <w:p>
      <w:pPr>
        <w:ind w:left="920" w:right="760" w:firstLine="765"/>
        <w:spacing w:after="0" w:line="277" w:lineRule="auto"/>
        <w:rPr>
          <w:sz w:val="20"/>
          <w:szCs w:val="20"/>
          <w:color w:val="auto"/>
        </w:rPr>
      </w:pPr>
      <w:r>
        <w:rPr>
          <w:rFonts w:ascii="Arial" w:cs="Arial" w:eastAsia="Arial" w:hAnsi="Arial"/>
          <w:sz w:val="18"/>
          <w:szCs w:val="18"/>
          <w:color w:val="auto"/>
        </w:rPr>
        <w:t>shares of common stock of Grand Canyon Education, Inc. (the “Shares”), acquired from Grand Canyon Education, Inc. (the “Company”) pursuant to a restricted stock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-182245</wp:posOffset>
            </wp:positionV>
            <wp:extent cx="4572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56" w:lineRule="exact"/>
        <w:rPr>
          <w:sz w:val="20"/>
          <w:szCs w:val="20"/>
          <w:color w:val="auto"/>
        </w:rPr>
      </w:pPr>
    </w:p>
    <w:p>
      <w:pPr>
        <w:ind w:left="920" w:right="7180" w:hanging="912"/>
        <w:spacing w:after="0" w:line="397" w:lineRule="auto"/>
        <w:tabs>
          <w:tab w:leader="none" w:pos="453"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property was transferred to the undersigned on: Restricted stock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1860550</wp:posOffset>
            </wp:positionH>
            <wp:positionV relativeFrom="paragraph">
              <wp:posOffset>-83820</wp:posOffset>
            </wp:positionV>
            <wp:extent cx="571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taxable year for which the election is made is: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-10160</wp:posOffset>
            </wp:positionV>
            <wp:extent cx="571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1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nature of the restriction to which the property is subject:</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Shares are subject to automatic forfeiture to the Company upon the occurrence of certain events. This forfeiture provision lapses with regard to a portion of the Shares based upon the continued performance of services by the taxpayer over time.</w:t>
      </w:r>
    </w:p>
    <w:p>
      <w:pPr>
        <w:sectPr>
          <w:pgSz w:w="11900" w:h="16838" w:orient="portrait"/>
          <w:cols w:equalWidth="0" w:num="1">
            <w:col w:w="11360"/>
          </w:cols>
          <w:pgMar w:left="240" w:top="270" w:right="299" w:bottom="1440" w:gutter="0" w:footer="0" w:header="0"/>
        </w:sectPr>
      </w:pPr>
    </w:p>
    <w:bookmarkStart w:id="107" w:name="page108"/>
    <w:bookmarkEnd w:id="107"/>
    <w:p>
      <w:pPr>
        <w:ind w:left="460" w:hanging="452"/>
        <w:spacing w:after="0" w:line="27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is the fair market value at the time of transfer (determined without regard to any restriction other than a restriction which by its terms will never lapse) of the property with respect to which the election is made:</w:t>
      </w:r>
    </w:p>
    <w:p>
      <w:pPr>
        <w:spacing w:after="0" w:line="62" w:lineRule="exact"/>
        <w:rPr>
          <w:sz w:val="20"/>
          <w:szCs w:val="20"/>
          <w:color w:val="auto"/>
        </w:rPr>
      </w:pPr>
    </w:p>
    <w:p>
      <w:pPr>
        <w:ind w:left="920"/>
        <w:spacing w:after="0"/>
        <w:tabs>
          <w:tab w:leader="none" w:pos="1580" w:val="left"/>
          <w:tab w:leader="none" w:pos="2400" w:val="left"/>
          <w:tab w:leader="none" w:pos="3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at $</w:t>
      </w:r>
      <w:r>
        <w:rPr>
          <w:sz w:val="20"/>
          <w:szCs w:val="20"/>
          <w:color w:val="auto"/>
        </w:rPr>
        <w:tab/>
      </w:r>
      <w:r>
        <w:rPr>
          <w:rFonts w:ascii="Arial" w:cs="Arial" w:eastAsia="Arial" w:hAnsi="Arial"/>
          <w:sz w:val="15"/>
          <w:szCs w:val="15"/>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-10160</wp:posOffset>
            </wp:positionV>
            <wp:extent cx="866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866775" cy="889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-10160</wp:posOffset>
            </wp:positionV>
            <wp:extent cx="3429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property was transferred to the taxpayer pursuant to the grant of an award of restricted stock.</w:t>
      </w:r>
    </w:p>
    <w:p>
      <w:pPr>
        <w:spacing w:after="0" w:line="131"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is the amount paid for the property: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monetary consideration was provided in exchange for the Shares.</w:t>
      </w:r>
    </w:p>
    <w:p>
      <w:pPr>
        <w:spacing w:after="0" w:line="131"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copy of this election has been furnished to the Company, the corporation for which the services were performed by the undersigned.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Please acknowledge receipt of this election by date or received-stamping the enclosed copy of this letter and returning it to the undersigned. A self-addressed stamped envelope is provided for your convenience.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Grand Canyon Education, Inc.</w:t>
      </w:r>
    </w:p>
    <w:p>
      <w:pPr>
        <w:sectPr>
          <w:pgSz w:w="11900" w:h="16838" w:orient="portrait"/>
          <w:cols w:equalWidth="0" w:num="1">
            <w:col w:w="11420"/>
          </w:cols>
          <w:pgMar w:left="240" w:top="274"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20" w:type="dxa"/>
            <w:vAlign w:val="bottom"/>
          </w:tcPr>
          <w:p>
            <w:pPr>
              <w:ind w:left="880"/>
              <w:spacing w:after="0"/>
              <w:rPr>
                <w:sz w:val="20"/>
                <w:szCs w:val="20"/>
                <w:color w:val="auto"/>
              </w:rPr>
            </w:pPr>
            <w:r>
              <w:rPr>
                <w:rFonts w:ascii="Arial" w:cs="Arial" w:eastAsia="Arial" w:hAnsi="Arial"/>
                <w:sz w:val="18"/>
                <w:szCs w:val="18"/>
                <w:b w:val="1"/>
                <w:bCs w:val="1"/>
                <w:color w:val="auto"/>
                <w:w w:val="91"/>
              </w:rPr>
              <w:t>Exhibit 21.0</w:t>
            </w:r>
          </w:p>
        </w:tc>
      </w:tr>
      <w:tr>
        <w:trPr>
          <w:trHeight w:val="405"/>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Subsidiaries of Registrant</w:t>
            </w:r>
          </w:p>
        </w:tc>
        <w:tc>
          <w:tcPr>
            <w:tcW w:w="810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Jurisdiction of Incorporation</w:t>
            </w:r>
          </w:p>
        </w:tc>
      </w:tr>
      <w:tr>
        <w:trPr>
          <w:trHeight w:val="290"/>
        </w:trPr>
        <w:tc>
          <w:tcPr>
            <w:tcW w:w="9600" w:type="dxa"/>
            <w:vAlign w:val="bottom"/>
            <w:gridSpan w:val="2"/>
          </w:tcPr>
          <w:p>
            <w:pPr>
              <w:spacing w:after="0"/>
              <w:rPr>
                <w:sz w:val="20"/>
                <w:szCs w:val="20"/>
                <w:color w:val="auto"/>
              </w:rPr>
            </w:pPr>
            <w:r>
              <w:rPr>
                <w:rFonts w:ascii="Arial" w:cs="Arial" w:eastAsia="Arial" w:hAnsi="Arial"/>
                <w:sz w:val="18"/>
                <w:szCs w:val="18"/>
                <w:color w:val="auto"/>
              </w:rPr>
              <w:t>Grand Canyon University, Inc.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Canyon Golf,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Canyon Hospitality,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Canyon Promotions,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Tierra Vista Inversiones, LLC</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Nueva Ventura,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Casa de Amistad,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Amigos de Torrejon,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Piedras Bonitas Inversiones,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La Sonrisa de Siena,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Nuevo Comienzo,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El Vecino de Amigos,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La Fuente de la Comunidad,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Rentwise Properties,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Mid-State Rental Properties,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30"/>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REG 5160, LLC</w:t>
            </w:r>
          </w:p>
        </w:tc>
        <w:tc>
          <w:tcPr>
            <w:tcW w:w="1820" w:type="dxa"/>
            <w:vAlign w:val="bottom"/>
          </w:tcPr>
          <w:p>
            <w:pPr>
              <w:jc w:val="center"/>
              <w:spacing w:after="0"/>
              <w:rPr>
                <w:sz w:val="20"/>
                <w:szCs w:val="20"/>
                <w:color w:val="auto"/>
              </w:rPr>
            </w:pPr>
            <w:r>
              <w:rPr>
                <w:rFonts w:ascii="Arial" w:cs="Arial" w:eastAsia="Arial" w:hAnsi="Arial"/>
                <w:sz w:val="18"/>
                <w:szCs w:val="18"/>
                <w:color w:val="auto"/>
              </w:rPr>
              <w:t>AZ</w:t>
            </w:r>
          </w:p>
        </w:tc>
      </w:tr>
    </w:tbl>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333-155973, 333-165019, 333-179611, and 333-218740) on Form S-8 of Grand Canyon Education, Inc. of our reports dated February 21, 2018, with respect to the consolidated balance sheets of Grand Canyon Education, Inc. and subsidiaries as of December 31, 2017 and 2016, and the related consolidated statements of income, comprehensive income, stockholders’ equity,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10-K of Grand Canyon Education, Inc.</w:t>
      </w:r>
    </w:p>
    <w:p>
      <w:pPr>
        <w:spacing w:after="0" w:line="19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308" w:lineRule="auto"/>
        <w:tabs>
          <w:tab w:leader="none" w:pos="6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60" w:firstLine="464"/>
        <w:spacing w:after="0" w:line="264" w:lineRule="auto"/>
        <w:tabs>
          <w:tab w:leader="none" w:pos="6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28213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640" w:hanging="17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308" w:lineRule="auto"/>
        <w:tabs>
          <w:tab w:leader="none" w:pos="636"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60" w:firstLine="464"/>
        <w:spacing w:after="0" w:line="264" w:lineRule="auto"/>
        <w:tabs>
          <w:tab w:leader="none" w:pos="6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February 21, 2018</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28213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2017 as filed with the Securities and Exchange Commission on the date hereof (the “Report”), I, Brian E. Mueller, Chief Executive Officer, of the University, certify, pursuant to § 906 of the Sarbanes-Oxley Act of 2002,18 U.S.C. § 1350, as adopted pursuant to Section 906 of the Sarbanes-Oxley Act of 2002, that to the best of my knowledge:</w:t>
      </w:r>
    </w:p>
    <w:p>
      <w:pPr>
        <w:spacing w:after="0" w:line="9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2016 as filed with the Securities and Exchange Commission on the date hereof (the “Report”), I, Daniel E. Bachus, Chief Financial Officer, of the University, certify, pursuant to § 906 of the Sarbanes-Oxley Act of 2002,18 U.S.C. § 1350, as adopted pursuant to Section 906 of the Sarbanes-Oxley Act of 2002, that to the best of my knowledge:</w:t>
      </w:r>
    </w:p>
    <w:p>
      <w:pPr>
        <w:spacing w:after="0" w:line="9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lowerLetter"/>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1"/>
    </w:lvl>
  </w:abstractNum>
  <w:abstractNum w:abstractNumId="30">
    <w:nsid w:val="3DC240FB"/>
    <w:multiLevelType w:val="hybridMultilevel"/>
    <w:lvl w:ilvl="0">
      <w:lvlJc w:val="left"/>
      <w:lvlText w:val="(%1)"/>
      <w:numFmt w:val="decimal"/>
      <w:start w:val="3"/>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lowerRoman"/>
      <w:start w:val="1"/>
    </w:lvl>
  </w:abstractNum>
  <w:abstractNum w:abstractNumId="35">
    <w:nsid w:val="70C6A529"/>
    <w:multiLevelType w:val="hybridMultilevel"/>
    <w:lvl w:ilvl="0">
      <w:lvlJc w:val="left"/>
      <w:lvlText w:val="%1."/>
      <w:numFmt w:val="decimal"/>
      <w:start w:val="3"/>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1)"/>
      <w:numFmt w:val="lowerLetter"/>
      <w:start w:val="3"/>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1."/>
      <w:numFmt w:val="decimal"/>
      <w:start w:val="2"/>
    </w:lvl>
  </w:abstractNum>
  <w:abstractNum w:abstractNumId="41">
    <w:nsid w:val="275AC794"/>
    <w:multiLevelType w:val="hybridMultilevel"/>
    <w:lvl w:ilvl="0">
      <w:lvlJc w:val="left"/>
      <w:lvlText w:val="%1."/>
      <w:numFmt w:val="decimal"/>
      <w:start w:val="3"/>
    </w:lvl>
  </w:abstractNum>
  <w:abstractNum w:abstractNumId="42">
    <w:nsid w:val="39386575"/>
    <w:multiLevelType w:val="hybridMultilevel"/>
    <w:lvl w:ilvl="0">
      <w:lvlJc w:val="left"/>
      <w:lvlText w:val="%1."/>
      <w:numFmt w:val="decimal"/>
      <w:start w:val="4"/>
    </w:lvl>
  </w:abstractNum>
  <w:abstractNum w:abstractNumId="43">
    <w:nsid w:val="1CF10FD8"/>
    <w:multiLevelType w:val="hybridMultilevel"/>
    <w:lvl w:ilvl="0">
      <w:lvlJc w:val="left"/>
      <w:lvlText w:val="%1."/>
      <w:numFmt w:val="decimal"/>
      <w:start w:val="5"/>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decimal"/>
      <w:start w:val="6"/>
    </w:lvl>
  </w:abstractNum>
  <w:abstractNum w:abstractNumId="46">
    <w:nsid w:val="47398C89"/>
    <w:multiLevelType w:val="hybridMultilevel"/>
    <w:lvl w:ilvl="0">
      <w:lvlJc w:val="left"/>
      <w:lvlText w:val="%1."/>
      <w:numFmt w:val="decimal"/>
      <w:start w:val="7"/>
    </w:lvl>
  </w:abstractNum>
  <w:abstractNum w:abstractNumId="47">
    <w:nsid w:val="354FE9F9"/>
    <w:multiLevelType w:val="hybridMultilevel"/>
    <w:lvl w:ilvl="0">
      <w:lvlJc w:val="left"/>
      <w:lvlText w:val="%1"/>
      <w:numFmt w:val="lowerLetter"/>
      <w:start w:val="1"/>
    </w:lvl>
    <w:lvl w:ilvl="1">
      <w:lvlJc w:val="left"/>
      <w:lvlText w:val="(%2)"/>
      <w:numFmt w:val="lowerLetter"/>
      <w:start w:val="1"/>
    </w:lvl>
  </w:abstractNum>
  <w:abstractNum w:abstractNumId="48">
    <w:nsid w:val="15B5AF5C"/>
    <w:multiLevelType w:val="hybridMultilevel"/>
    <w:lvl w:ilvl="0">
      <w:lvlJc w:val="left"/>
      <w:lvlText w:val="(%1)"/>
      <w:numFmt w:val="lowerLetter"/>
      <w:start w:val="2"/>
    </w:lvl>
    <w:lvl w:ilvl="1">
      <w:lvlJc w:val="left"/>
      <w:lvlText w:val="%2"/>
      <w:numFmt w:val="lowerLetter"/>
      <w:start w:val="1"/>
    </w:lvl>
  </w:abstractNum>
  <w:abstractNum w:abstractNumId="49">
    <w:nsid w:val="741226BB"/>
    <w:multiLevelType w:val="hybridMultilevel"/>
    <w:lvl w:ilvl="0">
      <w:lvlJc w:val="left"/>
      <w:lvlText w:val="(%1)"/>
      <w:numFmt w:val="lowerLetter"/>
      <w:start w:val="2"/>
    </w:lvl>
  </w:abstractNum>
  <w:abstractNum w:abstractNumId="50">
    <w:nsid w:val="D34B6A8"/>
    <w:multiLevelType w:val="hybridMultilevel"/>
    <w:lvl w:ilvl="0">
      <w:lvlJc w:val="left"/>
      <w:lvlText w:val="(%1)"/>
      <w:numFmt w:val="lowerLetter"/>
      <w:start w:val="1"/>
    </w:lvl>
  </w:abstractNum>
  <w:abstractNum w:abstractNumId="51">
    <w:nsid w:val="10233C99"/>
    <w:multiLevelType w:val="hybridMultilevel"/>
    <w:lvl w:ilvl="0">
      <w:lvlJc w:val="left"/>
      <w:lvlText w:val="(%1)"/>
      <w:numFmt w:val="lowerLetter"/>
      <w:start w:val="2"/>
    </w:lvl>
  </w:abstractNum>
  <w:abstractNum w:abstractNumId="52">
    <w:nsid w:val="3F6AB60F"/>
    <w:multiLevelType w:val="hybridMultilevel"/>
    <w:lvl w:ilvl="0">
      <w:lvlJc w:val="left"/>
      <w:lvlText w:val="%1."/>
      <w:numFmt w:val="decimal"/>
      <w:start w:val="8"/>
    </w:lvl>
  </w:abstractNum>
  <w:abstractNum w:abstractNumId="53">
    <w:nsid w:val="61574095"/>
    <w:multiLevelType w:val="hybridMultilevel"/>
    <w:lvl w:ilvl="0">
      <w:lvlJc w:val="left"/>
      <w:lvlText w:val="%1."/>
      <w:numFmt w:val="decimal"/>
      <w:start w:val="9"/>
    </w:lvl>
  </w:abstractNum>
  <w:abstractNum w:abstractNumId="54">
    <w:nsid w:val="7E0C57B1"/>
    <w:multiLevelType w:val="hybridMultilevel"/>
    <w:lvl w:ilvl="0">
      <w:lvlJc w:val="left"/>
      <w:lvlText w:val="%1."/>
      <w:numFmt w:val="decimal"/>
      <w:start w:val="10"/>
    </w:lvl>
  </w:abstractNum>
  <w:abstractNum w:abstractNumId="55">
    <w:nsid w:val="77AE35EB"/>
    <w:multiLevelType w:val="hybridMultilevel"/>
    <w:lvl w:ilvl="0">
      <w:lvlJc w:val="left"/>
      <w:lvlText w:val="%1."/>
      <w:numFmt w:val="decimal"/>
      <w:start w:val="11"/>
    </w:lvl>
  </w:abstractNum>
  <w:abstractNum w:abstractNumId="56">
    <w:nsid w:val="579BE4F1"/>
    <w:multiLevelType w:val="hybridMultilevel"/>
    <w:lvl w:ilvl="0">
      <w:lvlJc w:val="left"/>
      <w:lvlText w:val="%1."/>
      <w:numFmt w:val="decimal"/>
      <w:start w:val="12"/>
    </w:lvl>
  </w:abstractNum>
  <w:abstractNum w:abstractNumId="57">
    <w:nsid w:val="310C50B3"/>
    <w:multiLevelType w:val="hybridMultilevel"/>
    <w:lvl w:ilvl="0">
      <w:lvlJc w:val="left"/>
      <w:lvlText w:val="%1."/>
      <w:numFmt w:val="decimal"/>
      <w:start w:val="13"/>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2"/>
    </w:lvl>
  </w:abstractNum>
  <w:abstractNum w:abstractNumId="61">
    <w:nsid w:val="1DBABF00"/>
    <w:multiLevelType w:val="hybridMultilevel"/>
    <w:lvl w:ilvl="0">
      <w:lvlJc w:val="left"/>
      <w:lvlText w:val="%1."/>
      <w:numFmt w:val="decimal"/>
      <w:start w:val="3"/>
    </w:lvl>
  </w:abstractNum>
  <w:abstractNum w:abstractNumId="62">
    <w:nsid w:val="4AD084E9"/>
    <w:multiLevelType w:val="hybridMultilevel"/>
    <w:lvl w:ilvl="0">
      <w:lvlJc w:val="left"/>
      <w:lvlText w:val="%1."/>
      <w:numFmt w:val="decimal"/>
      <w:start w:val="4"/>
    </w:lvl>
  </w:abstractNum>
  <w:abstractNum w:abstractNumId="63">
    <w:nsid w:val="1F48EAA1"/>
    <w:multiLevelType w:val="hybridMultilevel"/>
    <w:lvl w:ilvl="0">
      <w:lvlJc w:val="left"/>
      <w:lvlText w:val="%1."/>
      <w:numFmt w:val="decimal"/>
      <w:start w:val="5"/>
    </w:lvl>
  </w:abstractNum>
  <w:abstractNum w:abstractNumId="64">
    <w:nsid w:val="1381823A"/>
    <w:multiLevelType w:val="hybridMultilevel"/>
    <w:lvl w:ilvl="0">
      <w:lvlJc w:val="left"/>
      <w:lvlText w:val="%1."/>
      <w:numFmt w:val="decimal"/>
      <w:start w:val="6"/>
    </w:lvl>
  </w:abstractNum>
  <w:abstractNum w:abstractNumId="65">
    <w:nsid w:val="5DB70AE5"/>
    <w:multiLevelType w:val="hybridMultilevel"/>
    <w:lvl w:ilvl="0">
      <w:lvlJc w:val="left"/>
      <w:lvlText w:val="%1."/>
      <w:numFmt w:val="decimal"/>
      <w:start w:val="7"/>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04" Type="http://schemas.openxmlformats.org/officeDocument/2006/relationships/hyperlink" Target="http://www.sec.gov/Archives/edgar/data/1434588/000095015308001925/p75463a6exv3w1.htm" TargetMode="External"/><Relationship Id="rId105" Type="http://schemas.openxmlformats.org/officeDocument/2006/relationships/hyperlink" Target="http://www.sec.gov/Archives/edgar/data/1434588/000119312514387149/d812440dex31.htm" TargetMode="External"/><Relationship Id="rId106" Type="http://schemas.openxmlformats.org/officeDocument/2006/relationships/hyperlink" Target="http://www.sec.gov/Archives/edgar/data/1434588/000095015308001671/p75463a2exv4w1.htm" TargetMode="External"/><Relationship Id="rId107" Type="http://schemas.openxmlformats.org/officeDocument/2006/relationships/hyperlink" Target="http://www.sec.gov/Archives/edgar/data/1434588/000095012311098382/c21597exv10w1.htm" TargetMode="External"/><Relationship Id="rId108" Type="http://schemas.openxmlformats.org/officeDocument/2006/relationships/hyperlink" Target="http://www.sec.gov/Archives/edgar/data/1434588/000119312517203503/d405521dex101.htm" TargetMode="External"/><Relationship Id="rId109" Type="http://schemas.openxmlformats.org/officeDocument/2006/relationships/hyperlink" Target="http://www.sec.gov/Archives/edgar/data/1434588/000119312516467102/d34043dex1041.htm" TargetMode="External"/><Relationship Id="rId110" Type="http://schemas.openxmlformats.org/officeDocument/2006/relationships/hyperlink" Target="http://www.sec.gov/Archives/edgar/data/1434588/000119312516467102/d34043dex1051.htm" TargetMode="External"/><Relationship Id="rId111" Type="http://schemas.openxmlformats.org/officeDocument/2006/relationships/hyperlink" Target="http://www.sec.gov/Archives/edgar/data/1434588/000119312516467102/d34043dex1061.htm" TargetMode="External"/><Relationship Id="rId112" Type="http://schemas.openxmlformats.org/officeDocument/2006/relationships/hyperlink" Target="http://www.sec.gov/Archives/edgar/data/1434588/000119312516467102/d34043dex1071.htm" TargetMode="External"/><Relationship Id="rId113" Type="http://schemas.openxmlformats.org/officeDocument/2006/relationships/hyperlink" Target="http://www.sec.gov/Archives/edgar/data/1434588/000119312516467102/d34043dex1081.htm" TargetMode="External"/><Relationship Id="rId114" Type="http://schemas.openxmlformats.org/officeDocument/2006/relationships/hyperlink" Target="http://www.sec.gov/Archives/edgar/data/1434588/000095013408015085/p75463a1exv10w21.htm" TargetMode="External"/><Relationship Id="rId117" Type="http://schemas.openxmlformats.org/officeDocument/2006/relationships/hyperlink" Target="http://www.sec.gov/Archives/edgar/data/1434588/000119312513065203/d447069dex1010.htm" TargetMode="External"/><Relationship Id="rId118" Type="http://schemas.openxmlformats.org/officeDocument/2006/relationships/hyperlink" Target="http://www.sec.gov/Archives/edgar/data/1434588/000119312516467102/d34043dex10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2019-12-29T01:11:42Z</dcterms:created>
  <dcterms:modified xsi:type="dcterms:W3CDTF">2019-12-29T01:11:42Z</dcterms:modified>
</cp:coreProperties>
</file>