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40806x8k.htm"/>
      <w:bookmarkStart w:id="1" w:name="kslope20240806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0f79042a_b12a_470c_96bb_0a1ac57823af"/>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6, 2024</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jppiylnnCEasVwP5PuiPrQ_3_0"/>
      <w:bookmarkStart w:id="4" w:name="Tc__hGujxJfXEWwwMkVOy-Jmw_2_4"/>
      <w:bookmarkStart w:id="5" w:name="Tc_cOY9OtEHFkmjWcf6yTeyOw_2_2"/>
      <w:bookmarkStart w:id="6" w:name="Tc_njMjoeYpyEO5Ptm8sNoq-Q_2_0"/>
      <w:bookmarkStart w:id="7" w:name="_7fa0ebfc_0c79_4dbe_87e0_6617c5cbb49e"/>
      <w:bookmarkStart w:id="8" w:name="Tc_jppiylnnCEasVwP5PuiPrQ_3_0"/>
      <w:bookmarkStart w:id="9" w:name="Tc__hGujxJfXEWwwMkVOy-Jmw_2_4"/>
      <w:bookmarkStart w:id="10" w:name="Tc_cOY9OtEHFkmjWcf6yTeyOw_2_2"/>
      <w:bookmarkStart w:id="11" w:name="Tc_njMjoeYpyEO5Ptm8sNoq-Q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zhvb9O-RxEOcU7hEY2RhHw_3_1"/>
      <w:bookmarkStart w:id="14" w:name="Tc_LewuLyJr_kWDrPskTCENZw_3_0"/>
      <w:bookmarkStart w:id="15" w:name="Tc_oq2X4-82AUuu7YXRFBXOoA_2_0"/>
      <w:bookmarkStart w:id="16" w:name="_9a323b27_c53c_42df_98ef_985e5341818d"/>
      <w:bookmarkStart w:id="17" w:name="Tc_zhvb9O-RxEOcU7hEY2RhHw_3_1"/>
      <w:bookmarkStart w:id="18" w:name="Tc_LewuLyJr_kWDrPskTCENZw_3_0"/>
      <w:bookmarkStart w:id="19" w:name="Tc_oq2X4-82AUuu7YXRFBXOoA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MwbqWW4sska2ZNcmNnENJQ_0_2"/>
      <w:bookmarkStart w:id="22" w:name="Tc_nmyyXryj8EqSV4AWlaqoSg_0_1"/>
      <w:bookmarkStart w:id="23" w:name="Tc_pNOW7qV8pkOkhOPoqsiVkw_0_0"/>
      <w:bookmarkStart w:id="24" w:name="_2f4b5bca_6f5b_4b11_908f_f1dd216d9493"/>
      <w:bookmarkStart w:id="25" w:name="Tc_MwbqWW4sska2ZNcmNnENJQ_0_2"/>
      <w:bookmarkStart w:id="26" w:name="Tc_nmyyXryj8EqSV4AWlaqoSg_0_1"/>
      <w:bookmarkStart w:id="27" w:name="Tc_pNOW7qV8pkOkhOPoqsiVkw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6, 2024, the Company reported its results for the second quarter of 2024.  The press release dated August 6, 2024 is furnished as Exhibit 99.1 to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Consolidated Financial Statements and Exhibits.</w:t>
      </w:r>
    </w:p>
    <w:p>
      <w:pPr>
        <w:pStyle w:val="TextBody"/>
        <w:bidi w:val="0"/>
        <w:spacing w:before="0" w:after="0"/>
        <w:ind w:left="0" w:right="0" w:hanging="0"/>
        <w:jc w:val="both"/>
        <w:rPr/>
      </w:pPr>
      <w:r>
        <w:rPr>
          <w:rFonts w:ascii="Times New Roman;Times;serif" w:hAnsi="Times New Roman;Times;serif"/>
          <w:sz w:val="20"/>
        </w:rPr>
        <w:t>99.1       </w:t>
      </w:r>
      <w:hyperlink w:anchor="lope-20240806xex99d1.htm">
        <w:r>
          <w:rPr>
            <w:rStyle w:val="InternetLink"/>
            <w:rFonts w:ascii="Times New Roman;Times;serif" w:hAnsi="Times New Roman;Times;serif"/>
            <w:b w:val="false"/>
            <w:i w:val="false"/>
            <w:caps w:val="false"/>
            <w:smallCaps w:val="false"/>
            <w:sz w:val="20"/>
          </w:rPr>
          <w:t>Press Release dated August 6, 2024</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Date File (imbedded within the Inline XBRL document)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7318" w:type="dxa"/>
        <w:jc w:val="left"/>
        <w:tblInd w:w="0" w:type="dxa"/>
        <w:tblLayout w:type="fixed"/>
        <w:tblCellMar>
          <w:top w:w="0" w:type="dxa"/>
          <w:left w:w="0" w:type="dxa"/>
          <w:bottom w:w="0" w:type="dxa"/>
          <w:right w:w="0" w:type="dxa"/>
        </w:tblCellMar>
      </w:tblPr>
      <w:tblGrid>
        <w:gridCol w:w="946"/>
        <w:gridCol w:w="326"/>
        <w:gridCol w:w="604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046"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tcBorders>
              <w:bottom w:val="single" w:sz="2" w:space="0" w:color="000000"/>
            </w:tcBorders>
            <w:tcMar>
              <w:bottom w:w="28" w:type="dxa"/>
            </w:tcMar>
            <w:vAlign w:val="center"/>
          </w:tcPr>
          <w:p>
            <w:pPr>
              <w:pStyle w:val="TableContents"/>
              <w:pBdr/>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604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pPr>
            <w:hyperlink w:anchor="lope-20240806xex99d1.htm">
              <w:r>
                <w:rPr>
                  <w:rStyle w:val="InternetLink"/>
                  <w:rFonts w:ascii="Times New Roman;Times;serif" w:hAnsi="Times New Roman;Times;serif"/>
                  <w:b w:val="false"/>
                  <w:i w:val="false"/>
                  <w:caps w:val="false"/>
                  <w:smallCaps w:val="false"/>
                  <w:sz w:val="20"/>
                </w:rPr>
                <w:t>Press Release dated August 6, 2024</w:t>
              </w:r>
            </w:hyperlink>
          </w:p>
        </w:tc>
      </w:tr>
      <w:tr>
        <w:trPr/>
        <w:tc>
          <w:tcPr>
            <w:tcW w:w="94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240"/>
              <w:ind w:left="0" w:right="0" w:hanging="0"/>
              <w:jc w:val="left"/>
              <w:rPr/>
            </w:pPr>
            <w:r>
              <w:rPr/>
              <w:t>​</w:t>
            </w:r>
          </w:p>
        </w:tc>
        <w:tc>
          <w:tcPr>
            <w:tcW w:w="6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(imbedded within the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147" w:type="dxa"/>
        <w:jc w:val="left"/>
        <w:tblInd w:w="0" w:type="dxa"/>
        <w:tblLayout w:type="fixed"/>
        <w:tblCellMar>
          <w:top w:w="0" w:type="dxa"/>
          <w:left w:w="0" w:type="dxa"/>
          <w:bottom w:w="0" w:type="dxa"/>
          <w:right w:w="0" w:type="dxa"/>
        </w:tblCellMar>
      </w:tblPr>
      <w:tblGrid>
        <w:gridCol w:w="1846"/>
        <w:gridCol w:w="422"/>
        <w:gridCol w:w="2879"/>
      </w:tblGrid>
      <w:tr>
        <w:trPr/>
        <w:tc>
          <w:tcPr>
            <w:tcW w:w="184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184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29" w:name="lope-20240806xex99d1.htm"/>
      <w:bookmarkStart w:id="30" w:name="kslope20240806xex99d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NEWS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E. Bachus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Grand Canyon Education,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602-639-6648</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Dan.bachus@gce.com</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 REPORTS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SECOND QUARTER 2024 RESULTS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PHOENIX, AZ., August 6, 2024</w:t>
      </w:r>
      <w:r>
        <w:rPr>
          <w:rFonts w:ascii="Times New Roman;Times;serif" w:hAnsi="Times New Roman;Times;serif"/>
          <w:sz w:val="20"/>
        </w:rPr>
        <w:t>—</w:t>
      </w:r>
      <w:r>
        <w:rPr>
          <w:rFonts w:ascii="Times New Roman;Times;serif" w:hAnsi="Times New Roman;Times;serif"/>
          <w:b/>
          <w:sz w:val="20"/>
        </w:rPr>
        <w:t>Grand Canyon Education, Inc.</w:t>
      </w:r>
      <w:r>
        <w:rPr>
          <w:rFonts w:ascii="Times New Roman;Times;serif" w:hAnsi="Times New Roman;Times;serif"/>
          <w:sz w:val="20"/>
        </w:rPr>
        <w:t xml:space="preserve"> (NASDAQ: LOPE), (“GCE” or the “Company”), is a publicly traded education services company that currently provides services to 22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June 30, 2024.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June 30,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for the three months ended June 30, 2024 was $227.5 million, an increase of $16.9 million, or 8.0%, as compared to service revenue of $210.6 million for the three months ended June 30, 2023. The increase year over year in service revenue was primarily due to an increase in GCU enrollments to 102,676 at June 30, 2024, an increase of 7.0% over enrollments at June 30, 2023, an increase in university partner enrollments at our off-campus classroom and laboratory sites to 4,377 at June 30, 2024, an increase of 12.1% over enrollments at June 30, 2023, which includes 746 and 350 GCU students at June 30, 2024 and 2023, respectively, and an increase in revenue per student year over year. The increase in revenue per student between years is primarily due to the service revenue impact of the increased room, board and other ancillary revenues at GCU in the second quarter of 2024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June 30, 2024 was lessened somewhat by the timing of the Spring semester for the ground traditional campus. The Spring semester started one day earlier in 2024 than in 2023, which had the effect of shifting $2.1 million in service revenue from the second quarter of 2024 to the first quarter of 2024 in comparison to the prior year. In addition,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Partner enrollments totaled 106,307 at June 30, 2024 as compared to 99,526 at June 30, 2023. University partner enrollments at our off-campus classroom and laboratory sites were 4,377, an increase of 12.1% over enrollments at June 30, 2023, which includes 746 and 350 GCU students at June 30, 2024 and 2023, respectively. We opened five new off-campus classroom and laboratory sites in the year ended December 31, 2023 and four sites in the three months ended June 30, 2024, increasing the total number of these sites to 43 at June 30, 2024. Enrollments for GCU ground students were 7,397 at June 30, 2024 up from 7,327 at June 30, 2023. GCU online enrollments were 95,279 at June 30, 2024, up from 88,645 at June 30, 2023, an increase of 7.5% between years. GCU enrollment declines between March 31 and June 30 of each year as ground enrollment at GCU at June 30 of each year only includes traditional-aged students taking summer school classes, which is a small percentage of GCU’s traditional-aged student body. The Spring semester for GCU’s traditional-aged student body ends near the end of April each year.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three months ended June 30, 2024 was $42.7 million, an increase of $7.3 million as compared to $35.4 million for the same period in 2023. The operating margin for the three months ended June 30, 2024 and 2023 was 18.8% and 16.8%, respectively. The second quarter operating margin was negatively impacted on a year over year basis by the timing difference between years in the start of the Spring semester for GCU’s ground traditional campus and $1.1 million in severance costs recorded in the quarter related to an executive that resigned effective June 30, 2024.</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for the three months ended June 30, 2024 was $12.0 million, an increase of $2.9 million, or 32.0%, as compared to income tax expense of $9.1 million for the three months ended June 30, 2023. Our effective tax rate was 25.5% during the second quarter of 2024 compared to 23.8% during the second quarter of 2023. The effective tax rate increased year over year due to higher state income taxes.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20.4% to $34.9 million for the second quarter of 2024, compared to $29.0 million for the same period in 2023. As adjusted net income was $37.3 million and $30.6 million for the second quarters of 2024 and 2023,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$1.19 and $0.96 for the second quarters of 2024 and 2023, respectively. As adjusted diluted net income per share was $1.27 and $1.01 for the second quarters of 2024 and 2023,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22.6% to $58.5 million for the second quarter of 2024, compared to $47.7 million for the same period in 2023.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six months ended June 30,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 revenue for the six months ended June 30, 2024 was $502.1 million, an increase of $41.4 million, or 9.0%, as compared to service revenue of $460.7 million for the six months ended June 30, 2023. The increase year over year in service revenue was primarily due to an increase in GCU enrollments to 102,676 at June 30, 2024, an increase of 7.0% over enrollments at June 30, 2023, an increase in university partner enrollments at our off-campus classroom and laboratory sites to 4,377 at June 30, 2024, an increase of 12.1% over enrollments at June 30, 2023, which includes 746 and 350 GCU students at June 30, 2024 and 2023, respectively, and an increase in revenue per student year over year. The increase in revenue per student between years is primarily due to the service revenue impact of the increased room, board and other ancillary revenues at GCU in the six months ended June 30, 2024 as compared to the prior year period. In addition,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additional day for leap year in 2024 added additional service revenue of $1.5 million as compared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six months ended June 30, 2024 was $127.2 million, an increase of $17.3 million as compared to $109.9 million for the same period in 2023. The operating margin for the six months ended June 30, 2024 and 2023 was 25.3% and 23.9%, respectively. The six months ended June 30, 2024 operating margin was positively impacted on a year over year basis by an extra day in 2024 for leap year and was negatively impacted by $1.1 million recorded in the second quarter related to an executive that resigned effective June 30, 2024.</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expense for the six months ended June 30, 2024 was $32.1 million, an increase of $6.0 million, or 23.2%, as compared to income tax expense of $26.1 million for the six months ended June 30, 2023. Our effective tax rate was 23.8% during the six months ended June 30, 2024 compared to 22.8% during the six months ended June 30, 2023. Although the effective tax rate was favorably impacted in the six months ended June 30, 2024 by excess tax benefits of $1.5 million as compared to $0.9 million in the six months ended June 30, 2023, the effective tax rate increased year over year due to higher state income taxes. </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increased 16.2% to $102.9 million for the six months ended June 30, 2024, compared to $88.5 million for the same period in 2023. As adjusted net income was $107.0 million and $91.9 million for the six months ended June 30, 2024 and 2023,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was $3.48 and $2.91 for the six months ended June 30, 2024 and 2023, respectively. As adjusted diluted net income per share was $3.62 and $3.02 for the six months ended June 30, 2024 and 2023, respectively.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increased 16.9% to $157.1 million for the six months ended June 30, 2024, compared to $134.4 million for the same period in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increased by $97.3 million between December 31, 2023 and June 30, 2024, which was largely attributable to cash flows from operations for the six months ended June 30, 2024 exceeding share repurchases, changes in our investment balances and capital expenditures during the six months ended June 30, 2024. Our unrestricted cash and cash equivalents and investments were $341.8 million and $244.5 million at June 30, 2024 and December 31,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 Reports Second Quarter 2024 Results and Full Year Outlook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2024 Outlook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Q3 2024:</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$238.0 million and $240.5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19.7% and 20.4%;</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20.8%;</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$1.37 and $1.43;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 million diluted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$1.7 million, which equates to a $0.06 impact on diluted EPS. Thus, as adjusted, Non-GAAP diluted income per share of between $1.43 and $1.49.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Q4 2024:</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$286.5 million and $291.5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34.7% and 35.7%;</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21.7%;</w:t>
            </w:r>
          </w:p>
        </w:tc>
      </w:tr>
    </w:tbl>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of between $2.78 and $2.91;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million diluted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$1.6 million, which equates to a $0.06 impact on diluted EPS. Thus, as adjusted, Non-GAAP diluted income per share of between $2.84 and $2.97. </w:t>
      </w:r>
    </w:p>
    <w:p>
      <w:pPr>
        <w:pStyle w:val="TextBody"/>
        <w:pBdr/>
        <w:bidi w:val="0"/>
        <w:spacing w:before="0" w:after="0"/>
        <w:ind w:left="0" w:right="0" w:hanging="2160"/>
        <w:jc w:val="left"/>
        <w:rPr>
          <w:rFonts w:ascii="Times New Roman;Times;serif" w:hAnsi="Times New Roman;Times;serif"/>
          <w:b/>
          <w:sz w:val="20"/>
        </w:rPr>
      </w:pPr>
      <w:r>
        <w:rPr>
          <w:rFonts w:ascii="Times New Roman;Times;serif" w:hAnsi="Times New Roman;Times;serif"/>
          <w:b/>
          <w:sz w:val="20"/>
        </w:rPr>
        <w:t>Full Year 2024:</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of between $1,026.6 million and $1,034.1 million;</w:t>
            </w:r>
          </w:p>
        </w:tc>
      </w:tr>
    </w:tbl>
    <w:tbl>
      <w:tblPr>
        <w:tblW w:w="4113" w:type="dxa"/>
        <w:jc w:val="left"/>
        <w:tblInd w:w="0" w:type="dxa"/>
        <w:tblLayout w:type="fixed"/>
        <w:tblCellMar>
          <w:top w:w="0" w:type="dxa"/>
          <w:left w:w="0" w:type="dxa"/>
          <w:bottom w:w="0" w:type="dxa"/>
          <w:right w:w="0" w:type="dxa"/>
        </w:tblCellMar>
      </w:tblPr>
      <w:tblGrid>
        <w:gridCol w:w="23"/>
        <w:gridCol w:w="170"/>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of between 26.7% and 27.2%;</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tax rate of 22.4%;</w:t>
            </w:r>
          </w:p>
        </w:tc>
      </w:tr>
    </w:tbl>
    <w:tbl>
      <w:tblPr>
        <w:tblW w:w="3693" w:type="dxa"/>
        <w:jc w:val="left"/>
        <w:tblInd w:w="0" w:type="dxa"/>
        <w:tblLayout w:type="fixed"/>
        <w:tblCellMar>
          <w:top w:w="0" w:type="dxa"/>
          <w:left w:w="0" w:type="dxa"/>
          <w:bottom w:w="0" w:type="dxa"/>
          <w:right w:w="0" w:type="dxa"/>
        </w:tblCellMar>
      </w:tblPr>
      <w:tblGrid>
        <w:gridCol w:w="23"/>
        <w:gridCol w:w="170"/>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between $7.63 and $7.81; and</w:t>
            </w:r>
          </w:p>
        </w:tc>
      </w:tr>
    </w:tbl>
    <w:tbl>
      <w:tblPr>
        <w:tblW w:w="2433" w:type="dxa"/>
        <w:jc w:val="left"/>
        <w:tblInd w:w="0" w:type="dxa"/>
        <w:tblLayout w:type="fixed"/>
        <w:tblCellMar>
          <w:top w:w="0" w:type="dxa"/>
          <w:left w:w="0" w:type="dxa"/>
          <w:bottom w:w="0" w:type="dxa"/>
          <w:right w:w="0" w:type="dxa"/>
        </w:tblCellMar>
      </w:tblPr>
      <w:tblGrid>
        <w:gridCol w:w="23"/>
        <w:gridCol w:w="170"/>
        <w:gridCol w:w="22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 million diluted shares.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diluted EPS guidance includes non-cash amortization of intangible assets net of taxes of $6.6 million and $0.9 million of severance costs, which equates to a $0.26 impact on diluted EPS. Thus, as adjusted, Non-GAAP diluted income per share of between $7.88 and $8.07.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both"/>
        <w:rPr/>
      </w:pPr>
      <w:r>
        <w:rPr/>
        <w: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pStyle w:val="TextBody"/>
        <w:bidi w:val="0"/>
        <w:spacing w:before="0" w:after="0"/>
        <w:ind w:left="0" w:right="0" w:hanging="0"/>
        <w:jc w:val="left"/>
        <w:rPr/>
      </w:pPr>
      <w:r>
        <w:rPr/>
        <w: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legal and regulatory actions taken against our university partners that impact their businesses and that directly or indirectly reduce the service revenue we can earn under our master services agreements; the occurrence of any event, change or other circumstance that could give rise to the termination of any of the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lineRule="atLeast" w:line="220" w:before="0" w:after="0"/>
        <w:ind w:left="0" w:right="0" w:hanging="0"/>
        <w:jc w:val="left"/>
        <w:rPr>
          <w:rFonts w:ascii="Times New Roman;Times;serif" w:hAnsi="Times New Roman;Times;serif"/>
          <w:sz w:val="20"/>
        </w:rPr>
      </w:pPr>
      <w:r>
        <w:rPr>
          <w:rFonts w:ascii="Times New Roman;Times;serif" w:hAnsi="Times New Roman;Times;serif"/>
          <w:sz w:val="20"/>
        </w:rPr>
        <w:t xml:space="preserve">services provided to our existing university partners; 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 the harm to our business, results of operations, and financial condition, and harm to our university partners resulting from epidemics, pandemics, or public health crises; the harm to our business and our ability to retract and retain students resulting from capacity constraints, system disruptions, or security breaches in our online computer networks and phone systems; the ability of our university partners’ students to obtain federal Title IV funds, state financial aid, and private financing; potential damage to our reputation or other adverse effects as a result of negative publicity in the media, in the industry or in connection with governmental reports or investigations or otherwise, affecting us or other companies in the education services sector; risks associated with changes in applicable federal and state laws and regulations and accrediting commission standards, including pending rulemaking by the United States Department of Education applicable to us directly or indirectly through our university partners; competition from other education service companies in our geographic region and market sector, including competition for students, qualified executives and other personnel; our expected tax payments and tax rate; our ability to hire and train new, and develop and train existing employees; the pace of growth of our university partners’ enrollment and its effect on the pace of our own growth; fluctuations in our revenues due to seasonality;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risks associated with the competitive environment for marketing the programs of our university partners; failure on our part to keep up with advances in technology that could enhance the experience for our university partners’ students; our ability to manage future growth effectively; the impact of any natural disasters or public health emergencies; general adverse economic conditions or other developments that affect the job prospects of our university partners’ students; and other factors discussed in reports on file with the Securities and Exchange Commission, including as set forth in Part I, Item 1A of our Annual Report on Form 10-K for period ended December 31, 2023, as updated in our subsequent reports filed with the Securities and Exchange Commission on Form 10-Q or Form 8-K. </w:t>
      </w:r>
    </w:p>
    <w:p>
      <w:pPr>
        <w:pStyle w:val="TextBody"/>
        <w:bidi w:val="0"/>
        <w:spacing w:before="0" w:after="0"/>
        <w:ind w:left="0" w:right="0" w:hanging="0"/>
        <w:jc w:val="left"/>
        <w:rPr/>
      </w:pPr>
      <w:r>
        <w:rPr/>
        <w:t>​</w:t>
      </w:r>
    </w:p>
    <w:p>
      <w:pPr>
        <w:pStyle w:val="TextBody"/>
        <w:bidi w:val="0"/>
        <w:spacing w:lineRule="atLeast" w:line="220" w:before="0" w:after="0"/>
        <w:ind w:left="0" w:right="0" w:firstLine="720"/>
        <w:jc w:val="both"/>
        <w:rPr>
          <w:rFonts w:ascii="Times New Roman;Times;serif" w:hAnsi="Times New Roman;Times;serif"/>
          <w:sz w:val="20"/>
        </w:rPr>
      </w:pPr>
      <w:r>
        <w:rPr>
          <w:rFonts w:ascii="Times New Roman;Times;serif" w:hAnsi="Times New Roman;Times;serif"/>
          <w:sz w:val="20"/>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Conference Call</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Grand Canyon Education, Inc. will discuss its second quarter 2024 results and full year 2024 outlook during a conference call scheduled for today, August 6, 2024 at 4:30 p.m. Eastern time (ET). </w:t>
      </w:r>
    </w:p>
    <w:p>
      <w:pPr>
        <w:pStyle w:val="TextBody"/>
        <w:pBdr/>
        <w:shd w:fill="FFFFFF" w:val="clear"/>
        <w:bidi w:val="0"/>
        <w:spacing w:before="28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Live Conference Dial-In: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 xml:space="preserve">Those interested in participating in the question-and-answer session should follow the conference dial-in instructions below. Participants may register for the call </w:t>
      </w:r>
      <w:r>
        <w:rPr>
          <w:rFonts w:ascii="Times New Roman;Times;serif" w:hAnsi="Times New Roman;Times;serif"/>
          <w:color w:val="0000FF"/>
          <w:sz w:val="20"/>
        </w:rPr>
        <w:t>here</w:t>
      </w:r>
      <w:r>
        <w:rPr>
          <w:rFonts w:ascii="Times New Roman;Times;serif" w:hAnsi="Times New Roman;Times;serif"/>
          <w:color w:val="333333"/>
          <w:sz w:val="20"/>
        </w:rPr>
        <w:t xml:space="preserve"> to receive the dial-in numbers and unique PIN to access the call seamlessly. Please dial in at least ten minutes prior to the start of the call.  Journalists are invited to listen only. </w:t>
      </w:r>
    </w:p>
    <w:p>
      <w:pPr>
        <w:pStyle w:val="TextBody"/>
        <w:pBdr/>
        <w:shd w:fill="FFFFFF" w:val="clear"/>
        <w:bidi w:val="0"/>
        <w:spacing w:before="0" w:after="0"/>
        <w:ind w:left="0" w:right="0" w:hanging="0"/>
        <w:jc w:val="left"/>
        <w:rPr>
          <w:rFonts w:ascii="Times New Roman;Times;serif" w:hAnsi="Times New Roman;Times;serif"/>
          <w:b/>
          <w:color w:val="333333"/>
          <w:sz w:val="20"/>
        </w:rPr>
      </w:pPr>
      <w:r>
        <w:rPr>
          <w:rFonts w:ascii="Times New Roman;Times;serif" w:hAnsi="Times New Roman;Times;serif"/>
          <w:b/>
          <w:color w:val="333333"/>
          <w:sz w:val="20"/>
        </w:rPr>
        <w:t>Webcast and Replay:</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color w:val="333333"/>
          <w:sz w:val="20"/>
        </w:rPr>
        <w:t>Investors, journalists and the general public may access a live webcast of this event at: </w:t>
      </w:r>
      <w:r>
        <w:rPr>
          <w:rFonts w:ascii="Times New Roman;Times;serif" w:hAnsi="Times New Roman;Times;serif"/>
          <w:i/>
          <w:color w:val="337AB7"/>
          <w:sz w:val="20"/>
        </w:rPr>
        <w:t>Q2 2024 Grand Canyon Education Inc. Earnings Conference Call</w:t>
      </w:r>
      <w:r>
        <w:rPr>
          <w:rFonts w:ascii="Times New Roman;Times;serif" w:hAnsi="Times New Roman;Times;serif"/>
          <w:i/>
          <w:color w:val="333333"/>
          <w:sz w:val="20"/>
        </w:rPr>
        <w:t>. </w:t>
      </w:r>
      <w:r>
        <w:rPr>
          <w:rFonts w:ascii="Times New Roman;Times;serif" w:hAnsi="Times New Roman;Times;serif"/>
          <w:color w:val="333333"/>
          <w:sz w:val="20"/>
        </w:rPr>
        <w:t>A webcast replay will be available approximately two hours following the conclusion of the call at the same link.</w:t>
      </w:r>
    </w:p>
    <w:p>
      <w:pPr>
        <w:pStyle w:val="TextBody"/>
        <w:bidi w:val="0"/>
        <w:spacing w:before="28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Grand Canyon Education, Inc.</w:t>
      </w:r>
    </w:p>
    <w:p>
      <w:pPr>
        <w:pStyle w:val="TextBody"/>
        <w:bidi w:val="0"/>
        <w:spacing w:before="0" w:after="10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Grand Canyon Education, Inc. (“GCE”), incorporated in 2008, is a publicly traded education services company that currently provides services to 22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Grand Canyon Education, Inc., 2600 W. Camelback Road, Phoenix, AZ 85017, </w:t>
      </w:r>
      <w:r>
        <w:rPr>
          <w:rFonts w:ascii="Times New Roman;Times;serif" w:hAnsi="Times New Roman;Times;serif"/>
          <w:b/>
          <w:sz w:val="20"/>
        </w:rPr>
        <w:t>www.gce.com</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203" w:type="dxa"/>
        <w:jc w:val="left"/>
        <w:tblInd w:w="0" w:type="dxa"/>
        <w:tblLayout w:type="fixed"/>
        <w:tblCellMar>
          <w:top w:w="0" w:type="dxa"/>
          <w:left w:w="0" w:type="dxa"/>
          <w:bottom w:w="0" w:type="dxa"/>
          <w:right w:w="0" w:type="dxa"/>
        </w:tblCellMar>
      </w:tblPr>
      <w:tblGrid>
        <w:gridCol w:w="3886"/>
        <w:gridCol w:w="32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467610" cy="175260"/>
                      <wp:effectExtent l="0" t="0" r="0" b="0"/>
                      <wp:wrapNone/>
                      <wp:docPr id="3" name="Frame3"/>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24510" cy="175260"/>
                      <wp:effectExtent l="0" t="0" r="0" b="0"/>
                      <wp:wrapNone/>
                      <wp:docPr id="15" name="Frame1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 except per share data)</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460,702</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145,741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103,700</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350,783</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109,919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114,636</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26,099</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30,462</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63"/>
        <w:gridCol w:w="326"/>
        <w:gridCol w:w="211"/>
        <w:gridCol w:w="1013"/>
        <w:gridCol w:w="326"/>
        <w:gridCol w:w="226"/>
        <w:gridCol w:w="1140"/>
      </w:tblGrid>
      <w:tr>
        <w:trPr/>
        <w:tc>
          <w:tcPr>
            <w:tcW w:w="6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421505" cy="175260"/>
                      <wp:effectExtent l="0" t="0" r="0" b="0"/>
                      <wp:wrapNone/>
                      <wp:docPr id="16" name="Frame16"/>
                      <a:graphic xmlns:a="http://schemas.openxmlformats.org/drawingml/2006/main">
                        <a:graphicData uri="http://schemas.microsoft.com/office/word/2010/wordprocessingShape">
                          <wps:wsp>
                            <wps:cNvSpPr txBox="1"/>
                            <wps:spPr>
                              <a:xfrm>
                                <a:off x="0" y="0"/>
                                <a:ext cx="442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3255" cy="175260"/>
                      <wp:effectExtent l="0" t="0" r="0" b="0"/>
                      <wp:wrapNone/>
                      <wp:docPr id="19" name="Frame19"/>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21" name="Frame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3900" cy="175260"/>
                      <wp:effectExtent l="0" t="0" r="0" b="0"/>
                      <wp:wrapNone/>
                      <wp:docPr id="22" name="Frame22"/>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696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326" w:type="dxa"/>
            <w:tcBorders/>
            <w:vAlign w:val="center"/>
          </w:tcPr>
          <w:p>
            <w:pPr>
              <w:pStyle w:val="TableContents"/>
              <w:bidi w:val="0"/>
              <w:spacing w:before="0" w:after="0"/>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6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  </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241,317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98,031</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29,454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78,811</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389,825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337,522</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173,827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169,699</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101,893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92,454</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164,171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168,381</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992,691</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930,463</w:t>
            </w:r>
          </w:p>
        </w:tc>
      </w:tr>
      <w:tr>
        <w:trPr/>
        <w:tc>
          <w:tcPr>
            <w:tcW w:w="696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  </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107,467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97,033</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97,499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88,257</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233,496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212,449</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  </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pPr>
            <w:r>
              <w:rPr/>
              <w:t>  </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June 30, 2024 and December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54,090 and 53,970 shares issued and 29,549 and 29,953 shares outstanding at June 30, 2024 and December 31,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24,541 and 24,017 shares of common stock at June 30, 2024 and December 31, 2023,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(1,918,810)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(1,849,693)</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329,990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322,512</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2,347,600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2,244,712</w:t>
            </w:r>
          </w:p>
        </w:tc>
      </w:tr>
      <w:tr>
        <w:trPr/>
        <w:tc>
          <w:tcPr>
            <w:tcW w:w="696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759,195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718,014</w:t>
            </w:r>
          </w:p>
        </w:tc>
      </w:tr>
      <w:tr>
        <w:trPr/>
        <w:tc>
          <w:tcPr>
            <w:tcW w:w="69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992,691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930,463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bl>
      <w:tblPr>
        <w:tblW w:w="9432" w:type="dxa"/>
        <w:jc w:val="left"/>
        <w:tblInd w:w="0" w:type="dxa"/>
        <w:tblLayout w:type="fixed"/>
        <w:tblCellMar>
          <w:top w:w="0" w:type="dxa"/>
          <w:left w:w="0" w:type="dxa"/>
          <w:bottom w:w="0" w:type="dxa"/>
          <w:right w:w="0" w:type="dxa"/>
        </w:tblCellMar>
      </w:tblPr>
      <w:tblGrid>
        <w:gridCol w:w="6721"/>
        <w:gridCol w:w="326"/>
        <w:gridCol w:w="211"/>
        <w:gridCol w:w="796"/>
        <w:gridCol w:w="326"/>
        <w:gridCol w:w="211"/>
        <w:gridCol w:w="84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67835" cy="175260"/>
                      <wp:effectExtent l="0" t="0" r="0" b="0"/>
                      <wp:wrapNone/>
                      <wp:docPr id="23" name="Frame2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5460" cy="175260"/>
                      <wp:effectExtent l="0" t="0" r="0" b="0"/>
                      <wp:wrapNone/>
                      <wp:docPr id="26" name="Frame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34035" cy="175260"/>
                      <wp:effectExtent l="0" t="0" r="0" b="0"/>
                      <wp:wrapNone/>
                      <wp:docPr id="29" name="Frame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7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including fixed asset disposals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from university partners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52,731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Right-of-use assets and lease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157,128</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of amortizable content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(73,807)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or maturity of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43,837</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(48,057)</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 and shares withheld in lieu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(86,555)</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(86,555)</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increase in cash and cash equivalents and restricted cash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22,516</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120,409</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 and restricted cash,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142,925</w:t>
            </w:r>
          </w:p>
        </w:tc>
      </w:tr>
      <w:tr>
        <w:trPr/>
        <w:tc>
          <w:tcPr>
            <w:tcW w:w="672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42,460</w:t>
            </w:r>
          </w:p>
        </w:tc>
      </w:tr>
      <w:tr>
        <w:trPr/>
        <w:tc>
          <w:tcPr>
            <w:tcW w:w="672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included in 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 and Liability recognition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treasury stock repurchases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Grand Canyon Education, Inc. Reports Second Quarter 2024 Results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Adjusted EBITDA  (Non-GAAP Financial Measure)</w:t>
      </w:r>
    </w:p>
    <w:p>
      <w:pPr>
        <w:pStyle w:val="TextBody"/>
        <w:bidi w:val="0"/>
        <w:spacing w:before="0" w:after="0"/>
        <w:ind w:left="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severance costs,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pStyle w:val="TextBody"/>
        <w:bidi w:val="0"/>
        <w:spacing w:before="0" w:after="0"/>
        <w:ind w:left="0" w:right="0" w:firstLine="288"/>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pStyle w:val="TextBody"/>
        <w:bidi w:val="0"/>
        <w:spacing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23"/>
        <w:gridCol w:w="170"/>
        <w:gridCol w:w="5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expenditures for capital expenditures or contractual commitments;</w:t>
            </w:r>
          </w:p>
        </w:tc>
      </w:tr>
    </w:tbl>
    <w:p>
      <w:pPr>
        <w:pStyle w:val="TextBody"/>
        <w:pBdr/>
        <w:bidi w:val="0"/>
        <w:spacing w:before="0" w:after="0"/>
        <w:ind w:left="360" w:right="0" w:hanging="360"/>
        <w:jc w:val="left"/>
        <w:rPr/>
      </w:pPr>
      <w:r>
        <w:rPr/>
        <w:t>​</w:t>
      </w:r>
    </w:p>
    <w:tbl>
      <w:tblPr>
        <w:tblW w:w="5943" w:type="dxa"/>
        <w:jc w:val="left"/>
        <w:tblInd w:w="0" w:type="dxa"/>
        <w:tblLayout w:type="fixed"/>
        <w:tblCellMar>
          <w:top w:w="0" w:type="dxa"/>
          <w:left w:w="0" w:type="dxa"/>
          <w:bottom w:w="0" w:type="dxa"/>
          <w:right w:w="0" w:type="dxa"/>
        </w:tblCellMar>
      </w:tblPr>
      <w:tblGrid>
        <w:gridCol w:w="23"/>
        <w:gridCol w:w="170"/>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or cash requirements for, our working capital requirements;</w:t>
            </w:r>
          </w:p>
        </w:tc>
      </w:tr>
    </w:tbl>
    <w:p>
      <w:pPr>
        <w:pStyle w:val="TextBody"/>
        <w:pBdr/>
        <w:bidi w:val="0"/>
        <w:spacing w:before="0" w:after="0"/>
        <w:ind w:left="360" w:right="0" w:hanging="360"/>
        <w:jc w:val="left"/>
        <w:rPr/>
      </w:pPr>
      <w:r>
        <w:rPr/>
        <w:t>​</w:t>
      </w:r>
    </w:p>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or the cash required to replace assets that are being depreciated or amortized; and</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reported results of earnings or charges resulting from the items for which we make adjustments to our EBITDA, as described above and set forth in the table below.</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of net income to Adjusted EBITDA, which is a non-GAAP measure for the periods indicated:</w:t>
      </w:r>
    </w:p>
    <w:p>
      <w:pPr>
        <w:pStyle w:val="TextBody"/>
        <w:bidi w:val="0"/>
        <w:spacing w:before="0" w:after="0"/>
        <w:ind w:left="0" w:right="0" w:hanging="0"/>
        <w:jc w:val="both"/>
        <w:rPr/>
      </w:pPr>
      <w:r>
        <w:rPr/>
        <w:t>​</w:t>
      </w:r>
    </w:p>
    <w:tbl>
      <w:tblPr>
        <w:tblW w:w="8463" w:type="dxa"/>
        <w:jc w:val="center"/>
        <w:tblInd w:w="0" w:type="dxa"/>
        <w:tblLayout w:type="fixed"/>
        <w:tblCellMar>
          <w:top w:w="0" w:type="dxa"/>
          <w:left w:w="0" w:type="dxa"/>
          <w:bottom w:w="0" w:type="dxa"/>
          <w:right w:w="0" w:type="dxa"/>
        </w:tblCellMar>
      </w:tblPr>
      <w:tblGrid>
        <w:gridCol w:w="3256"/>
        <w:gridCol w:w="326"/>
        <w:gridCol w:w="211"/>
        <w:gridCol w:w="691"/>
        <w:gridCol w:w="326"/>
        <w:gridCol w:w="211"/>
        <w:gridCol w:w="691"/>
        <w:gridCol w:w="326"/>
        <w:gridCol w:w="211"/>
        <w:gridCol w:w="781"/>
        <w:gridCol w:w="326"/>
        <w:gridCol w:w="211"/>
        <w:gridCol w:w="89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67560" cy="175260"/>
                      <wp:effectExtent l="0" t="0" r="0" b="0"/>
                      <wp:wrapNone/>
                      <wp:docPr id="30" name="Frame30"/>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38785" cy="175260"/>
                      <wp:effectExtent l="0" t="0" r="0" b="0"/>
                      <wp:wrapNone/>
                      <wp:docPr id="33" name="Frame3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68960" cy="175260"/>
                      <wp:effectExtent l="0" t="0" r="0" b="0"/>
                      <wp:wrapNone/>
                      <wp:docPr id="42" name="Frame4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4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2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investment interest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amortization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125,068</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loss on fixed asset disposal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litigation and regulatory reserves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severance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share-based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6,622</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134,372</w:t>
            </w:r>
          </w:p>
        </w:tc>
      </w:tr>
    </w:tbl>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Non-GAAP Net Income and Non-GAAP Diluted Income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believes the presentation of non-GAAP net income and non-GAAP diluted income per share information that excludes amortization of intangible assets, loss on disposal of fixed assets and severance costs allows investors to develop a more meaningful understanding of the Company’s performance over time. Accordingly, for the six-months ended June 30, 2024 and 2023, the table below provides reconciliations of these non-GAAP items to GAAP net income and GAAP diluted income per share, respectively:</w:t>
      </w:r>
    </w:p>
    <w:p>
      <w:pPr>
        <w:pStyle w:val="TextBody"/>
        <w:bidi w:val="0"/>
        <w:spacing w:before="0" w:after="0"/>
        <w:ind w:left="0" w:right="0" w:hanging="0"/>
        <w:jc w:val="left"/>
        <w:rPr/>
      </w:pPr>
      <w:r>
        <w:rPr/>
        <w:t>​</w:t>
      </w:r>
    </w:p>
    <w:tbl>
      <w:tblPr>
        <w:tblW w:w="9788" w:type="dxa"/>
        <w:jc w:val="center"/>
        <w:tblInd w:w="0" w:type="dxa"/>
        <w:tblLayout w:type="fixed"/>
        <w:tblCellMar>
          <w:top w:w="0" w:type="dxa"/>
          <w:left w:w="0" w:type="dxa"/>
          <w:bottom w:w="0" w:type="dxa"/>
          <w:right w:w="0" w:type="dxa"/>
        </w:tblCellMar>
      </w:tblPr>
      <w:tblGrid>
        <w:gridCol w:w="4186"/>
        <w:gridCol w:w="459"/>
        <w:gridCol w:w="297"/>
        <w:gridCol w:w="952"/>
        <w:gridCol w:w="153"/>
        <w:gridCol w:w="297"/>
        <w:gridCol w:w="952"/>
        <w:gridCol w:w="459"/>
        <w:gridCol w:w="211"/>
        <w:gridCol w:w="781"/>
        <w:gridCol w:w="109"/>
        <w:gridCol w:w="211"/>
        <w:gridCol w:w="72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58110" cy="175260"/>
                      <wp:effectExtent l="0" t="0" r="0" b="0"/>
                      <wp:wrapNone/>
                      <wp:docPr id="43" name="Frame4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91465" cy="175260"/>
                      <wp:effectExtent l="0" t="0" r="0" b="0"/>
                      <wp:wrapNone/>
                      <wp:docPr id="44" name="Frame44"/>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8595" cy="175260"/>
                      <wp:effectExtent l="0" t="0" r="0" b="0"/>
                      <wp:wrapNone/>
                      <wp:docPr id="45" name="Frame4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04520" cy="175260"/>
                      <wp:effectExtent l="0" t="0" r="0" b="0"/>
                      <wp:wrapNone/>
                      <wp:docPr id="46" name="Frame46"/>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155" cy="175260"/>
                      <wp:effectExtent l="0" t="0" r="0" b="0"/>
                      <wp:wrapNone/>
                      <wp:docPr id="47" name="Frame47"/>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88595" cy="175260"/>
                      <wp:effectExtent l="0" t="0" r="0" b="0"/>
                      <wp:wrapNone/>
                      <wp:docPr id="48" name="Frame4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4520" cy="175260"/>
                      <wp:effectExtent l="0" t="0" r="0" b="0"/>
                      <wp:wrapNone/>
                      <wp:docPr id="49" name="Frame49"/>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91465" cy="175260"/>
                      <wp:effectExtent l="0" t="0" r="0" b="0"/>
                      <wp:wrapNone/>
                      <wp:docPr id="50" name="Frame5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8470" cy="175260"/>
                      <wp:effectExtent l="0" t="0" r="0" b="0"/>
                      <wp:wrapNone/>
                      <wp:docPr id="55" name="Frame55"/>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265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45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822"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8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5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8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8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3" w:type="dxa"/>
            <w:tcBorders/>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9"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78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vAlign w:val="center"/>
          </w:tcPr>
          <w:p>
            <w:pPr>
              <w:pStyle w:val="TableContents"/>
              <w:bidi w:val="0"/>
              <w:spacing w:before="0" w:after="0"/>
              <w:ind w:left="0" w:right="0" w:hanging="0"/>
              <w:jc w:val="left"/>
              <w:rPr/>
            </w:pPr>
            <w:r>
              <w:rPr/>
              <w:t>​</w:t>
            </w:r>
          </w:p>
        </w:tc>
        <w:tc>
          <w:tcPr>
            <w:tcW w:w="356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 except per share data)</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Net income</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34,878</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28,973</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88,537</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45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153"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w:t>
            </w:r>
          </w:p>
        </w:tc>
        <w:tc>
          <w:tcPr>
            <w:tcW w:w="45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costs</w:t>
            </w:r>
          </w:p>
        </w:tc>
        <w:tc>
          <w:tcPr>
            <w:tcW w:w="45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153"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effects of adjustments(1)</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Net income</w:t>
            </w:r>
          </w:p>
        </w:tc>
        <w:tc>
          <w:tcPr>
            <w:tcW w:w="45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37,323</w:t>
            </w:r>
          </w:p>
        </w:tc>
        <w:tc>
          <w:tcPr>
            <w:tcW w:w="153"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30,617</w:t>
            </w:r>
          </w:p>
        </w:tc>
        <w:tc>
          <w:tcPr>
            <w:tcW w:w="45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106,993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91,893</w:t>
            </w:r>
          </w:p>
        </w:tc>
      </w:tr>
      <w:tr>
        <w:trPr/>
        <w:tc>
          <w:tcPr>
            <w:tcW w:w="4186" w:type="dxa"/>
            <w:tcBorders/>
            <w:shd w:fill="CCEEFF" w:val="clear"/>
            <w:vAlign w:val="center"/>
          </w:tcPr>
          <w:p>
            <w:pPr>
              <w:pStyle w:val="TableContents"/>
              <w:bidi w:val="0"/>
              <w:spacing w:before="0" w:after="0"/>
              <w:ind w:left="0" w:right="0" w:hanging="0"/>
              <w:jc w:val="left"/>
              <w:rPr/>
            </w:pPr>
            <w:r>
              <w:rPr/>
              <w:t>​</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GAAP Diluted income per share</w:t>
            </w:r>
          </w:p>
        </w:tc>
        <w:tc>
          <w:tcPr>
            <w:tcW w:w="45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153"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c>
          <w:tcPr>
            <w:tcW w:w="45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(2)</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fixed assets (3)</w:t>
            </w:r>
          </w:p>
        </w:tc>
        <w:tc>
          <w:tcPr>
            <w:tcW w:w="45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53"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5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costs (4)</w:t>
            </w:r>
          </w:p>
        </w:tc>
        <w:tc>
          <w:tcPr>
            <w:tcW w:w="45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153"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Adjusted, Non-GAAP Diluted income per share</w:t>
            </w:r>
          </w:p>
        </w:tc>
        <w:tc>
          <w:tcPr>
            <w:tcW w:w="45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153"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5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3.02</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income tax effects of adjustments are based on the effective income tax rate applicable to adjusted (non-GAAP) results. </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of acquired intangible assets per diluted share is net of an income tax benefit of $0.02 for both of the three months ended June 30, 2024 and 2023, and net of an income tax benefit of $0.03 for both of the six months ended June 30, 2024 and 2023.</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disposal of fixed assets per diluted share is net of an income tax benefit of nil for both of the three months ended June 30, 2024 and 2023, and net of an income tax benefit of nil for both of the six months ended June 30, 2024 and 2023.</w:t>
            </w:r>
          </w:p>
        </w:tc>
      </w:tr>
    </w:tbl>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severance costs per diluted share is net of an income tax benefit of $0.01 for the three months ended June 30, 2024 and net of an income tax benefit of $0.01 for the six months ended June 30,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5396</Words>
  <Characters>29194</Characters>
  <CharactersWithSpaces>34873</CharactersWithSpaces>
  <Paragraphs>1558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