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AND EXCHANGE ACT OF 1934</w:t>
      </w:r>
    </w:p>
    <w:p>
      <w:pPr>
        <w:spacing w:after="0" w:line="63" w:lineRule="exact"/>
        <w:rPr>
          <w:rFonts w:ascii="MS PGothic" w:cs="MS PGothic" w:eastAsia="MS PGothic" w:hAnsi="MS PGothic"/>
          <w:sz w:val="20"/>
          <w:szCs w:val="20"/>
          <w:color w:val="auto"/>
        </w:rPr>
      </w:pPr>
    </w:p>
    <w:p>
      <w:pPr>
        <w:ind w:left="390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March 31, 2018</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GRAND CANYON EDUCATION,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3"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4"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right="144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April 30, 2018, was 48,223,919.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1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90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Item 3</w:t>
              </w:r>
            </w:hyperlink>
          </w:p>
        </w:tc>
        <w:tc>
          <w:tcPr>
            <w:tcW w:w="4380" w:type="dxa"/>
            <w:vAlign w:val="bottom"/>
            <w:tcBorders>
              <w:top w:val="single" w:sz="8" w:color="0000EE"/>
              <w:bottom w:val="single" w:sz="8" w:color="0000EE"/>
            </w:tcBorders>
            <w:gridSpan w:val="15"/>
          </w:tcPr>
          <w:p>
            <w:pPr>
              <w:ind w:left="20"/>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140" w:type="dxa"/>
            <w:vAlign w:val="bottom"/>
            <w:tcBorders>
              <w:top w:val="single" w:sz="8" w:color="0000EE"/>
            </w:tcBorders>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Item 4</w:t>
              </w:r>
            </w:hyperlink>
          </w:p>
        </w:tc>
        <w:tc>
          <w:tcPr>
            <w:tcW w:w="180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87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060" w:type="dxa"/>
            <w:vAlign w:val="bottom"/>
            <w:gridSpan w:val="1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Item 1</w:t>
              </w:r>
            </w:hyperlink>
          </w:p>
        </w:tc>
        <w:tc>
          <w:tcPr>
            <w:tcW w:w="136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1000" w:type="dxa"/>
            <w:vAlign w:val="bottom"/>
            <w:tcBorders>
              <w:top w:val="single" w:sz="8" w:color="0000EE"/>
            </w:tcBorders>
            <w:gridSpan w:val="6"/>
          </w:tcPr>
          <w:p>
            <w:pPr>
              <w:spacing w:after="0"/>
              <w:rPr>
                <w:sz w:val="24"/>
                <w:szCs w:val="24"/>
                <w:color w:val="auto"/>
              </w:rPr>
            </w:pPr>
          </w:p>
        </w:tc>
        <w:tc>
          <w:tcPr>
            <w:tcW w:w="820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1A Risk Factors</w:t>
              </w:r>
            </w:hyperlink>
          </w:p>
        </w:tc>
        <w:tc>
          <w:tcPr>
            <w:tcW w:w="950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2</w:t>
              </w:r>
            </w:hyperlink>
          </w:p>
        </w:tc>
        <w:tc>
          <w:tcPr>
            <w:tcW w:w="10560" w:type="dxa"/>
            <w:vAlign w:val="bottom"/>
            <w:gridSpan w:val="17"/>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 xml:space="preserve">Item   </w:t>
              </w:r>
            </w:hyperlink>
            <w:r>
              <w:rPr>
                <w:rFonts w:ascii="Arial" w:cs="Arial" w:eastAsia="Arial" w:hAnsi="Arial"/>
                <w:sz w:val="18"/>
                <w:szCs w:val="18"/>
                <w:color w:val="0000EE"/>
                <w:w w:val="79"/>
              </w:rPr>
              <w:t>3</w:t>
            </w:r>
          </w:p>
        </w:tc>
        <w:tc>
          <w:tcPr>
            <w:tcW w:w="436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62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 xml:space="preserve">Item   </w:t>
              </w:r>
            </w:hyperlink>
            <w:r>
              <w:rPr>
                <w:rFonts w:ascii="Arial" w:cs="Arial" w:eastAsia="Arial" w:hAnsi="Arial"/>
                <w:sz w:val="18"/>
                <w:szCs w:val="18"/>
                <w:color w:val="0000EE"/>
                <w:w w:val="79"/>
              </w:rPr>
              <w:t>4</w:t>
            </w:r>
          </w:p>
        </w:tc>
        <w:tc>
          <w:tcPr>
            <w:tcW w:w="234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82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 xml:space="preserve">Item   </w:t>
              </w:r>
            </w:hyperlink>
            <w:r>
              <w:rPr>
                <w:rFonts w:ascii="Arial" w:cs="Arial" w:eastAsia="Arial" w:hAnsi="Arial"/>
                <w:sz w:val="18"/>
                <w:szCs w:val="18"/>
                <w:color w:val="0000EE"/>
                <w:w w:val="79"/>
              </w:rPr>
              <w:t>5</w:t>
            </w:r>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 xml:space="preserve">Item   </w:t>
              </w:r>
            </w:hyperlink>
            <w:r>
              <w:rPr>
                <w:rFonts w:ascii="Arial" w:cs="Arial" w:eastAsia="Arial" w:hAnsi="Arial"/>
                <w:sz w:val="18"/>
                <w:szCs w:val="18"/>
                <w:color w:val="0000EE"/>
                <w:w w:val="79"/>
              </w:rPr>
              <w:t>6</w:t>
            </w:r>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99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101.</w:t>
            </w:r>
            <w:r>
              <w:rPr>
                <w:rFonts w:ascii="Arial" w:cs="Arial" w:eastAsia="Arial" w:hAnsi="Arial"/>
                <w:sz w:val="18"/>
                <w:szCs w:val="18"/>
                <w:u w:val="single" w:color="auto"/>
                <w:color w:val="auto"/>
                <w:w w:val="92"/>
              </w:rPr>
              <w:t>INS</w:t>
            </w:r>
            <w:r>
              <w:rPr>
                <w:rFonts w:ascii="Arial" w:cs="Arial" w:eastAsia="Arial" w:hAnsi="Arial"/>
                <w:sz w:val="18"/>
                <w:szCs w:val="18"/>
                <w:color w:val="auto"/>
                <w:w w:val="92"/>
              </w:rPr>
              <w:t xml:space="preserve"> XBRL Instance Document</w:t>
            </w:r>
          </w:p>
        </w:tc>
        <w:tc>
          <w:tcPr>
            <w:tcW w:w="8480" w:type="dxa"/>
            <w:vAlign w:val="bottom"/>
            <w:gridSpan w:val="8"/>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101.</w:t>
            </w:r>
            <w:r>
              <w:rPr>
                <w:rFonts w:ascii="Arial" w:cs="Arial" w:eastAsia="Arial" w:hAnsi="Arial"/>
                <w:sz w:val="18"/>
                <w:szCs w:val="18"/>
                <w:u w:val="single" w:color="auto"/>
                <w:color w:val="auto"/>
                <w:w w:val="91"/>
              </w:rPr>
              <w:t>SCH</w:t>
            </w:r>
            <w:r>
              <w:rPr>
                <w:rFonts w:ascii="Arial" w:cs="Arial" w:eastAsia="Arial" w:hAnsi="Arial"/>
                <w:sz w:val="18"/>
                <w:szCs w:val="18"/>
                <w:color w:val="auto"/>
                <w:w w:val="91"/>
              </w:rPr>
              <w:t xml:space="preserve"> XBRL Taxonomy Extension Schema</w:t>
            </w:r>
          </w:p>
        </w:tc>
        <w:tc>
          <w:tcPr>
            <w:tcW w:w="766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101.CAL XBRL Taxonomy Extension Calculation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101.DEF XBRL Taxonomy Extension Definition Linkbase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620" w:type="dxa"/>
            <w:vAlign w:val="bottom"/>
            <w:gridSpan w:val="2"/>
          </w:tcPr>
          <w:p>
            <w:pPr>
              <w:spacing w:after="0"/>
              <w:rPr>
                <w:sz w:val="17"/>
                <w:szCs w:val="17"/>
                <w:color w:val="auto"/>
              </w:rPr>
            </w:pPr>
          </w:p>
        </w:tc>
        <w:tc>
          <w:tcPr>
            <w:tcW w:w="5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98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080" w:type="dxa"/>
            <w:vAlign w:val="bottom"/>
            <w:gridSpan w:val="3"/>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720" w:type="dxa"/>
            <w:vAlign w:val="bottom"/>
            <w:gridSpan w:val="2"/>
          </w:tcPr>
          <w:p>
            <w:pPr>
              <w:jc w:val="center"/>
              <w:ind w:right="2185"/>
              <w:spacing w:after="0"/>
              <w:rPr>
                <w:sz w:val="20"/>
                <w:szCs w:val="20"/>
                <w:color w:val="auto"/>
              </w:rPr>
            </w:pPr>
            <w:r>
              <w:rPr>
                <w:rFonts w:ascii="Arial" w:cs="Arial" w:eastAsia="Arial" w:hAnsi="Arial"/>
                <w:sz w:val="18"/>
                <w:szCs w:val="18"/>
                <w:b w:val="1"/>
                <w:bCs w:val="1"/>
                <w:color w:val="auto"/>
              </w:rPr>
              <w:t>GRAND CANYON EDUCATION, INC.</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720" w:type="dxa"/>
            <w:vAlign w:val="bottom"/>
            <w:gridSpan w:val="2"/>
          </w:tcPr>
          <w:p>
            <w:pPr>
              <w:jc w:val="center"/>
              <w:ind w:right="2165"/>
              <w:spacing w:after="0"/>
              <w:rPr>
                <w:sz w:val="20"/>
                <w:szCs w:val="20"/>
                <w:color w:val="auto"/>
              </w:rPr>
            </w:pPr>
            <w:r>
              <w:rPr>
                <w:rFonts w:ascii="Arial" w:cs="Arial" w:eastAsia="Arial" w:hAnsi="Arial"/>
                <w:sz w:val="18"/>
                <w:szCs w:val="18"/>
                <w:b w:val="1"/>
                <w:bCs w:val="1"/>
                <w:color w:val="auto"/>
                <w:w w:val="88"/>
              </w:rPr>
              <w:t>Consolidated Income Statements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720" w:type="dxa"/>
            <w:vAlign w:val="bottom"/>
            <w:gridSpan w:val="2"/>
          </w:tcPr>
          <w:p>
            <w:pPr>
              <w:jc w:val="center"/>
              <w:ind w:right="2185"/>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2"/>
        </w:trPr>
        <w:tc>
          <w:tcPr>
            <w:tcW w:w="3980" w:type="dxa"/>
            <w:vAlign w:val="bottom"/>
            <w:gridSpan w:val="5"/>
            <w:vMerge w:val="continue"/>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80" w:type="dxa"/>
            <w:vAlign w:val="bottom"/>
            <w:tcBorders>
              <w:top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Net revenue</w:t>
            </w:r>
          </w:p>
        </w:tc>
        <w:tc>
          <w:tcPr>
            <w:tcW w:w="1680" w:type="dxa"/>
            <w:vAlign w:val="bottom"/>
            <w:tcBorders>
              <w:top w:val="single" w:sz="8" w:color="CCEEFF"/>
            </w:tcBorders>
            <w:shd w:val="clear" w:color="auto" w:fill="CCEEFF"/>
          </w:tcPr>
          <w:p>
            <w:pPr>
              <w:spacing w:after="0"/>
              <w:rPr>
                <w:sz w:val="16"/>
                <w:szCs w:val="16"/>
                <w:color w:val="auto"/>
              </w:rPr>
            </w:pPr>
          </w:p>
        </w:tc>
        <w:tc>
          <w:tcPr>
            <w:tcW w:w="5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275,681</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248,206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111,027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340"/>
              <w:spacing w:after="0"/>
              <w:rPr>
                <w:sz w:val="20"/>
                <w:szCs w:val="20"/>
                <w:color w:val="auto"/>
              </w:rPr>
            </w:pPr>
            <w:r>
              <w:rPr>
                <w:rFonts w:ascii="Arial" w:cs="Arial" w:eastAsia="Arial" w:hAnsi="Arial"/>
                <w:sz w:val="18"/>
                <w:szCs w:val="18"/>
                <w:color w:val="auto"/>
              </w:rPr>
              <w:t>Admissions advisory and related</w:t>
            </w: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34,854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30"/>
        </w:trPr>
        <w:tc>
          <w:tcPr>
            <w:tcW w:w="3980" w:type="dxa"/>
            <w:vAlign w:val="bottom"/>
            <w:gridSpan w:val="5"/>
          </w:tcPr>
          <w:p>
            <w:pPr>
              <w:spacing w:after="0"/>
              <w:rPr>
                <w:sz w:val="20"/>
                <w:szCs w:val="20"/>
                <w:color w:val="auto"/>
              </w:rPr>
            </w:pPr>
            <w:r>
              <w:rPr>
                <w:rFonts w:ascii="Arial" w:cs="Arial" w:eastAsia="Arial" w:hAnsi="Arial"/>
                <w:sz w:val="18"/>
                <w:szCs w:val="18"/>
                <w:b w:val="1"/>
                <w:bCs w:val="1"/>
                <w:color w:val="auto"/>
              </w:rPr>
              <w:t>Total costs and expenses</w:t>
            </w:r>
          </w:p>
        </w:tc>
        <w:tc>
          <w:tcPr>
            <w:tcW w:w="5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185,589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171,578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340"/>
              <w:spacing w:after="0"/>
              <w:rPr>
                <w:sz w:val="20"/>
                <w:szCs w:val="20"/>
                <w:color w:val="auto"/>
              </w:rPr>
            </w:pPr>
            <w:r>
              <w:rPr>
                <w:rFonts w:ascii="Arial" w:cs="Arial" w:eastAsia="Arial" w:hAnsi="Arial"/>
                <w:sz w:val="18"/>
                <w:szCs w:val="18"/>
                <w:color w:val="auto"/>
              </w:rPr>
              <w:t>Interest expense</w:t>
            </w:r>
          </w:p>
        </w:tc>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980" w:type="dxa"/>
            <w:vAlign w:val="bottom"/>
            <w:gridSpan w:val="5"/>
          </w:tcPr>
          <w:p>
            <w:pPr>
              <w:spacing w:after="0"/>
              <w:rPr>
                <w:sz w:val="20"/>
                <w:szCs w:val="20"/>
                <w:color w:val="auto"/>
              </w:rPr>
            </w:pPr>
            <w:r>
              <w:rPr>
                <w:rFonts w:ascii="Arial" w:cs="Arial" w:eastAsia="Arial" w:hAnsi="Arial"/>
                <w:sz w:val="18"/>
                <w:szCs w:val="18"/>
                <w:b w:val="1"/>
                <w:bCs w:val="1"/>
                <w:color w:val="auto"/>
              </w:rPr>
              <w:t>Income before income taxes</w:t>
            </w:r>
          </w:p>
        </w:tc>
        <w:tc>
          <w:tcPr>
            <w:tcW w:w="5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20,138</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90"/>
              </w:rPr>
              <w:t>Net income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73,681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w w:val="95"/>
              </w:rPr>
              <w:t>Basic weighted average shares outstanding</w:t>
            </w:r>
          </w:p>
        </w:tc>
        <w:tc>
          <w:tcPr>
            <w:tcW w:w="5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vMerge w:val="continue"/>
          </w:tcPr>
          <w:p>
            <w:pPr>
              <w:spacing w:after="0"/>
              <w:rPr>
                <w:sz w:val="18"/>
                <w:szCs w:val="18"/>
                <w:color w:val="auto"/>
              </w:rPr>
            </w:pPr>
          </w:p>
        </w:tc>
        <w:tc>
          <w:tcPr>
            <w:tcW w:w="5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w w:val="92"/>
              </w:rPr>
              <w:t>Diluted weighted average shares outstanding</w:t>
            </w: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9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2"/>
        </w:trPr>
        <w:tc>
          <w:tcPr>
            <w:tcW w:w="9860" w:type="dxa"/>
            <w:vAlign w:val="bottom"/>
            <w:gridSpan w:val="3"/>
            <w:vMerge w:val="continue"/>
          </w:tcPr>
          <w:p>
            <w:pPr>
              <w:spacing w:after="0"/>
              <w:rPr>
                <w:sz w:val="14"/>
                <w:szCs w:val="14"/>
                <w:color w:val="auto"/>
              </w:rPr>
            </w:pPr>
          </w:p>
        </w:tc>
        <w:tc>
          <w:tcPr>
            <w:tcW w:w="58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Net income</w:t>
            </w:r>
          </w:p>
        </w:tc>
        <w:tc>
          <w:tcPr>
            <w:tcW w:w="89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$73,681</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$55,912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Unrealized gains on available-for-sale securities and restricted cash equivalents, net of taxes of $8 and $242 for March 31, 2018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 2017, respectively</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ind w:left="340"/>
              <w:spacing w:after="0"/>
              <w:rPr>
                <w:sz w:val="20"/>
                <w:szCs w:val="20"/>
                <w:color w:val="auto"/>
              </w:rPr>
            </w:pPr>
            <w:r>
              <w:rPr>
                <w:rFonts w:ascii="Arial" w:cs="Arial" w:eastAsia="Arial" w:hAnsi="Arial"/>
                <w:sz w:val="18"/>
                <w:szCs w:val="18"/>
                <w:color w:val="auto"/>
              </w:rPr>
              <w:t>Unrealized gains (losses) on hedging derivatives, net of taxes of $57 and $3 for March 31, 2018 and 2017, respectively</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8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73,879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9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tcBorders>
              <w:top w:val="single" w:sz="8" w:color="auto"/>
            </w:tcBorders>
          </w:tcPr>
          <w:p>
            <w:pPr>
              <w:spacing w:after="0"/>
              <w:rPr>
                <w:sz w:val="10"/>
                <w:szCs w:val="10"/>
                <w:color w:val="auto"/>
              </w:rPr>
            </w:pPr>
          </w:p>
        </w:tc>
        <w:tc>
          <w:tcPr>
            <w:tcW w:w="7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w w:val="97"/>
              </w:rPr>
              <w:t>(Unaudited)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40" w:type="dxa"/>
            <w:vAlign w:val="bottom"/>
            <w:shd w:val="clear" w:color="auto" w:fill="CCEEFF"/>
          </w:tcPr>
          <w:p>
            <w:pPr>
              <w:ind w:left="22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242,846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72,816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91,910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9,469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435,364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950,156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1,391,983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40" w:type="dxa"/>
            <w:vAlign w:val="bottom"/>
            <w:shd w:val="clear" w:color="auto" w:fill="CCEEFF"/>
          </w:tcPr>
          <w:p>
            <w:pPr>
              <w:ind w:left="17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25,013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30,234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72,948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64,130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6,691</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261,666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59,925</w:t>
            </w:r>
          </w:p>
        </w:tc>
        <w:tc>
          <w:tcPr>
            <w:tcW w:w="0" w:type="dxa"/>
            <w:vAlign w:val="bottom"/>
          </w:tcPr>
          <w:p>
            <w:pPr>
              <w:spacing w:after="0"/>
              <w:rPr>
                <w:sz w:val="1"/>
                <w:szCs w:val="1"/>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340,971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 outstanding at March 31, 2018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gridSpan w:val="2"/>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52,496 and 52,277 shares issued and 48,217 and 48,125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tcPr>
          <w:p>
            <w:pPr>
              <w:ind w:left="160"/>
              <w:spacing w:after="0"/>
              <w:rPr>
                <w:sz w:val="20"/>
                <w:szCs w:val="20"/>
                <w:color w:val="auto"/>
              </w:rPr>
            </w:pPr>
            <w:r>
              <w:rPr>
                <w:rFonts w:ascii="Arial" w:cs="Arial" w:eastAsia="Arial" w:hAnsi="Arial"/>
                <w:sz w:val="18"/>
                <w:szCs w:val="18"/>
                <w:color w:val="auto"/>
              </w:rPr>
              <w:t>outstanding at March 31, 2018 and December 31, 2017,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Treasury stock, at cost, 4,279 and 4,152 shares of common stock at March 31, 2018 and December 31, 2017,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237,056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926,683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1,051,012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985,951</w:t>
            </w:r>
          </w:p>
        </w:tc>
        <w:tc>
          <w:tcPr>
            <w:tcW w:w="0" w:type="dxa"/>
            <w:vAlign w:val="bottom"/>
          </w:tcPr>
          <w:p>
            <w:pPr>
              <w:spacing w:after="0"/>
              <w:rPr>
                <w:sz w:val="1"/>
                <w:szCs w:val="1"/>
                <w:color w:val="auto"/>
              </w:rPr>
            </w:pPr>
          </w:p>
        </w:tc>
      </w:tr>
      <w:tr>
        <w:trPr>
          <w:trHeight w:val="223"/>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1,391,983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2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17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Treasury Stock</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620" w:type="dxa"/>
            <w:vAlign w:val="bottom"/>
            <w:gridSpan w:val="6"/>
            <w:vMerge w:val="continue"/>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8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24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8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85"/>
              </w:rPr>
              <w:t>Loss</w:t>
            </w:r>
          </w:p>
        </w:tc>
        <w:tc>
          <w:tcPr>
            <w:tcW w:w="8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52,277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523</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4,152</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$(100,694)</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$232,670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6"/>
              </w:rPr>
              <w:t>(724)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$854,176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Cumulative effect from the adoption of accounting</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pronouncements, net of taxes</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198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73,681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73,879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160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(11,524)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(8,055)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52,496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525</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4,279</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(112,726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237,056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76"/>
              </w:rPr>
              <w:t>(526)</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926,683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1,051,012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788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Cash flows</w:t>
            </w:r>
          </w:p>
        </w:tc>
        <w:tc>
          <w:tcPr>
            <w:tcW w:w="6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provided by operating activities:</w:t>
            </w:r>
          </w:p>
        </w:tc>
        <w:tc>
          <w:tcPr>
            <w:tcW w:w="1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73,681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13,947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14,809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24,686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(22,350)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(15,165)</w:t>
            </w:r>
          </w:p>
        </w:tc>
        <w:tc>
          <w:tcPr>
            <w:tcW w:w="0" w:type="dxa"/>
            <w:vAlign w:val="bottom"/>
          </w:tcPr>
          <w:p>
            <w:pPr>
              <w:spacing w:after="0"/>
              <w:rPr>
                <w:sz w:val="1"/>
                <w:szCs w:val="1"/>
                <w:color w:val="auto"/>
              </w:rPr>
            </w:pPr>
          </w:p>
        </w:tc>
      </w:tr>
      <w:tr>
        <w:trPr>
          <w:trHeight w:val="230"/>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119,008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(35,173)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land and building improvements related to off-site development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Purchases of investments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(17,122)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30"/>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(38,525)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(48,588)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borrowings from revolving line of credit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(12,032)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30"/>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(12,829)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248,008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315,662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158,883</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gridSpan w:val="3"/>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Cash paid for income taxes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13,081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of capitalized costs – adoption of ASC 606</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Reclassification of deferred revenue – adoption of ASC 606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7,451</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6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Grand Canyon Education, Inc. (together with its subsidiaries, the “University” or “GCE”) is a comprehensive regionally accredited university that offers over 225 graduate and undergraduate degree programs, emphases and certificates across nine colleges both online and on ground at our over 275 acre campus in Phoenix, Arizona, at leased facilities and at facilities owned by third party employers. Our undergraduate programs are designed to be innovative and to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wholly-owned subsidiaries are primarily used to facilitate expansion of the University campus.</w:t>
      </w:r>
    </w:p>
    <w:p>
      <w:pPr>
        <w:spacing w:after="0" w:line="107" w:lineRule="exact"/>
        <w:rPr>
          <w:sz w:val="20"/>
          <w:szCs w:val="20"/>
          <w:color w:val="auto"/>
        </w:rPr>
      </w:pPr>
    </w:p>
    <w:p>
      <w:pPr>
        <w:ind w:right="7860" w:firstLine="8"/>
        <w:spacing w:after="0" w:line="315"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6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2017.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2017 from which the December 31, 2017 balance sheet information was derived.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63"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and cash equivalents. The majority of these funds remains as restricted for an average of 60 to 90 days from the date of receipt.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6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The University considers its investments in municipal bonds, mutual funds, municipal securities, certificates of deposit and commercial paper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63"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On February 27, 2013, the University entered into an interest rate corridor to manage its 30 Day LIBOR interest exposure related to its variable rate debt. The fair value of the interest rate corridor instrument as of March 31, 2018 and December 31, 2017 was $739 and $509,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$231 and $8 for the three months ended March 31, 2018 and 2017, respectively, for the effective portion of the gains and losses on the derivatives is included as a component of other comprehensive income, net of taxes.</w:t>
      </w:r>
    </w:p>
    <w:p>
      <w:pPr>
        <w:spacing w:after="0" w:line="13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interest rate corridor instrument reduces variable interest rate risk starting March 1, 2013 through December 20, 2019 with a notional amount of $65,000 as of March 31, 2018. The corridor instrument’s terms permit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33"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As of March 31, 2018, no derivative ineffectiveness was identified. Any ineffectiveness in the University’s derivative instrument designated as a hedge is reported in interest expense in the income statement. At March 31, 2018, the University does not expect to reclassify gains or losses on derivative instruments from accumulated other comprehensive income (loss) into earnings during the next 12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payable approximates fair value as it is based on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w:t>
      </w:r>
    </w:p>
    <w:p>
      <w:pPr>
        <w:spacing w:after="0" w:line="134"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color w:val="auto"/>
        </w:rPr>
        <w:t>The fair value of investments, primarily municipal securities, was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On January 1, 2018, the University adopted “Revenue from Contracts with Customers” using the modified retrospective method applied to all contracts. Net revenues consist primarily of tuition, net of scholarships, and fees derived from courses taught by the University online, on ground at its over 275 acre campus in Phoenix, Arizona, and at facilities it leases or those of employers, as well as from related educational resources that the University provides to its students, such as access to online materials. Tuition revenue is recognized pro-rata over the applicable period of instruction. A contract is entered into with a student and covers a course or semester. Revenue recognition occurs once a student starts attending a course. The University also charges online students an upfront learning management fee, which is deferred and recognized over the initial course. The University has no costs that are capitalized to obtain or to fulfill a contract with a customer. Ancillary revenues include housing and fee revenues that are recognized over the period the services are provided and include revenues from sales and services such as food and beverage, merchandise, hotel, golf and arena events that are recognized as sales occur or services are performed as these services are transferred at a point in time. For the three months ended March 31, 2018 and 2017, the University’s revenue was reduced by approximately $60,241 and $54,653, respectively, as a result of scholarships that the University offered to students. Sales tax collected from students is excluded from net revenues. Collected but unremitted sales tax is included as an accrued liability in our consolidated balance sheet.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presents our revenues disaggregated by the nature of services for the three months ended March 31, 2018:</w:t>
      </w:r>
    </w:p>
    <w:p>
      <w:pPr>
        <w:spacing w:after="0" w:line="14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Tuition revenues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$278,713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Ancillary revenues (housing, meals, fees, golf, hotel, arena, other)</w:t>
            </w:r>
          </w:p>
        </w:tc>
        <w:tc>
          <w:tcPr>
            <w:tcW w:w="1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335,922</w:t>
            </w:r>
          </w:p>
        </w:tc>
        <w:tc>
          <w:tcPr>
            <w:tcW w:w="120" w:type="dxa"/>
            <w:vAlign w:val="bottom"/>
            <w:shd w:val="clear" w:color="auto" w:fill="CCEEFF"/>
          </w:tcPr>
          <w:p>
            <w:pPr>
              <w:spacing w:after="0"/>
              <w:rPr>
                <w:sz w:val="18"/>
                <w:szCs w:val="18"/>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Scholarships</w:t>
            </w:r>
          </w:p>
        </w:tc>
        <w:tc>
          <w:tcPr>
            <w:tcW w:w="1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(60,241)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275,681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University’s receivables represent unconditional rights to consideration from our contracts with students; accordingly, students are not billed until they start attending a course and the revenue recognition process has commenced. Once a student has been invoiced payment is due immediately. Included in each invoice to the student are all educational related items including tuition, net of scholarships, housing, educational materials, fees, etc. The University does not have any contract assets. The University’s contract liabilities are reported as deferred revenue and student deposits in the consolidated balance sheets. Deferred revenue and student deposits in any period represent the excess of tuition, fees, and other student payments received as compared to amounts recognized as revenue on the consolidated income statement and are reflected as current liabilities in the accompanying consolidated balance sheets. The University’s education programs have starting and ending dates that differ from its fiscal quarters. Therefore, at the end of each fiscal quarter, a portion of revenue from these programs is not yet earned. The majority of our traditional ground students do not attend courses during the summer months (May through August), which affects our results for our second and third fiscal quarters.</w:t>
      </w:r>
    </w:p>
    <w:p>
      <w:pPr>
        <w:spacing w:after="0" w:line="59"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The University has identified a performance obligation associated with the provision of our educational instruction and other educational services, housing services, and other academic related services and uses the output measure for recognition as the period of time over which the services are provided to our students. The University has identified performance obligations related to our hotel, golf course, restaurants, sale of branded promotional items and other ancillary activities and recognizes revenue at the point in time goods or services are provided to our customers.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The University does not record revenue on amounts that may be refunded. However, for students that have taken out financial aid to pay their tuition and for which a return of such money to the Department of Education under Title IV is required as a result of his or her withdrawal, the University reassesses collectability for these students each quarter for the estimated revenue that will be returned and recognizes the revenue in future periods when payment is received. The University has elected the short-term contract exemption with respect to its performance obligations under its contracts with students as all such contracts have original terms of less than one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50"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5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University evaluates the recoverability of our long-lived assets for impairment whenever events or changes in circumstances indicate that the carrying amount of an asset may not be recoverable. Recoverability of assets to be held and used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7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7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7" w:lineRule="exact"/>
        <w:rPr>
          <w:sz w:val="20"/>
          <w:szCs w:val="20"/>
          <w:color w:val="auto"/>
        </w:rPr>
      </w:pPr>
    </w:p>
    <w:p>
      <w:pPr>
        <w:ind w:right="500" w:firstLine="913"/>
        <w:spacing w:after="0" w:line="375" w:lineRule="auto"/>
        <w:rPr>
          <w:sz w:val="20"/>
          <w:szCs w:val="20"/>
          <w:color w:val="auto"/>
        </w:rPr>
      </w:pPr>
      <w:r>
        <w:rPr>
          <w:rFonts w:ascii="Arial" w:cs="Arial" w:eastAsia="Arial" w:hAnsi="Arial"/>
          <w:sz w:val="18"/>
          <w:szCs w:val="18"/>
          <w:color w:val="auto"/>
        </w:rPr>
        <w:t xml:space="preserve">Advertising expenses include brand advertising, marketing leads and other branding activities. Advertising costs are expensed as incurred. </w:t>
      </w:r>
      <w:r>
        <w:rPr>
          <w:rFonts w:ascii="Arial" w:cs="Arial" w:eastAsia="Arial" w:hAnsi="Arial"/>
          <w:sz w:val="18"/>
          <w:szCs w:val="18"/>
          <w:b w:val="1"/>
          <w:bCs w:val="1"/>
          <w:i w:val="1"/>
          <w:iCs w:val="1"/>
          <w:color w:val="auto"/>
        </w:rPr>
        <w:t>Marketing and Promotional</w:t>
      </w:r>
    </w:p>
    <w:p>
      <w:pPr>
        <w:spacing w:after="0" w:line="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Marketing and promotional expenses include salaries, benefits and share-based compensation for marketing personnel, and other promotional expenses. This category also includes an allocation of depreciation, amortization, rent, and occupancy costs attributable to marketing and promotional activities. Marketing and promotional costs are expensed as incurred.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77"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 in 2018</w:t>
      </w:r>
    </w:p>
    <w:p>
      <w:pPr>
        <w:spacing w:after="0" w:line="117" w:lineRule="exact"/>
        <w:rPr>
          <w:sz w:val="20"/>
          <w:szCs w:val="20"/>
          <w:color w:val="auto"/>
        </w:rPr>
      </w:pPr>
    </w:p>
    <w:p>
      <w:pPr>
        <w:ind w:right="140" w:firstLine="913"/>
        <w:spacing w:after="0" w:line="287" w:lineRule="auto"/>
        <w:rPr>
          <w:sz w:val="20"/>
          <w:szCs w:val="20"/>
          <w:color w:val="auto"/>
        </w:rPr>
      </w:pPr>
      <w:r>
        <w:rPr>
          <w:rFonts w:ascii="Arial" w:cs="Arial" w:eastAsia="Arial" w:hAnsi="Arial"/>
          <w:sz w:val="16"/>
          <w:szCs w:val="16"/>
          <w:color w:val="auto"/>
        </w:rPr>
        <w:t>In May 2014, the FASB issued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amended.”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accounting guidance also requires additional disclosure about the nature, amount, timing and uncertainty of revenue and cash flows arising from customer contracts, including significant judgements and changes in judgements and assets recognized from costs incurred to obtain or fulfill a contract. The University adopted this new standard on January 1, 2018, using the modified retrospective method applied to all contracts. The adoption of this guidance did not have a material impact on the University’s financial condition, results of operations or statement of cash flows. The University elected the short-term contract exemption with respect to disclosures associated with its performance obligations as all performance obligations as of the end of any reporting period have original terms of less than a year. The cumulative effect for the University upon adoption of this new standard was $1,174, net of tax. The adoption impact resulted from the removal of $9,015 of costs that were direct and incremental previously capitalized for online students, and the removal of deferred revenue from an upfront learning fee of $7,451. These fees are no longer capitalized and amortized over the average expected term of a student. The fee is now amortized over the first course for the online student.</w:t>
      </w:r>
    </w:p>
    <w:p>
      <w:pPr>
        <w:spacing w:after="0" w:line="1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January 2016, the FASB issued “</w:t>
      </w:r>
      <w:r>
        <w:rPr>
          <w:rFonts w:ascii="Arial" w:cs="Arial" w:eastAsia="Arial" w:hAnsi="Arial"/>
          <w:sz w:val="17"/>
          <w:szCs w:val="17"/>
          <w:i w:val="1"/>
          <w:iCs w:val="1"/>
          <w:color w:val="auto"/>
        </w:rPr>
        <w:t>Financial Instruments –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The standard addresses certain aspects of recognition, measurement, presentation, and disclosure of financial instruments. Most prominent among</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is the requirement for changes in the fair value of equity investments, with certain exceptions, to be recognized through net income rather than other comprehensive income (“OCI”). This standard is effective for fiscal years, and interim periods within those years, beginning after December 15, 2017, and early adoption is not permitted. Accordingly, the standard is effective for us as of January 1, 2018. The adoption of this guidance did not have a material impact on the University’s financial condition, results of operations or statement of cash flows.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In February 2016, the FASB issued “</w:t>
      </w:r>
      <w:r>
        <w:rPr>
          <w:rFonts w:ascii="Arial" w:cs="Arial" w:eastAsia="Arial" w:hAnsi="Arial"/>
          <w:sz w:val="17"/>
          <w:szCs w:val="17"/>
          <w:i w:val="1"/>
          <w:iCs w:val="1"/>
          <w:color w:val="auto"/>
        </w:rPr>
        <w:t>Leases</w:t>
      </w:r>
      <w:r>
        <w:rPr>
          <w:rFonts w:ascii="Arial" w:cs="Arial" w:eastAsia="Arial" w:hAnsi="Arial"/>
          <w:sz w:val="17"/>
          <w:szCs w:val="17"/>
          <w:color w:val="auto"/>
        </w:rPr>
        <w:t>.” The standard establishes a right-of-use (“ROU”) model that requires a lessee to recognize a ROU asset and a lease liability on the balance sheet for all leases with lease terms longer than 12 months. Leases will be classified as either finance or operating, with classification affecting the pattern of expense recognition in the income statement. This standard is effective for fiscal years, and interim periods within those years, beginning after December 15, 2018, and early adoption is permitted. Accordingly, the standard is effective for us on January 1, 2019 using a modified retrospective transition approach. A modified retrospective transition approach is required for lessees for capital and operating leases existing at, or entered into after, the beginning of the earliest comparative period presented in the financial statements, with certain practical expedients available. The University continues to evaluate the impact that the future adoption of this standard will have on our consolidated financial statements and we believe the adoption will slightly increase our assets and liabilities, and will increase our financial statement disclosures.</w:t>
      </w:r>
    </w:p>
    <w:p>
      <w:pPr>
        <w:spacing w:after="0" w:line="17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June 2016, the FASB issued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The new guidance revises the accounting requirements related to the measurement of credit losses on financial instruments and the timing of when such losses are recorded. The standard is effective for fiscal years, and interim periods within those years, beginning after December 15, 2019. Early adoption is permitted for fiscal years and interim periods within those years, beginning after December 15, 2018. Accordingly, the standard is effective for us on January 1, 2020 using a modified retrospective approach, and we are currently evaluating the impact that the standard will have on our consolidated financial statements.</w:t>
      </w:r>
    </w:p>
    <w:p>
      <w:pPr>
        <w:spacing w:after="0" w:line="158" w:lineRule="exact"/>
        <w:rPr>
          <w:sz w:val="20"/>
          <w:szCs w:val="20"/>
          <w:color w:val="auto"/>
        </w:rPr>
      </w:pPr>
    </w:p>
    <w:p>
      <w:pPr>
        <w:jc w:val="both"/>
        <w:ind w:right="260" w:firstLine="913"/>
        <w:spacing w:after="0" w:line="288" w:lineRule="auto"/>
        <w:rPr>
          <w:sz w:val="20"/>
          <w:szCs w:val="20"/>
          <w:color w:val="auto"/>
        </w:rPr>
      </w:pPr>
      <w:r>
        <w:rPr>
          <w:rFonts w:ascii="Arial" w:cs="Arial" w:eastAsia="Arial" w:hAnsi="Arial"/>
          <w:sz w:val="16"/>
          <w:szCs w:val="16"/>
          <w:color w:val="auto"/>
        </w:rPr>
        <w:t>In August 2017, the FASB issued “Targeted Improvements to Accounting for Hedging Activities.” This standard targets improvements in the hedge relationship documentation, testing and disclosures for derivatives. This standard is effective for fiscal years, and interim periods within those years, beginning after December 15, 2018. Early adoption is permitted for fiscal years and interim period within those years, beginning in August 2017.</w:t>
      </w:r>
    </w:p>
    <w:p>
      <w:pPr>
        <w:ind w:right="320"/>
        <w:spacing w:after="0" w:line="261" w:lineRule="auto"/>
        <w:rPr>
          <w:sz w:val="20"/>
          <w:szCs w:val="20"/>
          <w:color w:val="auto"/>
        </w:rPr>
      </w:pPr>
      <w:r>
        <w:rPr>
          <w:rFonts w:ascii="Arial" w:cs="Arial" w:eastAsia="Arial" w:hAnsi="Arial"/>
          <w:sz w:val="18"/>
          <w:szCs w:val="18"/>
          <w:color w:val="auto"/>
        </w:rPr>
        <w:t>Accordingly, the standard is effective for us on January 1, 2019 and we are currently evaluating the impact that the standard will have on our consolidated financial statements.</w:t>
      </w:r>
    </w:p>
    <w:p>
      <w:pPr>
        <w:spacing w:after="0" w:line="184"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could otherwise have a material impact on its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is a summary of investments as of March 31, 2018 and December 31, 2017. The University considered all investments as available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sale.</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 March 31, 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0"/>
                <w:szCs w:val="10"/>
                <w:color w:val="auto"/>
              </w:rPr>
            </w:pPr>
          </w:p>
        </w:tc>
        <w:tc>
          <w:tcPr>
            <w:tcW w:w="5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$83,391</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$ 83,012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Commercial paper</w:t>
            </w:r>
          </w:p>
        </w:tc>
        <w:tc>
          <w:tcPr>
            <w:tcW w:w="11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$ 3,984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1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$ 4,915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92,290</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$ 91,910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December 31, 2017</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0"/>
                <w:szCs w:val="10"/>
                <w:color w:val="auto"/>
              </w:rPr>
            </w:pPr>
          </w:p>
        </w:tc>
        <w:tc>
          <w:tcPr>
            <w:tcW w:w="5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$84,768</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$ 84,359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1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$ 4,915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1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89,683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$ 89,271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cash flows of municipal securities are backed by the issuing municipality’s credit worthiness. All municipal securities are due in one year or less as of March 31, 2018. For the three months ended March 31, 2018, the net unrealized losses on available-for-sale securities was $230, net of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89"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Three Months Ended</w:t>
      </w:r>
    </w:p>
    <w:p>
      <w:pPr>
        <w:jc w:val="center"/>
        <w:ind w:left="71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7140" w:type="dxa"/>
            <w:vAlign w:val="bottom"/>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580" w:type="dxa"/>
            <w:vAlign w:val="bottom"/>
          </w:tcPr>
          <w:p>
            <w:pPr>
              <w:jc w:val="right"/>
              <w:spacing w:after="0"/>
              <w:rPr>
                <w:sz w:val="20"/>
                <w:szCs w:val="20"/>
                <w:color w:val="auto"/>
              </w:rPr>
            </w:pPr>
            <w:r>
              <w:rPr>
                <w:rFonts w:ascii="Arial" w:cs="Arial" w:eastAsia="Arial" w:hAnsi="Arial"/>
                <w:sz w:val="18"/>
                <w:szCs w:val="18"/>
                <w:color w:val="auto"/>
              </w:rPr>
              <w:t>47,432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46,748</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60" w:type="dxa"/>
            <w:vAlign w:val="bottom"/>
            <w:shd w:val="clear" w:color="auto" w:fill="CCEEFF"/>
          </w:tcPr>
          <w:p>
            <w:pPr>
              <w:spacing w:after="0"/>
              <w:rPr>
                <w:sz w:val="18"/>
                <w:szCs w:val="18"/>
                <w:color w:val="auto"/>
              </w:rPr>
            </w:pP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48,397</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48,070</w:t>
            </w:r>
          </w:p>
        </w:tc>
        <w:tc>
          <w:tcPr>
            <w:tcW w:w="6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Diluted weighted average shares outstanding excludes the incremental effect of unvested restricted stock and shares that would be issued upon the assumed exercise of stock options in accordance with the treasury stock method. For the three months ended March 31, 2018 and 2017, approximately 0 and 8, respectively, of the University’s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128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w w:val="91"/>
              </w:rPr>
              <w:t>Charged to</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280" w:type="dxa"/>
            <w:vAlign w:val="bottom"/>
            <w:gridSpan w:val="5"/>
            <w:vMerge w:val="continue"/>
          </w:tcPr>
          <w:p>
            <w:pPr>
              <w:spacing w:after="0"/>
              <w:rPr>
                <w:sz w:val="12"/>
                <w:szCs w:val="12"/>
                <w:color w:val="auto"/>
              </w:rPr>
            </w:pPr>
          </w:p>
        </w:tc>
        <w:tc>
          <w:tcPr>
            <w:tcW w:w="14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2"/>
                <w:szCs w:val="12"/>
                <w:b w:val="1"/>
                <w:bCs w:val="1"/>
                <w:color w:val="auto"/>
                <w:w w:val="90"/>
              </w:rPr>
              <w:t>(1)</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Expense</w:t>
            </w:r>
          </w:p>
        </w:tc>
        <w:tc>
          <w:tcPr>
            <w:tcW w:w="14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2018</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4,997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Three months ended March 31, 2017</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5,918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4,383</w:t>
            </w:r>
          </w:p>
        </w:tc>
        <w:tc>
          <w:tcPr>
            <w:tcW w:w="260" w:type="dxa"/>
            <w:vAlign w:val="bottom"/>
          </w:tcPr>
          <w:p>
            <w:pPr>
              <w:spacing w:after="0"/>
              <w:rPr>
                <w:sz w:val="20"/>
                <w:szCs w:val="20"/>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445"/>
        </w:trPr>
        <w:tc>
          <w:tcPr>
            <w:tcW w:w="550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consist of the following:</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160,357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160,126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Land improvements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26,736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25,630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610,066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595,384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120,542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117,460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Computer equipment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115,967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116,477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63,990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63,470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37,303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36,173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50,036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32,390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1,192,110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1,154,223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(241,954)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(231,939)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950,156</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922,284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The University reserve is not material for tax matters where its ultimate exposure is considered probable and the potential loss can be reasonably estimated.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Incentive Plan</w:t>
      </w:r>
    </w:p>
    <w:p>
      <w:pPr>
        <w:spacing w:after="0" w:line="11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Prior to June 2017, the University made grants of restricted stock and stock options under its 2008 Equity Incentive Plan (the “2008 Plan”). In January 2017, the Board of Directors of the University approved, and at the University’s 2017 annual meeting of stockholders held on June 14, 2017, the University’s stockholders adopted a 2017 Equity Incentive Plan (the “2017 Plan”) under which a maximum of 3,000 shares may be granted. All grants of equity incentives made after June 2017 will be made from the 2017 Plan.</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During the three months ended March 31, 2018, the University granted 160 shares of common stock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three months ended March 31, 2018, the University withheld 119 shares of common stock in lieu of taxes at a cost of $11,524 on the restricted stock vesting dates.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summary of the activity related to restricted stock granted under the University’s Incentive Plan since December 31, 2017 is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1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Granted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460" w:type="dxa"/>
            <w:vAlign w:val="bottom"/>
          </w:tcPr>
          <w:p>
            <w:pPr>
              <w:spacing w:after="0"/>
              <w:rPr>
                <w:sz w:val="18"/>
                <w:szCs w:val="18"/>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6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2018</w:t>
            </w:r>
          </w:p>
        </w:tc>
        <w:tc>
          <w:tcPr>
            <w:tcW w:w="16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During the three months ended March 31, 2018, no options were granted. A summary of the activity since December 31, 2017 related to stock options granted under the University’s Incentive Plan is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3"/>
              </w:rPr>
              <w:t>Summary of Stock Options Outstanding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28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Exercise</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Share</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Term (Years)</w:t>
            </w:r>
          </w:p>
        </w:tc>
        <w:tc>
          <w:tcPr>
            <w:tcW w:w="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694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17.31</w:t>
            </w: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(59)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15.44</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2018</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17.49</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55,464</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March 31, 2018</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635</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17.49</w:t>
            </w:r>
          </w:p>
        </w:tc>
        <w:tc>
          <w:tcPr>
            <w:tcW w:w="5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March 29, 2018 ($104.92) in excess of the exercise price multiplied by the number of shares underlying options outstanding or exercisable, as applicable.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three months ended March 31, 2018 and 2017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$2,181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$ 1,863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9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(867)</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(1,172)</w:t>
            </w:r>
          </w:p>
        </w:tc>
      </w:tr>
      <w:tr>
        <w:trPr>
          <w:trHeight w:val="27"/>
        </w:trPr>
        <w:tc>
          <w:tcPr>
            <w:tcW w:w="6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$ 1,759</w:t>
            </w:r>
          </w:p>
        </w:tc>
        <w:tc>
          <w:tcPr>
            <w:tcW w:w="120" w:type="dxa"/>
            <w:vAlign w:val="bottom"/>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University’s accreditation has been reaffirmed by the Higher Learning Commission (“HLC”) after a comprehensive review of the institution’s academic offerings, governance and administration, mission, finances and resources during an on-site visit in November 2016. The accreditation was reaffirmed by the HLC’s Institutional Actions council at its meeting on February 28, 2017 with no requirements for any monitoring or interim reports. The comprehensive review occurs every 10 years, along with a mid-term report in year four. As of March 31, 2018, management believes the University is in compliance with the applicable regulations in all material respects.</w:t>
      </w:r>
    </w:p>
    <w:p>
      <w:pPr>
        <w:spacing w:after="0" w:line="182"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60" w:hanging="547"/>
        <w:spacing w:after="0"/>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announced intention to sell our academic and related operations and assets to a non-profit entity and become a services company;</w:t>
      </w:r>
    </w:p>
    <w:p>
      <w:pPr>
        <w:spacing w:after="0" w:line="153" w:lineRule="exact"/>
        <w:rPr>
          <w:rFonts w:ascii="Arial" w:cs="Arial" w:eastAsia="Arial" w:hAnsi="Arial"/>
          <w:sz w:val="16"/>
          <w:szCs w:val="16"/>
          <w:color w:val="auto"/>
        </w:rPr>
      </w:pPr>
    </w:p>
    <w:p>
      <w:pPr>
        <w:ind w:left="1460" w:right="80" w:hanging="547"/>
        <w:spacing w:after="0" w:line="308" w:lineRule="auto"/>
        <w:tabs>
          <w:tab w:leader="none" w:pos="1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460" w:hanging="547"/>
        <w:spacing w:after="0" w:line="342"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1460" w:right="580" w:hanging="547"/>
        <w:spacing w:after="0" w:line="27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other universities in our geographic region and market sector, including competition for students, qualified executives and other personnel;</w:t>
      </w:r>
    </w:p>
    <w:p>
      <w:pPr>
        <w:spacing w:after="0" w:line="75" w:lineRule="exact"/>
        <w:rPr>
          <w:rFonts w:ascii="Arial" w:cs="Arial" w:eastAsia="Arial" w:hAnsi="Arial"/>
          <w:sz w:val="18"/>
          <w:szCs w:val="18"/>
          <w:color w:val="auto"/>
        </w:rPr>
      </w:pPr>
    </w:p>
    <w:p>
      <w:pPr>
        <w:ind w:left="1460" w:right="80" w:hanging="547"/>
        <w:spacing w:after="0" w:line="342"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the expansion of our campus, potential acquisitions or divestitures of, or investments in, new businesses, acquisitions of new properties, or the development of new campuses;</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 to graduation;</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160" w:hanging="547"/>
        <w:spacing w:after="0" w:line="308" w:lineRule="auto"/>
        <w:tabs>
          <w:tab w:leader="none" w:pos="1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2017,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are a comprehensive regionally accredited university that offers over 225 graduate and undergraduate degree programs, emphases and certificates across nine colleges both online and on ground at our over 275 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students) or online, has enabled us to increase enrollment to approximately 91,400 at March 31, 2018.</w:t>
      </w:r>
    </w:p>
    <w:p>
      <w:pPr>
        <w:spacing w:after="0" w:line="17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End-of-period enrollment increased 9.6% between March 31, 2018 and March 31, 2017, as both ground and online enrollment increased 9.6% over the prior year. We attribute the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one of our largest competitor’s undergraduate tuition for online programs ranges from $510 to $718 per credit hour and its graduate tuition for online programs ranges from $512 to $1,312 per credit hour while our online tuition per credit hour ranges from $355 to $470 for undergraduate programs and $330 to $650 for graduate programs. There are online programs that are less expensive than ours but we believe those programs generally do not provide the full level of support services that we provide to our students. Although our online enrollment continues to grow, as the proportion of traditional colleges and universities providing alternative learning modalities increases, we continue to face increasing competition for working adult students from such institutions, including those with well-established reputations for excellence. Net revenues increased 11.1% over the first fiscal quarter of the prior year primarily due to the enrollment growth and due to an increase in ancillary revenues resulting from the increased traditional student enrollment (e.g. housing, food, etc.). The increase in revenue per student between years is primarily due to the increased ancillary revenues as well as a shift in the timing of our residential traditional campus start dates, as the Spring semester in 2018 started one day earlier in 2018 than in 2017. We have not raised our tuition for our traditional ground programs in nine years and we have not raised tuition for our working adult students since September 2015 with the exception of an approximately 1% increase for doctoral students effective February 1, 2018. Operating income was $90.1 million for the three months ended March 31, 2018, an increase of 17.6% over the $76.6 million in operating income for the three months ended March 31,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March 31, 2018 and 2017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6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 of Total</w:t>
            </w:r>
          </w:p>
        </w:tc>
        <w:tc>
          <w:tcPr>
            <w:tcW w:w="6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38,569</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34,962</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Undergraduate degree</w:t>
            </w:r>
          </w:p>
        </w:tc>
        <w:tc>
          <w:tcPr>
            <w:tcW w:w="820" w:type="dxa"/>
            <w:vAlign w:val="bottom"/>
          </w:tcPr>
          <w:p>
            <w:pPr>
              <w:jc w:val="right"/>
              <w:spacing w:after="0"/>
              <w:rPr>
                <w:sz w:val="20"/>
                <w:szCs w:val="20"/>
                <w:color w:val="auto"/>
              </w:rPr>
            </w:pPr>
            <w:r>
              <w:rPr>
                <w:rFonts w:ascii="Arial" w:cs="Arial" w:eastAsia="Arial" w:hAnsi="Arial"/>
                <w:sz w:val="18"/>
                <w:szCs w:val="18"/>
                <w:color w:val="auto"/>
              </w:rPr>
              <w:t>52,809</w:t>
            </w:r>
          </w:p>
        </w:tc>
        <w:tc>
          <w:tcPr>
            <w:tcW w:w="5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57.8%</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48,390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91,378</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83,352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6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 of Students</w:t>
            </w:r>
          </w:p>
        </w:tc>
        <w:tc>
          <w:tcPr>
            <w:tcW w:w="540" w:type="dxa"/>
            <w:vAlign w:val="bottom"/>
            <w:vMerge w:val="restart"/>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 of Students</w:t>
            </w:r>
          </w:p>
        </w:tc>
        <w:tc>
          <w:tcPr>
            <w:tcW w:w="540" w:type="dxa"/>
            <w:vAlign w:val="bottom"/>
            <w:vMerge w:val="restart"/>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73,992</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17,386</w:t>
            </w:r>
          </w:p>
        </w:tc>
        <w:tc>
          <w:tcPr>
            <w:tcW w:w="5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19.0%</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15,857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91,378</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83,352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80" w:hanging="452"/>
        <w:spacing w:after="0" w:line="29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Enrollment at March 31, 2018 and 2017 represents individual students who attended a course during the last two months of the calendar quarter. Included in enrollment at March 31, 2018 and 2017 are students pursuing non-degree certificates of 1,495 and 1,086, respectively.</w:t>
      </w: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7,913 and 7,441 students pursuing doctoral degrees at March 31, 2018 and 2017, respectively.</w:t>
      </w:r>
    </w:p>
    <w:p>
      <w:pPr>
        <w:spacing w:after="0" w:line="9" w:lineRule="exact"/>
        <w:rPr>
          <w:rFonts w:ascii="Arial" w:cs="Arial" w:eastAsia="Arial" w:hAnsi="Arial"/>
          <w:sz w:val="15"/>
          <w:szCs w:val="15"/>
          <w:color w:val="auto"/>
        </w:rPr>
      </w:pPr>
    </w:p>
    <w:p>
      <w:pPr>
        <w:ind w:left="460" w:right="40" w:hanging="452"/>
        <w:spacing w:after="0" w:line="25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of March 31, 2018 and 2017, 50.4% and 49.9%, respectively, of our working adult students (online and professional studies students) were pursuing graduate degrees.</w:t>
      </w: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2017. During the three months ended March 31, 2018,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Change in the Structure of Our Operations</w:t>
      </w:r>
      <w:r>
        <w:rPr>
          <w:rFonts w:ascii="Arial" w:cs="Arial" w:eastAsia="Arial" w:hAnsi="Arial"/>
          <w:sz w:val="18"/>
          <w:szCs w:val="18"/>
          <w:color w:val="auto"/>
        </w:rPr>
        <w:t>.</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As we have previously disclosed, in December 2017 the University submitted to the Higher Learning Commission (“HLC”) an application for approval to effect the sale of the University’s academic-related assets, real estate and related intangibles to a newly formed non-profit corporation (“New GCU”) as a means of enabling New GCU to conduct itself as a traditional non-profit university, consistent with the University’s history and on a level playing field with other traditional universities with regard to tax status and, among other things, the ability to accept philanthropic contributions, pursue research grant opportunities, and participate in NCAA governance. Following this sale, New GCU would operate as a traditional, non-profit, private, Christian university while GCE would continue to operate as a third-party provider of services to New GCU and potentially, in the future, to other universities. In connection with the proposed transaction, the University also submitted an application for approval with the Arizona State Board for Private Postsecondary Education (“ASBPPE”) and a pre-acquisition review notice with the U.S. Department of Education (the “DOE”).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On February 22, 2018, GCE entered into a non-binding letter of intent with New GCU. Under the terms of the letter of intent:</w:t>
      </w:r>
    </w:p>
    <w:p>
      <w:pPr>
        <w:spacing w:after="0" w:line="131" w:lineRule="exact"/>
        <w:rPr>
          <w:sz w:val="20"/>
          <w:szCs w:val="20"/>
          <w:color w:val="auto"/>
        </w:rPr>
      </w:pPr>
    </w:p>
    <w:p>
      <w:pPr>
        <w:ind w:left="1460" w:hanging="547"/>
        <w:spacing w:after="0" w:line="272" w:lineRule="auto"/>
        <w:tabs>
          <w:tab w:leader="none" w:pos="1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GCE would transfer to New GCU the real property and improvements comprising the University’s existing campus as well as tangible and intangible academic and related operations and assets sufficient for New GCU to achieve status as an HLC-accredited institution, and New GCU would also assume liabilities related to such transferred assets. The purchase price for the transferred assets would be the sum of (a) an amount for the tangible acquired assets, which amount will be finally determined by negotiation following receipt of appraisals, as updated through the close of the transaction, which we anticipate will approximate the book value of such assets, and (b) an amount for the intangible acquired assets equal to $1.00. It is currently anticipated that the purchase price would be approximately $825.0 million to $875.0 million depending upon the timing of the closing.</w:t>
      </w:r>
    </w:p>
    <w:p>
      <w:pPr>
        <w:spacing w:after="0" w:line="83" w:lineRule="exact"/>
        <w:rPr>
          <w:rFonts w:ascii="Arial" w:cs="Arial" w:eastAsia="Arial" w:hAnsi="Arial"/>
          <w:sz w:val="17"/>
          <w:szCs w:val="17"/>
          <w:color w:val="auto"/>
        </w:rPr>
      </w:pPr>
    </w:p>
    <w:p>
      <w:pPr>
        <w:ind w:left="1460" w:right="100" w:hanging="547"/>
        <w:spacing w:after="0" w:line="259"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price would be paid in the form of a seven-year senior secured note subject to customary commercial credit terms and secured by all of the assets of New GCU. The credit agreement governing the senior secured note would provide for interest only payments, with all principal and accrued and unpaid interest due at maturity. It is currently anticipated that the annual interest rate on the senior secured note would be approximately 6.0%.</w:t>
      </w:r>
    </w:p>
    <w:p>
      <w:pPr>
        <w:spacing w:after="0" w:line="92" w:lineRule="exact"/>
        <w:rPr>
          <w:rFonts w:ascii="Arial" w:cs="Arial" w:eastAsia="Arial" w:hAnsi="Arial"/>
          <w:sz w:val="18"/>
          <w:szCs w:val="18"/>
          <w:color w:val="auto"/>
        </w:rPr>
      </w:pPr>
    </w:p>
    <w:p>
      <w:pPr>
        <w:ind w:left="1460" w:hanging="547"/>
        <w:spacing w:after="0" w:line="279" w:lineRule="auto"/>
        <w:tabs>
          <w:tab w:leader="none" w:pos="1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University’s current faculty, academic leadership and related staff would become employed by New GCU and New GCU would be governed by a board of trustees comprised of the persons who currently serve on the institutional board of trustees of the University. GCE would retain all other employees and assets necessary to perform the third-party services contemplated by the Proposed Transaction, including an office complex where most services-related personnel are currently located.</w:t>
      </w:r>
    </w:p>
    <w:p>
      <w:pPr>
        <w:spacing w:after="0" w:line="76" w:lineRule="exact"/>
        <w:rPr>
          <w:rFonts w:ascii="Arial" w:cs="Arial" w:eastAsia="Arial" w:hAnsi="Arial"/>
          <w:sz w:val="17"/>
          <w:szCs w:val="17"/>
          <w:color w:val="auto"/>
        </w:rPr>
      </w:pPr>
    </w:p>
    <w:p>
      <w:pPr>
        <w:ind w:left="1460" w:right="80" w:hanging="547"/>
        <w:spacing w:after="0" w:line="286" w:lineRule="auto"/>
        <w:tabs>
          <w:tab w:leader="none" w:pos="1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GCE and New GCU would enter into a long-term master services agreement pursuant to which GCE would provide identified technological, marketing, promotional, financial aid and other support services to New GCU in return for an agreed upon share of New GCU’s tuition and fee revenue. The master services agreement would have an initial term of fifteen years, subject to renewal options, although New GCU would have the right to terminate the agreement early after the later of seven (7) years or the payment in full of the senior secured note. If New GCU were to terminate the master services agreement early, after the later of seven (7) years or the payment in full of the senior secured note, then New GCU would be required to pay GCE a termination fee equal to 100% of the fees paid in the trailing 12 month period. If the master services agreement were not renewed after the initial fifteen year term, New GCU would be required to pay GCE a non-renewal fee equal to 50% of the fees paid in the trailing 12 month period. The revenue share between the two entities remains subject to completion of a transfer pricing study and subsequent negotiation, but it is currently anticipated that New GCU’s revenue from tuition and fees, room and board, and certain other sources will be shared approximately 60% in favor of GCE and 40% in favor of New GCU. The ultimate revenue share will reflect a blended rate, with certain services reflecting a higher share in favor of GCE and certain other services reflecting a lower share. The revenue share percentage, along with the other terms of the master services agreement, would be comparable to other services agreements currently in the marketplace.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March 5, 2018, the HLC notified the University that it had approved the change of control application that it had filed in connection with the proposed transaction. The approval is subject to customary conditions, including that there be no changes prior to the closing of the proposed transaction in the material terms of the transaction as presented in the application and that New GCU host an HLC evaluation within six months following closing. In addition, on April 26, 2018, the Arizona State Board for Private Postsecondary Education also approved the University’s supplemental license application for a change of ownership and control effective upon the closing of the proposed transaction. The University has also filed a pre-acquisition review application with the United States Department of Education and is currently awaiting a response.</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University continues to review various regulatory issues that could impact the viability of the transaction. That review is not completed at this time. The University does not intend to execute any definitive agreements until these issues have been evaluated and resolved to the University’s satisfaction as it is possible that the resolution of any potential issues could result in significant changes to the terms of the transaction. Furthermore, while GCE and New GCU have entered into a non-binding letter of intent, the completion of the transaction is subject to the parties agreement on final key terms, the execution and delivery of definitive agreements and the satisfaction of any and all other conditions to closing set forth in the definitive agreements. However, the University is continuing to prepare for the possibility of the transaction occurring, including allocating employees to New GCU, financial modeling, and planning asset transfer processes. If the proposed transaction is ultimately consummated, then various aspects of the University’s operations would change in important ways. These changes include, but are not limited to, the following:</w:t>
      </w:r>
    </w:p>
    <w:p>
      <w:pPr>
        <w:spacing w:after="0" w:line="84" w:lineRule="exact"/>
        <w:rPr>
          <w:sz w:val="20"/>
          <w:szCs w:val="20"/>
          <w:color w:val="auto"/>
        </w:rPr>
      </w:pPr>
    </w:p>
    <w:p>
      <w:pPr>
        <w:ind w:left="1460" w:right="140" w:hanging="547"/>
        <w:spacing w:after="0" w:line="25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academic and related operations and assets, as well as approximately 35% of our full-time employees and substantially all of our part-time employees and student workers, would transfer to New GCU. Following this transfer, we would no longer own and operate a regulated institution of higher education, but would instead provide a bundle of services in support of New GCU’s operations. While the services we would provide are services that we currently provide as part of our business today, we have limited to no experience operating as a service provider to third parties.</w:t>
      </w:r>
    </w:p>
    <w:p>
      <w:pPr>
        <w:spacing w:after="0" w:line="93"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GCU would be a separate non-profit entity under the control of an independent board of trustees and independent</w:t>
      </w:r>
    </w:p>
    <w:p>
      <w:pPr>
        <w:spacing w:after="0" w:line="23" w:lineRule="exact"/>
        <w:rPr>
          <w:rFonts w:ascii="Arial" w:cs="Arial" w:eastAsia="Arial" w:hAnsi="Arial"/>
          <w:sz w:val="18"/>
          <w:szCs w:val="18"/>
          <w:color w:val="auto"/>
        </w:rPr>
      </w:pPr>
    </w:p>
    <w:p>
      <w:pPr>
        <w:ind w:left="1460"/>
        <w:spacing w:after="0" w:line="254" w:lineRule="auto"/>
        <w:rPr>
          <w:rFonts w:ascii="Arial" w:cs="Arial" w:eastAsia="Arial" w:hAnsi="Arial"/>
          <w:sz w:val="18"/>
          <w:szCs w:val="18"/>
          <w:color w:val="auto"/>
        </w:rPr>
      </w:pPr>
      <w:r>
        <w:rPr>
          <w:rFonts w:ascii="Arial" w:cs="Arial" w:eastAsia="Arial" w:hAnsi="Arial"/>
          <w:sz w:val="18"/>
          <w:szCs w:val="18"/>
          <w:color w:val="auto"/>
        </w:rPr>
        <w:t>management. Accordingly, our relationship with New GCU, both pursuant to the shared services arrangement and operationally, would no longer be as owner and operator, but as a third party contract provider. While we believe this relationship would remain strong, New GCU’s board of trustees and management would have fiduciary and other duties that would require them to focus on the best interests of New GCU and over time those interests could diverge from ours.</w:t>
      </w:r>
    </w:p>
    <w:p>
      <w:pPr>
        <w:spacing w:after="0" w:line="95" w:lineRule="exact"/>
        <w:rPr>
          <w:rFonts w:ascii="Arial" w:cs="Arial" w:eastAsia="Arial" w:hAnsi="Arial"/>
          <w:sz w:val="18"/>
          <w:szCs w:val="18"/>
          <w:color w:val="auto"/>
        </w:rPr>
      </w:pPr>
    </w:p>
    <w:p>
      <w:pPr>
        <w:ind w:left="1460" w:right="160" w:hanging="547"/>
        <w:spacing w:after="0" w:line="264"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Initially, all of our revenue would be derived pursuant to the shared services arrangement with New GCU. Accordingly, New GCU’s ability to continue to increase its enrollment and tuition and fee revenue, and our ability to continue to perform the services necessary to enable New GCU to do so, would be critical to the success of our services business.</w:t>
      </w:r>
    </w:p>
    <w:p>
      <w:pPr>
        <w:spacing w:after="0" w:line="86" w:lineRule="exact"/>
        <w:rPr>
          <w:rFonts w:ascii="Arial" w:cs="Arial" w:eastAsia="Arial" w:hAnsi="Arial"/>
          <w:sz w:val="18"/>
          <w:szCs w:val="18"/>
          <w:color w:val="auto"/>
        </w:rPr>
      </w:pPr>
    </w:p>
    <w:p>
      <w:pPr>
        <w:ind w:left="1460" w:right="80" w:hanging="547"/>
        <w:spacing w:after="0" w:line="264"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anticipated that the consideration payable by New GCU for the acquired assets, which will be material, will be in the form of a long-term secured note. Our ability to realize the negotiated value of the acquired assets would be subject to New GCU’s performance and its ability to pay amounts due under the secured note as they come due.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right="320" w:firstLine="913"/>
        <w:spacing w:after="0" w:line="279" w:lineRule="auto"/>
        <w:rPr>
          <w:sz w:val="20"/>
          <w:szCs w:val="20"/>
          <w:color w:val="auto"/>
        </w:rPr>
      </w:pPr>
      <w:r>
        <w:rPr>
          <w:rFonts w:ascii="Arial" w:cs="Arial" w:eastAsia="Arial" w:hAnsi="Arial"/>
          <w:sz w:val="17"/>
          <w:szCs w:val="17"/>
          <w:color w:val="auto"/>
        </w:rPr>
        <w:t>The other key trends, developments and challenges facing the University are disclosed in our Annual Report on Form 10-K for the fiscal year ended December 31, 2017. During the three months ended March 31, 2018, there have been no significant changes in these trends. See Item 7, “Management’s Discussion and Analysis of Financial Condition and Results of Operations – Key Trends, Developments and Challenges” in our Annual Report on Form 10-K for our fiscal year ended December 31, 2017, which is incorporated herein by reference.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44"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Three Months Ended</w:t>
      </w:r>
    </w:p>
    <w:p>
      <w:pPr>
        <w:jc w:val="center"/>
        <w:ind w:left="5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4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8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Interest expense</w:t>
            </w:r>
          </w:p>
        </w:tc>
        <w:tc>
          <w:tcPr>
            <w:tcW w:w="4120" w:type="dxa"/>
            <w:vAlign w:val="bottom"/>
            <w:gridSpan w:val="3"/>
          </w:tcPr>
          <w:p>
            <w:pPr>
              <w:jc w:val="right"/>
              <w:ind w:right="740"/>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60" w:type="dxa"/>
            <w:vAlign w:val="bottom"/>
            <w:vMerge w:val="restart"/>
          </w:tcPr>
          <w:p>
            <w:pPr>
              <w:jc w:val="right"/>
              <w:ind w:right="1430"/>
              <w:spacing w:after="0"/>
              <w:rPr>
                <w:sz w:val="20"/>
                <w:szCs w:val="20"/>
                <w:color w:val="auto"/>
              </w:rPr>
            </w:pPr>
            <w:r>
              <w:rPr>
                <w:rFonts w:ascii="Arial" w:cs="Arial" w:eastAsia="Arial" w:hAnsi="Arial"/>
                <w:sz w:val="18"/>
                <w:szCs w:val="18"/>
                <w:color w:val="auto"/>
              </w:rPr>
              <w:t>22</w:t>
            </w: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to Three Months Ended March 31, 2017</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three months ended March 31, 2018 was $275.7 million, an increase of $27.5 million, or 11.1%,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net revenue of $248.2 million for the three months ended March 31, 2017. This increase was primarily due to an increase in ground and online enrollment and, to a lesser extent, an increase in ancillary revenues (e.g. from housing, food, etc.) resulting from the increased traditional student enrollment, partially offset by an increase in institutional scholarships. We have not raised our tuition for our traditional ground program in nine years and we have not raised tuition for our working adult students since September 2015 with the exception of an approximately 1% increase for doctoral students effective February 1, 2018. End-of-period enrollment increased 9.6% between March 31, 2018 and March 31, 2017, as both ground and online enrollment increased 9.6% over the prior year. The majority of the ground enrollment growth between years was residential students at our ground traditional campus in Phoenix, Arizona. We attribute the growth in our enrollment between years to our increasing brand recognition and the value proposition we believe we provide to students and their parents. After scholarships, our ground traditional students pay an amount for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that compete with us.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increase in revenue per student between years is primarily due to the increased ancillary revenues as well as a shift in the timing of our residential traditional campus start dates, as the Spring semester in 2018 started one day earlier in 2018 than in 2017.</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three months ended March 31, 2018 were $111.0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$8.4 million, or 8.2%, as compared to instructional costs and services expenses of $102.6 million for the three months ended March 31, 2017. This increase was primarily due to increases in faculty compensation, employee compensation and related expenses including share based compensation, dues, fees, subscriptions, instructional supplies and other expenses, depreciation and amortization and occupancy expense, and bad debt expense of $2.7 million, $2.5 million, $1.5 million, $1.1 million, and $0.6 million, respectively. The increase in faculty compensation and employee compensation and related expenses are primarily due to the increase in the number of staff and faculty needed to support the increasing number of students attending the University and an increase in benefit costs between years. The increase in dues, fees, subscriptions and other instructional supplies is primarily due to increased licensing fees related to educational resources and increased food costs associated with a higher number of residential students. The increase in depreciation and amortization and occupancy costs is the result of our placing into service additional buildings to support the growing number of ground traditional students in the Fall of 2017. Our instructional costs and services expenses as a percentage of net revenues decreased 1.0% to 40.3% for the three months ended March 31, 2018, from 41.3% for the three months ended March 31, 2017 primarily due to our ability to leverage our instructional costs and services personnel across an increasing revenue base in the first and fourth quarters when our ground traditional students are in session during the majority of the quarter. Bad debt expense stayed flat at 1.8% for the three months ended March 31, 2018 and 2017.</w:t>
      </w:r>
    </w:p>
    <w:p>
      <w:pPr>
        <w:spacing w:after="0" w:line="17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three months ended March 31, 2018 were $34.9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$2.9 million, or 9.0%, as compared to admissions advisory and related expenses of $32.0 million for the three months ended March 31, 2017. This increase is primarily the result of increases in employee compensation and related expenses including share based compensation, and other advisory related expenses of $2.5 million, and $0.4 million, respectively. The increase in employee compensation and related expenses is primarily due to tenure based salary adjustments and an increase in benefit costs between years. Our admissions advisory and related expenses as a percentage of revenue decreased 0.3% to 12.6% for the three months ended March 31, 2018, from 12.9% for the three months ended March 31, 2017 primarily due to our ability to leverage our admissions advisory personnel across an increasing revenue base.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three months ended March 31, 2018 were $25.7 million, an increase of $1.1 million, or 4.4%,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$24.6 million for the three months ended March 31, 2017. This increase is primarily the result of increased national brand advertising. Our advertising expenses as a percentage of net revenue decreased by 0.6% to 9.3% for the three months ended March 31, 2018, from 9.9% for the three months ended March 31, 2017.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302" w:lineRule="auto"/>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three months ended March 31, 2018 were $2.7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$0.2 million, or 9.1%, as compared to marketing and promotional expenses of $2.5 million for the three months ended March 31, 2017. This increase is primarily the result of increases in employee compensation and related expenses including stock based compensation of $0.2 million. Our marketing and promotional expenses as a percentage of net revenue stayed flat at 1.0% for both the three months ended March 31, 2018 and 2017.</w:t>
      </w:r>
    </w:p>
    <w:p>
      <w:pPr>
        <w:spacing w:after="0" w:line="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three months ended March 31, 2018 was $11.3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$1.4 million, or 13.8%, as compared to general and administrative expenses of $9.9 million for the three months ended March 31, 2017. This increase was primarily due to increases in legal and other professional costs incurred primarily as a result of our consideration of the not-for-profit entity conversion of $0.9 million, and increases in employee compensation and related expenses including share based compensation of $0.5 million. The increase in employee compensation and related expenses is primarily due to tenure based salary adjustments and an increase in benefit costs between years. Our general and administrative expenses as a percentage of net revenue increased by 0.1% to 4.1% for the three months ended March 31, 2018, from 4.0% for the three months ended March 31, 2017 due to the increase in legal and other professional costs, partially offset by our ability to leverage the fixed costs structure of our general and administrative expenses across an increasing revenue base.</w:t>
      </w:r>
    </w:p>
    <w:p>
      <w:pPr>
        <w:spacing w:after="0" w:line="1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for the three months ended March 31, 2018 was $0.3 million, a decrease of $0.3 million, as compared to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$0.6 million for the three months ended March 31, 2017. This decrease was primarily due to our decision not to renew our revolving line of credit on which we had drawn $25.0 million in the first quarter of 2017 prior to paying it off by quarter end, and to the higher capitalized interest we had in the current year due to an increase in capital spending over the prior year. Our interest expense decreased as a percentage of net revenue by 0.1% to 0.1% for the three months ended March 31, 2018, from 0.2% for the three months ended March 31, 2017.</w:t>
      </w:r>
    </w:p>
    <w:p>
      <w:pPr>
        <w:spacing w:after="0" w:line="9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March 31, 2018 was $1.0 million, an increase of $1.0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nil in the three months ended March 31, 2017. This increase was primarily due to higher investment balances and higher investment returns as compared to the prior year.</w:t>
      </w:r>
    </w:p>
    <w:p>
      <w:pPr>
        <w:spacing w:after="0" w:line="11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March 31, 2018 was $17.0 million, a decrease of $3.1 million, or 15.4%,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income tax expense of $20.1 million for the three months ended March 31, 2017. Our effective tax rate was 18.8% during the first quarter of 2018 compared to 26.5% during the first quarter of 2017. This decrease is the result of a decrease in our effective tax rate partially offset by higher taxable income between periods. The lower effective tax rate year over year is a result of the Tax Cuts and Jobs Act (the “Act”) which was signed into law on December 22, 2017. The Act reduces the corporate federal tax rate from a maximum of 35% to a flat 21% rate effective January 1, 2018. Additionally, the University continues to receive the benefit of our adoption of the share-based compensation standard, in the first quarter of 2017. This standard required us to recognize excess tax benefits from share-based compensation awards that vested or settled in the consolidated income statement. The favorable impact from excess tax benefits was $5.3 million and $8.5 million in the three months ended March 31, 2018, and 2017, respectively.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1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March 31, 2018 was $73.7 million, an increase of $17.8 million, as compared to $55.9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2017, due to the factors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three months ended March 31, 2018 and 2017 primarily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Our unrestricted cash and cash equivalents and investments were $334.8 million and $242.7 million at March 31, 2018 and December 31, 2017, respectively. Our restricted cash and cash equivalents at March 31, 2018 and December 31, 2017 were $72.8 million and</w:t>
      </w:r>
    </w:p>
    <w:p>
      <w:pPr>
        <w:ind w:right="20"/>
        <w:spacing w:after="0" w:line="261" w:lineRule="auto"/>
        <w:rPr>
          <w:sz w:val="20"/>
          <w:szCs w:val="20"/>
          <w:color w:val="auto"/>
        </w:rPr>
      </w:pPr>
      <w:r>
        <w:rPr>
          <w:rFonts w:ascii="Arial" w:cs="Arial" w:eastAsia="Arial" w:hAnsi="Arial"/>
          <w:sz w:val="18"/>
          <w:szCs w:val="18"/>
          <w:color w:val="auto"/>
        </w:rPr>
        <w:t>$94.5 million, respectively. In December 2012, we entered into a new credit agreement, which increased our term loan to $100 million with a maturity date of December 2019. Indebtedness under the term loan is secured by our assets and is guaranteed by certain of our subsidiaries.</w:t>
      </w:r>
    </w:p>
    <w:p>
      <w:pPr>
        <w:spacing w:after="0" w:line="18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our common stock, from time to time, depending on market conditions and other considerations. The current expiration date on the repurchase authorization by our Board of Directors is December 31, 2018. Repurchases occur at the University’s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Since the inception of our share repurchase program, the University has purchased 3.5 million shares of common stock at an aggregate cost of $77.8 million. During the three months ended March 31, 2018, 5,379 shares of common stock were repurchased by the University. At March 31, 2018, there remains $97.2 million available under our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three months ended March 31, 2018 was $119.0 million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$109.7 million for the three months ended March 31, 2017. The increase in cash generated from operating activities between the three months ended March 31, 2017 and the three months ended March 31, 2018 is primarily due to increased net income and the timing of income tax and employee related payments as well as changes in other working capital such as accounts payable, accrued liabilities, deferred revenue and student deposits.</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$38.5 million and $48.6 million for the three months ended March 31, 2018 and 2017,</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Our cash used in investing activities was primarily related to the purchase of short-term investments and capital expenditures. Purchases of short-term investments net of proceeds of these investments was $3.2 million and $19.0 million during the three months ended March 31, 2018 and 2017, respectively. Capital expenditures were $35.2 million and $21.7 million for the three months ended March 31, 2018 and 2017, respectively. During the three-month period for 2018, capital expenditures primarily consisted of ground campus building projects such as the construction of two additional residence halls, an additional classroom building and parking garage to support our growing traditional student enrollment, as well as purchases of computer equipment, other internal use software projects and furniture and equipment to support our increasing employee headcount. Included in off-site development for 2018 is $0.2 million we spent on the student services building that is in close proximity to our ground traditional campus. During the three-month period for 2017, capital expenditures primarily consisted of ground campus building projects such as the construction of an additional dormitory to support our growing traditional student enrollment, land acquisitions adjacent to our campus, as well as purchases of computer equipment, other internal use software projects and furniture and equipment to support our increasing employee headcount. Included in off-site development for 2017 is $7.9 million we spent on the building and parking garage in close proximity to our ground traditional campus. Employees that work in two leased office buildings in the Phoenix area were relocated to this new building by the end of 2016.</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was $12.8 million and $33.1 million for the three months ended March 31,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the three-month period for 2018, $11.5 million was used to purchase common shares withheld in lieu of income taxes resulting from the vesting of restricted share awards and $0.5 million was used to purchase treasury stock in accordance with the University’s share repurchase program, and principal payments on notes payable and capital leases totaled $1.7 million, partially offset by proceeds from the exercise of stock options of $0.9 million. During the three-month period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2017, $25.0 million was used to repay the revolving line of credit, $9.5 million was used to purchase common shares withheld in lieu of income taxes resulting from restricted share awards and principal payments on notes payable and capital leases totaled $1.7 million, which amounts were partially offset by proceeds from the exercise of stock options of $3.1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as of March 31, 2018, the aggregate amounts of our significant contractual obligations and commitments with definitive payment terms due in each of the periods presented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9"/>
              </w:rPr>
              <w:t>Total</w:t>
            </w:r>
          </w:p>
        </w:tc>
        <w:tc>
          <w:tcPr>
            <w:tcW w:w="8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w w:val="92"/>
              </w:rPr>
              <w:t>Less than</w:t>
            </w:r>
          </w:p>
        </w:tc>
        <w:tc>
          <w:tcPr>
            <w:tcW w:w="70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2-</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4-</w:t>
            </w:r>
          </w:p>
        </w:tc>
        <w:tc>
          <w:tcPr>
            <w:tcW w:w="44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1 Year (1)</w:t>
            </w: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8"/>
              </w:rPr>
              <w:t>5 Years</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$ 59.9</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100.4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167.8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$ 67.6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April 1, 2018 through December 31, 2018.</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March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three months ended March 31, 2018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There can be no assurance that future inflation will not have an adverse impact on our operating results and financial condition.</w:t>
      </w:r>
    </w:p>
    <w:p>
      <w:pPr>
        <w:spacing w:after="0" w:line="15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 Day LIBOR interest exposure from the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debt matures in December 2019. The corridor instrument, which hedges variable interest rate risk starting March 1, 2013 through December 20, 2019 with a notional amount of $65.0 million as of March 31, 2018,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04"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through the instruments noted above and by investing excess funds in cash equivalents,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municipal mutual funds tied to various market indices, commercial paper rated at A1 or higher, certificates of deposit, and municipal bonds with a BBB rating or higher bearing variable interest rates, or individual bond coupon rates. Our future interest income may fall short of expectations due to changes in interest rates or we may suffer losses in principal if we are forced to sell securities that have declined in market value due to changes in interest rates. At March 31, 2018, a 10% increase or decrease in interest rates would not have a material impact on our future earnings, fair values, or cash flows. For information regarding our variable rate debt, see “Market risk” above.</w:t>
      </w:r>
    </w:p>
    <w:p>
      <w:pPr>
        <w:spacing w:after="0" w:line="2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that evaluation, our Chief Executive Officer and Chief Financial Officer concluded that our disclosure controls and procedures are effective, as of March 31, 2018,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2017.</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7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common stock, from time to time, depending on market conditions and other considerations. The current expiration date on the repurchase authorization is December 31, 2018.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March 31, 2018, we repurchased 5,379 shares of common stock. At March 31, 2018, there remains $97.2 million available under our share repurchase authorization.</w:t>
      </w:r>
    </w:p>
    <w:p>
      <w:pPr>
        <w:spacing w:after="0" w:line="126"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2018:</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440" w:type="dxa"/>
            <w:vAlign w:val="bottom"/>
          </w:tcPr>
          <w:p>
            <w:pPr>
              <w:spacing w:after="0"/>
              <w:rPr>
                <w:sz w:val="12"/>
                <w:szCs w:val="12"/>
                <w:color w:val="auto"/>
              </w:rPr>
            </w:pPr>
          </w:p>
        </w:tc>
        <w:tc>
          <w:tcPr>
            <w:tcW w:w="11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8"/>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Total Number of</w:t>
            </w:r>
          </w:p>
        </w:tc>
        <w:tc>
          <w:tcPr>
            <w:tcW w:w="6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5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Period</w:t>
            </w:r>
          </w:p>
        </w:tc>
        <w:tc>
          <w:tcPr>
            <w:tcW w:w="1540" w:type="dxa"/>
            <w:vAlign w:val="bottom"/>
            <w:gridSpan w:val="2"/>
            <w:vMerge w:val="continue"/>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Price Paid</w:t>
            </w:r>
          </w:p>
        </w:tc>
        <w:tc>
          <w:tcPr>
            <w:tcW w:w="4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4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Purchased Under</w:t>
            </w:r>
          </w:p>
        </w:tc>
        <w:tc>
          <w:tcPr>
            <w:tcW w:w="0" w:type="dxa"/>
            <w:vAlign w:val="bottom"/>
          </w:tcPr>
          <w:p>
            <w:pPr>
              <w:spacing w:after="0"/>
              <w:rPr>
                <w:sz w:val="1"/>
                <w:szCs w:val="1"/>
                <w:color w:val="auto"/>
              </w:rPr>
            </w:pPr>
          </w:p>
        </w:tc>
      </w:tr>
      <w:tr>
        <w:trPr>
          <w:trHeight w:val="171"/>
        </w:trPr>
        <w:tc>
          <w:tcPr>
            <w:tcW w:w="5040" w:type="dxa"/>
            <w:vAlign w:val="bottom"/>
            <w:gridSpan w:val="5"/>
            <w:vMerge w:val="continue"/>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Shares Purchased</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4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the Program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5"/>
              </w:rPr>
              <w:t>Share</w:t>
            </w:r>
          </w:p>
        </w:tc>
        <w:tc>
          <w:tcPr>
            <w:tcW w:w="1060" w:type="dxa"/>
            <w:vAlign w:val="bottom"/>
            <w:tcBorders>
              <w:top w:val="single" w:sz="8" w:color="CCEEFF"/>
              <w:bottom w:val="single" w:sz="8" w:color="auto"/>
            </w:tcBorders>
            <w:gridSpan w:val="2"/>
            <w:shd w:val="clear" w:color="auto" w:fill="CCEEFF"/>
          </w:tcPr>
          <w:p>
            <w:pPr>
              <w:ind w:left="80"/>
              <w:spacing w:after="0" w:line="156" w:lineRule="exact"/>
              <w:rPr>
                <w:sz w:val="20"/>
                <w:szCs w:val="20"/>
                <w:color w:val="auto"/>
              </w:rPr>
            </w:pPr>
            <w:r>
              <w:rPr>
                <w:rFonts w:ascii="Arial" w:cs="Arial" w:eastAsia="Arial" w:hAnsi="Arial"/>
                <w:sz w:val="18"/>
                <w:szCs w:val="18"/>
                <w:b w:val="1"/>
                <w:bCs w:val="1"/>
                <w:color w:val="auto"/>
                <w:w w:val="84"/>
              </w:rPr>
              <w:t>Repurchases</w:t>
            </w:r>
          </w:p>
        </w:tc>
        <w:tc>
          <w:tcPr>
            <w:tcW w:w="356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January 1, 2018 – January 31, 2018</w:t>
            </w:r>
          </w:p>
        </w:tc>
        <w:tc>
          <w:tcPr>
            <w:tcW w:w="15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w w:val="93"/>
              </w:rPr>
              <w:t>97,700,000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February 1, 2018 – February 28, 2018</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97,700,000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March 1, 2018 – March 31, 2018</w:t>
            </w: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95.10</w:t>
            </w:r>
          </w:p>
        </w:tc>
        <w:tc>
          <w:tcPr>
            <w:tcW w:w="44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w w:val="93"/>
              </w:rPr>
              <w:t>97,200,000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97,200,000</w:t>
            </w:r>
          </w:p>
        </w:tc>
        <w:tc>
          <w:tcPr>
            <w:tcW w:w="0" w:type="dxa"/>
            <w:vAlign w:val="bottom"/>
          </w:tcPr>
          <w:p>
            <w:pPr>
              <w:spacing w:after="0"/>
              <w:rPr>
                <w:sz w:val="1"/>
                <w:szCs w:val="1"/>
                <w:color w:val="auto"/>
              </w:rPr>
            </w:pPr>
          </w:p>
        </w:tc>
      </w:tr>
      <w:tr>
        <w:trPr>
          <w:trHeight w:val="183"/>
        </w:trPr>
        <w:tc>
          <w:tcPr>
            <w:tcW w:w="504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Tax Withholdings</w:t>
            </w:r>
          </w:p>
        </w:tc>
        <w:tc>
          <w:tcPr>
            <w:tcW w:w="11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1, 2018 – January 31, 2018</w:t>
            </w:r>
          </w:p>
        </w:tc>
        <w:tc>
          <w:tcPr>
            <w:tcW w:w="15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February 1, 2018 – February 28, 2018</w:t>
            </w:r>
          </w:p>
        </w:tc>
        <w:tc>
          <w:tcPr>
            <w:tcW w:w="15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1, 2018 – March 31, 2018</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118,921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118,921</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w:t>
            </w:r>
          </w:p>
        </w:tc>
        <w:tc>
          <w:tcPr>
            <w:tcW w:w="44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00" w:type="dxa"/>
            <w:vAlign w:val="bottom"/>
          </w:tcPr>
          <w:p>
            <w:pPr>
              <w:jc w:val="right"/>
              <w:ind w:right="713"/>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960"/>
        <w:spacing w:after="0"/>
        <w:tabs>
          <w:tab w:leader="none" w:pos="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jc w:val="center"/>
        <w:ind w:right="90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20"/>
          </w:cols>
          <w:pgMar w:left="240" w:top="459" w:right="3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380" w:type="dxa"/>
            <w:vAlign w:val="bottom"/>
            <w:gridSpan w:val="17"/>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800" w:type="dxa"/>
            <w:vAlign w:val="bottom"/>
          </w:tcPr>
          <w:p>
            <w:pPr>
              <w:spacing w:after="0"/>
              <w:rPr>
                <w:sz w:val="24"/>
                <w:szCs w:val="24"/>
                <w:color w:val="auto"/>
              </w:rPr>
            </w:pPr>
          </w:p>
        </w:tc>
        <w:tc>
          <w:tcPr>
            <w:tcW w:w="5380" w:type="dxa"/>
            <w:vAlign w:val="bottom"/>
            <w:gridSpan w:val="17"/>
          </w:tcPr>
          <w:p>
            <w:pPr>
              <w:ind w:left="120"/>
              <w:spacing w:after="0"/>
              <w:rPr>
                <w:sz w:val="20"/>
                <w:szCs w:val="20"/>
                <w:color w:val="auto"/>
              </w:rPr>
            </w:pPr>
            <w:r>
              <w:rPr>
                <w:rFonts w:ascii="Arial" w:cs="Arial" w:eastAsia="Arial" w:hAnsi="Arial"/>
                <w:sz w:val="18"/>
                <w:szCs w:val="18"/>
                <w:color w:val="auto"/>
              </w:rPr>
              <w:t>(a) Exhibits</w:t>
            </w:r>
          </w:p>
        </w:tc>
      </w:tr>
      <w:tr>
        <w:trPr>
          <w:trHeight w:val="297"/>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Amended and Restated Certificate of Incorporation.</w:t>
              </w:r>
            </w:hyperlink>
          </w:p>
        </w:tc>
        <w:tc>
          <w:tcPr>
            <w:tcW w:w="1380" w:type="dxa"/>
            <w:vAlign w:val="bottom"/>
            <w:gridSpan w:val="8"/>
          </w:tcPr>
          <w:p>
            <w:pPr>
              <w:spacing w:after="0"/>
              <w:rPr>
                <w:sz w:val="19"/>
                <w:szCs w:val="19"/>
                <w:color w:val="auto"/>
              </w:rPr>
            </w:pPr>
          </w:p>
        </w:tc>
      </w:tr>
      <w:tr>
        <w:trPr>
          <w:trHeight w:val="696"/>
        </w:trPr>
        <w:tc>
          <w:tcPr>
            <w:tcW w:w="800" w:type="dxa"/>
            <w:vAlign w:val="bottom"/>
          </w:tcPr>
          <w:p>
            <w:pPr>
              <w:jc w:val="right"/>
              <w:ind w:right="171"/>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4820" w:type="dxa"/>
            <w:vAlign w:val="bottom"/>
            <w:tcBorders>
              <w:bottom w:val="single" w:sz="8" w:color="0000EE"/>
            </w:tcBorders>
            <w:gridSpan w:val="14"/>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Certificate of Amendment of Amended and Restated Certificate of</w:t>
              </w:r>
            </w:hyperlink>
          </w:p>
        </w:tc>
        <w:tc>
          <w:tcPr>
            <w:tcW w:w="30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20" w:type="dxa"/>
            <w:vAlign w:val="bottom"/>
            <w:gridSpan w:val="16"/>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Incorporation.</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0"/>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5120" w:type="dxa"/>
            <w:vAlign w:val="bottom"/>
            <w:gridSpan w:val="16"/>
          </w:tcPr>
          <w:p>
            <w:pPr>
              <w:spacing w:after="0"/>
              <w:rPr>
                <w:rFonts w:ascii="Arial" w:cs="Arial" w:eastAsia="Arial" w:hAnsi="Arial"/>
                <w:sz w:val="18"/>
                <w:szCs w:val="18"/>
                <w:color w:val="0000EE"/>
              </w:rPr>
            </w:pPr>
            <w:hyperlink r:id="rId47">
              <w:r>
                <w:rPr>
                  <w:rFonts w:ascii="Arial" w:cs="Arial" w:eastAsia="Arial" w:hAnsi="Arial"/>
                  <w:sz w:val="18"/>
                  <w:szCs w:val="18"/>
                  <w:color w:val="0000EE"/>
                </w:rPr>
                <w:t>Third Amended and Restated Bylaws.</w:t>
              </w:r>
            </w:hyperlink>
          </w:p>
        </w:tc>
      </w:tr>
      <w:tr>
        <w:trPr>
          <w:trHeight w:val="480"/>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2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Specimen of Stock Certificate.</w:t>
              </w:r>
            </w:hyperlink>
          </w:p>
        </w:tc>
        <w:tc>
          <w:tcPr>
            <w:tcW w:w="520" w:type="dxa"/>
            <w:vAlign w:val="bottom"/>
            <w:tcBorders>
              <w:top w:val="single" w:sz="8" w:color="0000EE"/>
            </w:tcBorders>
          </w:tcPr>
          <w:p>
            <w:pPr>
              <w:spacing w:after="0"/>
              <w:rPr>
                <w:sz w:val="24"/>
                <w:szCs w:val="24"/>
                <w:color w:val="auto"/>
              </w:rPr>
            </w:pPr>
          </w:p>
        </w:tc>
        <w:tc>
          <w:tcPr>
            <w:tcW w:w="2380" w:type="dxa"/>
            <w:vAlign w:val="bottom"/>
            <w:gridSpan w:val="10"/>
          </w:tcPr>
          <w:p>
            <w:pPr>
              <w:spacing w:after="0"/>
              <w:rPr>
                <w:sz w:val="24"/>
                <w:szCs w:val="24"/>
                <w:color w:val="auto"/>
              </w:rPr>
            </w:pPr>
          </w:p>
        </w:tc>
      </w:tr>
      <w:tr>
        <w:trPr>
          <w:trHeight w:val="696"/>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Certification of Principal Executive Officer pursuant to Rules 13a-</w:t>
            </w:r>
          </w:p>
        </w:tc>
        <w:tc>
          <w:tcPr>
            <w:tcW w:w="3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20" w:type="dxa"/>
            <w:vAlign w:val="bottom"/>
            <w:gridSpan w:val="16"/>
          </w:tcPr>
          <w:p>
            <w:pPr>
              <w:spacing w:after="0" w:line="196" w:lineRule="exact"/>
              <w:rPr>
                <w:sz w:val="20"/>
                <w:szCs w:val="20"/>
                <w:color w:val="auto"/>
              </w:rPr>
            </w:pPr>
            <w:r>
              <w:rPr>
                <w:rFonts w:ascii="Arial" w:cs="Arial" w:eastAsia="Arial" w:hAnsi="Arial"/>
                <w:sz w:val="18"/>
                <w:szCs w:val="18"/>
                <w:color w:val="0000EE"/>
              </w:rPr>
              <w:t>14(a) and 15d-14(a), as adopted pursuant to Section 302 of the</w:t>
            </w: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Sarbanes-Oxley Act of 2002.</w:t>
            </w:r>
          </w:p>
        </w:tc>
        <w:tc>
          <w:tcPr>
            <w:tcW w:w="620" w:type="dxa"/>
            <w:vAlign w:val="bottom"/>
            <w:gridSpan w:val="7"/>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2"/>
                <w:szCs w:val="22"/>
                <w:color w:val="auto"/>
              </w:rPr>
            </w:pPr>
          </w:p>
        </w:tc>
        <w:tc>
          <w:tcPr>
            <w:tcW w:w="51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2"/>
              </w:rPr>
              <w:t>Certification of Principal Financial Officer pursuant to Rules 13a-14(a)</w:t>
            </w: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8"/>
              </w:rPr>
              <w:t>and 15d-14(a), as adopted pursuant to Section 302 of the Sarbanes-</w:t>
            </w:r>
          </w:p>
        </w:tc>
        <w:tc>
          <w:tcPr>
            <w:tcW w:w="2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3720" w:type="dxa"/>
            <w:vAlign w:val="bottom"/>
            <w:gridSpan w:val="14"/>
          </w:tcPr>
          <w:p>
            <w:pPr>
              <w:spacing w:after="0"/>
              <w:rPr>
                <w:sz w:val="17"/>
                <w:szCs w:val="17"/>
                <w:color w:val="auto"/>
              </w:rPr>
            </w:pPr>
          </w:p>
        </w:tc>
      </w:tr>
      <w:tr>
        <w:trPr>
          <w:trHeight w:val="264"/>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2"/>
                <w:szCs w:val="22"/>
                <w:color w:val="auto"/>
              </w:rPr>
            </w:pPr>
          </w:p>
        </w:tc>
        <w:tc>
          <w:tcPr>
            <w:tcW w:w="47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2"/>
              </w:rPr>
              <w:t>Certification of Principal Executive Officer pursuant to 18 U.S.C.</w:t>
            </w:r>
          </w:p>
        </w:tc>
        <w:tc>
          <w:tcPr>
            <w:tcW w:w="380" w:type="dxa"/>
            <w:vAlign w:val="bottom"/>
            <w:gridSpan w:val="5"/>
          </w:tcPr>
          <w:p>
            <w:pPr>
              <w:spacing w:after="0"/>
              <w:rPr>
                <w:sz w:val="22"/>
                <w:szCs w:val="22"/>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20" w:type="dxa"/>
            <w:vAlign w:val="bottom"/>
            <w:gridSpan w:val="16"/>
          </w:tcPr>
          <w:p>
            <w:pPr>
              <w:spacing w:after="0" w:line="196" w:lineRule="exact"/>
              <w:rPr>
                <w:sz w:val="20"/>
                <w:szCs w:val="20"/>
                <w:color w:val="auto"/>
              </w:rPr>
            </w:pPr>
            <w:r>
              <w:rPr>
                <w:rFonts w:ascii="Arial" w:cs="Arial" w:eastAsia="Arial" w:hAnsi="Arial"/>
                <w:sz w:val="18"/>
                <w:szCs w:val="18"/>
                <w:color w:val="0000EE"/>
                <w:w w:val="94"/>
              </w:rPr>
              <w:t>Section 1350, as adopted pursuant to Section 906 of the Sarbanes-</w:t>
            </w: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Oxley Act of 2002. ††</w:t>
            </w:r>
          </w:p>
        </w:tc>
        <w:tc>
          <w:tcPr>
            <w:tcW w:w="3140" w:type="dxa"/>
            <w:vAlign w:val="bottom"/>
            <w:tcBorders>
              <w:top w:val="single" w:sz="8" w:color="0000EE"/>
            </w:tcBorders>
            <w:gridSpan w:val="9"/>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264"/>
        </w:trPr>
        <w:tc>
          <w:tcPr>
            <w:tcW w:w="800" w:type="dxa"/>
            <w:vAlign w:val="bottom"/>
          </w:tcPr>
          <w:p>
            <w:pPr>
              <w:jc w:val="right"/>
              <w:ind w:right="291"/>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2"/>
                <w:szCs w:val="22"/>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0000EE"/>
              </w:rPr>
              <w:t>Certification of Principal Financial Officer pursuant to 18 U.S.C.</w:t>
            </w: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gridSpan w:val="10"/>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20" w:type="dxa"/>
            <w:vAlign w:val="bottom"/>
            <w:gridSpan w:val="16"/>
          </w:tcPr>
          <w:p>
            <w:pPr>
              <w:spacing w:after="0" w:line="196" w:lineRule="exact"/>
              <w:rPr>
                <w:sz w:val="20"/>
                <w:szCs w:val="20"/>
                <w:color w:val="auto"/>
              </w:rPr>
            </w:pPr>
            <w:r>
              <w:rPr>
                <w:rFonts w:ascii="Arial" w:cs="Arial" w:eastAsia="Arial" w:hAnsi="Arial"/>
                <w:sz w:val="18"/>
                <w:szCs w:val="18"/>
                <w:color w:val="0000EE"/>
                <w:w w:val="94"/>
              </w:rPr>
              <w:t>Section 1350, as adopted pursuant to Section 906 of the Sarbanes-</w:t>
            </w: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Oxley Act of 2002. ††</w:t>
            </w:r>
          </w:p>
        </w:tc>
        <w:tc>
          <w:tcPr>
            <w:tcW w:w="3140" w:type="dxa"/>
            <w:vAlign w:val="bottom"/>
            <w:tcBorders>
              <w:top w:val="single" w:sz="8" w:color="0000EE"/>
            </w:tcBorders>
            <w:gridSpan w:val="9"/>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Schema</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512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3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Incorporated by reference to Appendix A to the University’s Proxy Statement for its 2016 Annual Meeting of Stockholders, filed with the SEC on April 29, 2016.</w:t>
      </w:r>
    </w:p>
    <w:p>
      <w:pPr>
        <w:spacing w:after="0" w:line="33" w:lineRule="exact"/>
        <w:rPr>
          <w:sz w:val="20"/>
          <w:szCs w:val="20"/>
          <w:color w:val="auto"/>
        </w:rPr>
      </w:pPr>
    </w:p>
    <w:p>
      <w:pPr>
        <w:ind w:right="60"/>
        <w:spacing w:after="0" w:line="325"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180" w:space="220"/>
            <w:col w:w="4920"/>
          </w:cols>
          <w:pgMar w:left="240" w:top="459" w:right="339" w:bottom="1440" w:gutter="0" w:footer="0" w:header="0"/>
          <w:type w:val="continuous"/>
        </w:sectPr>
      </w:pPr>
    </w:p>
    <w:p>
      <w:pPr>
        <w:spacing w:after="0" w:line="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32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GRAND CANYON EDUCATION, INC.</w:t>
      </w:r>
    </w:p>
    <w:p>
      <w:pPr>
        <w:spacing w:after="0" w:line="24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6"/>
          <w:szCs w:val="16"/>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40"/>
          </w:cols>
          <w:pgMar w:left="240" w:top="459" w:right="9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2018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2018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2018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2018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45" Type="http://schemas.openxmlformats.org/officeDocument/2006/relationships/hyperlink" Target="http://www.sec.gov/Archives/edgar/data/1434588/000095015308001925/p75463a6exv3w1.htm" TargetMode="External"/><Relationship Id="rId46" Type="http://schemas.openxmlformats.org/officeDocument/2006/relationships/hyperlink" Target="http://www.sec.gov/Archives/edgar/data/1434588/000119312516566183/d117924ddef14a.htm#toc117924_54" TargetMode="External"/><Relationship Id="rId47" Type="http://schemas.openxmlformats.org/officeDocument/2006/relationships/hyperlink" Target="http://www.sec.gov/Archives/edgar/data/1434588/000119312514387149/d812440dex31.htm" TargetMode="External"/><Relationship Id="rId48"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2019-12-07T12:41:17Z</dcterms:created>
  <dcterms:modified xsi:type="dcterms:W3CDTF">2019-12-07T12:41:17Z</dcterms:modified>
</cp:coreProperties>
</file>