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17"/>
          <w:szCs w:val="117"/>
          <w:b w:val="1"/>
          <w:bCs w:val="1"/>
          <w:color w:val="433E48"/>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2 0 2 4</w:t>
      </w:r>
    </w:p>
    <w:p>
      <w:pPr>
        <w:sectPr>
          <w:pgSz w:w="12240" w:h="15840" w:orient="portrait"/>
          <w:cols w:equalWidth="0" w:num="1">
            <w:col w:w="9880"/>
          </w:cols>
          <w:pgMar w:left="920" w:top="575" w:right="1440" w:bottom="1440" w:gutter="0" w:footer="0" w:header="0"/>
        </w:sectPr>
      </w:pPr>
    </w:p>
    <w:p>
      <w:pPr>
        <w:spacing w:after="0" w:line="309" w:lineRule="exact"/>
        <w:rPr>
          <w:sz w:val="24"/>
          <w:szCs w:val="24"/>
          <w:color w:val="auto"/>
        </w:rPr>
      </w:pPr>
    </w:p>
    <w:p>
      <w:pPr>
        <w:ind w:left="440"/>
        <w:spacing w:after="0"/>
        <w:rPr>
          <w:sz w:val="20"/>
          <w:szCs w:val="20"/>
          <w:color w:val="auto"/>
        </w:rPr>
      </w:pPr>
      <w:r>
        <w:rPr>
          <w:rFonts w:ascii="Arial" w:cs="Arial" w:eastAsia="Arial" w:hAnsi="Arial"/>
          <w:sz w:val="13"/>
          <w:szCs w:val="13"/>
          <w:color w:val="00070E"/>
        </w:rPr>
        <w:t>A</w:t>
      </w:r>
      <w:r>
        <w:rPr>
          <w:rFonts w:ascii="Arial" w:cs="Arial" w:eastAsia="Arial" w:hAnsi="Arial"/>
          <w:sz w:val="13"/>
          <w:szCs w:val="13"/>
          <w:color w:val="00070D"/>
        </w:rPr>
        <w:t>A</w:t>
      </w:r>
      <w:r>
        <w:rPr>
          <w:rFonts w:ascii="Arial" w:cs="Arial" w:eastAsia="Arial" w:hAnsi="Arial"/>
          <w:sz w:val="13"/>
          <w:szCs w:val="13"/>
          <w:color w:val="00070E"/>
        </w:rPr>
        <w:t xml:space="preserve"> </w:t>
      </w:r>
      <w:r>
        <w:rPr>
          <w:rFonts w:ascii="Arial" w:cs="Arial" w:eastAsia="Arial" w:hAnsi="Arial"/>
          <w:sz w:val="13"/>
          <w:szCs w:val="13"/>
          <w:color w:val="00070D"/>
        </w:rPr>
        <w:t>N</w:t>
      </w:r>
      <w:r>
        <w:rPr>
          <w:rFonts w:ascii="Arial" w:cs="Arial" w:eastAsia="Arial" w:hAnsi="Arial"/>
          <w:sz w:val="13"/>
          <w:szCs w:val="13"/>
          <w:color w:val="00070E"/>
        </w:rPr>
        <w:t xml:space="preserve">N </w:t>
      </w:r>
      <w:r>
        <w:rPr>
          <w:rFonts w:ascii="Arial" w:cs="Arial" w:eastAsia="Arial" w:hAnsi="Arial"/>
          <w:sz w:val="13"/>
          <w:szCs w:val="13"/>
          <w:color w:val="00070D"/>
        </w:rPr>
        <w:t>N</w:t>
      </w:r>
      <w:r>
        <w:rPr>
          <w:rFonts w:ascii="Arial" w:cs="Arial" w:eastAsia="Arial" w:hAnsi="Arial"/>
          <w:sz w:val="13"/>
          <w:szCs w:val="13"/>
          <w:color w:val="00070E"/>
        </w:rPr>
        <w:t xml:space="preserve">N </w:t>
      </w:r>
      <w:r>
        <w:rPr>
          <w:rFonts w:ascii="Arial" w:cs="Arial" w:eastAsia="Arial" w:hAnsi="Arial"/>
          <w:sz w:val="13"/>
          <w:szCs w:val="13"/>
          <w:color w:val="00070D"/>
        </w:rPr>
        <w:t>U</w:t>
      </w:r>
      <w:r>
        <w:rPr>
          <w:rFonts w:ascii="Arial" w:cs="Arial" w:eastAsia="Arial" w:hAnsi="Arial"/>
          <w:sz w:val="13"/>
          <w:szCs w:val="13"/>
          <w:color w:val="00070E"/>
        </w:rPr>
        <w:t xml:space="preserve">U </w:t>
      </w:r>
      <w:r>
        <w:rPr>
          <w:rFonts w:ascii="Arial" w:cs="Arial" w:eastAsia="Arial" w:hAnsi="Arial"/>
          <w:sz w:val="13"/>
          <w:szCs w:val="13"/>
          <w:color w:val="00070D"/>
        </w:rPr>
        <w:t>A</w:t>
      </w:r>
      <w:r>
        <w:rPr>
          <w:rFonts w:ascii="Arial" w:cs="Arial" w:eastAsia="Arial" w:hAnsi="Arial"/>
          <w:sz w:val="13"/>
          <w:szCs w:val="13"/>
          <w:color w:val="00070E"/>
        </w:rPr>
        <w:t xml:space="preserve">A </w:t>
      </w:r>
      <w:r>
        <w:rPr>
          <w:rFonts w:ascii="Arial" w:cs="Arial" w:eastAsia="Arial" w:hAnsi="Arial"/>
          <w:sz w:val="13"/>
          <w:szCs w:val="13"/>
          <w:color w:val="00070D"/>
        </w:rPr>
        <w:t>L</w:t>
      </w:r>
      <w:r>
        <w:rPr>
          <w:rFonts w:ascii="Arial" w:cs="Arial" w:eastAsia="Arial" w:hAnsi="Arial"/>
          <w:sz w:val="13"/>
          <w:szCs w:val="13"/>
          <w:color w:val="00070E"/>
        </w:rPr>
        <w:t xml:space="preserve">L </w:t>
      </w:r>
      <w:r>
        <w:rPr>
          <w:rFonts w:ascii="Arial" w:cs="Arial" w:eastAsia="Arial" w:hAnsi="Arial"/>
          <w:sz w:val="13"/>
          <w:szCs w:val="13"/>
          <w:color w:val="00070D"/>
        </w:rPr>
        <w:t>R</w:t>
      </w:r>
      <w:r>
        <w:rPr>
          <w:rFonts w:ascii="Arial" w:cs="Arial" w:eastAsia="Arial" w:hAnsi="Arial"/>
          <w:sz w:val="13"/>
          <w:szCs w:val="13"/>
          <w:color w:val="00070E"/>
        </w:rPr>
        <w:t xml:space="preserve">R </w:t>
      </w:r>
      <w:r>
        <w:rPr>
          <w:rFonts w:ascii="Arial" w:cs="Arial" w:eastAsia="Arial" w:hAnsi="Arial"/>
          <w:sz w:val="13"/>
          <w:szCs w:val="13"/>
          <w:color w:val="00070D"/>
        </w:rPr>
        <w:t>E</w:t>
      </w:r>
      <w:r>
        <w:rPr>
          <w:rFonts w:ascii="Arial" w:cs="Arial" w:eastAsia="Arial" w:hAnsi="Arial"/>
          <w:sz w:val="13"/>
          <w:szCs w:val="13"/>
          <w:color w:val="00070E"/>
        </w:rPr>
        <w:t xml:space="preserve">E </w:t>
      </w:r>
      <w:r>
        <w:rPr>
          <w:rFonts w:ascii="Arial" w:cs="Arial" w:eastAsia="Arial" w:hAnsi="Arial"/>
          <w:sz w:val="13"/>
          <w:szCs w:val="13"/>
          <w:color w:val="00070D"/>
        </w:rPr>
        <w:t>P</w:t>
      </w:r>
      <w:r>
        <w:rPr>
          <w:rFonts w:ascii="Arial" w:cs="Arial" w:eastAsia="Arial" w:hAnsi="Arial"/>
          <w:sz w:val="13"/>
          <w:szCs w:val="13"/>
          <w:color w:val="00070E"/>
        </w:rPr>
        <w:t xml:space="preserve">P </w:t>
      </w:r>
      <w:r>
        <w:rPr>
          <w:rFonts w:ascii="Arial" w:cs="Arial" w:eastAsia="Arial" w:hAnsi="Arial"/>
          <w:sz w:val="13"/>
          <w:szCs w:val="13"/>
          <w:color w:val="00070D"/>
        </w:rPr>
        <w:t>O</w:t>
      </w:r>
      <w:r>
        <w:rPr>
          <w:rFonts w:ascii="Arial" w:cs="Arial" w:eastAsia="Arial" w:hAnsi="Arial"/>
          <w:sz w:val="13"/>
          <w:szCs w:val="13"/>
          <w:color w:val="00070E"/>
        </w:rPr>
        <w:t xml:space="preserve">O </w:t>
      </w:r>
      <w:r>
        <w:rPr>
          <w:rFonts w:ascii="Arial" w:cs="Arial" w:eastAsia="Arial" w:hAnsi="Arial"/>
          <w:sz w:val="13"/>
          <w:szCs w:val="13"/>
          <w:color w:val="00070D"/>
        </w:rPr>
        <w:t>R</w:t>
      </w:r>
      <w:r>
        <w:rPr>
          <w:rFonts w:ascii="Arial" w:cs="Arial" w:eastAsia="Arial" w:hAnsi="Arial"/>
          <w:sz w:val="13"/>
          <w:szCs w:val="13"/>
          <w:color w:val="00070E"/>
        </w:rPr>
        <w:t>R T</w:t>
      </w:r>
      <w:r>
        <w:rPr>
          <w:rFonts w:ascii="Arial" w:cs="Arial" w:eastAsia="Arial" w:hAnsi="Arial"/>
          <w:sz w:val="13"/>
          <w:szCs w:val="13"/>
          <w:color w:val="00070D"/>
        </w:rPr>
        <w:t>T</w:t>
      </w:r>
    </w:p>
    <w:p>
      <w:pPr>
        <w:spacing w:after="0" w:line="20" w:lineRule="exact"/>
        <w:rPr>
          <w:sz w:val="24"/>
          <w:szCs w:val="24"/>
          <w:color w:val="auto"/>
        </w:rPr>
      </w:pPr>
    </w:p>
    <w:p>
      <w:pPr>
        <w:sectPr>
          <w:pgSz w:w="12240" w:h="15840" w:orient="portrait"/>
          <w:cols w:equalWidth="0" w:num="1">
            <w:col w:w="9880"/>
          </w:cols>
          <w:pgMar w:left="920" w:top="575" w:right="1440" w:bottom="1440" w:gutter="0" w:footer="0" w:header="0"/>
          <w:type w:val="continuous"/>
        </w:sectPr>
      </w:pPr>
    </w:p>
    <w:bookmarkStart w:id="1" w:name="page2"/>
    <w:bookmarkEnd w:id="1"/>
    <w:p>
      <w:pPr>
        <w:ind w:left="1680"/>
        <w:spacing w:after="0"/>
        <w:rPr>
          <w:sz w:val="20"/>
          <w:szCs w:val="20"/>
          <w:color w:val="auto"/>
        </w:rPr>
      </w:pPr>
      <w:r>
        <w:rPr>
          <w:rFonts w:ascii="Arial" w:cs="Arial" w:eastAsia="Arial" w:hAnsi="Arial"/>
          <w:sz w:val="23"/>
          <w:szCs w:val="23"/>
          <w:b w:val="1"/>
          <w:bCs w:val="1"/>
          <w:color w:val="00070E"/>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D E A R S T O C K H O L D E R S ,</w:t>
      </w:r>
    </w:p>
    <w:p>
      <w:pPr>
        <w:spacing w:after="0" w:line="240" w:lineRule="exact"/>
        <w:rPr>
          <w:sz w:val="20"/>
          <w:szCs w:val="20"/>
          <w:color w:val="auto"/>
        </w:rPr>
      </w:pPr>
    </w:p>
    <w:p>
      <w:pPr>
        <w:ind w:left="1680"/>
        <w:spacing w:after="0" w:line="258" w:lineRule="auto"/>
        <w:rPr>
          <w:sz w:val="20"/>
          <w:szCs w:val="20"/>
          <w:color w:val="auto"/>
        </w:rPr>
      </w:pPr>
      <w:r>
        <w:rPr>
          <w:rFonts w:ascii="Arial" w:cs="Arial" w:eastAsia="Arial" w:hAnsi="Arial"/>
          <w:sz w:val="18"/>
          <w:szCs w:val="18"/>
          <w:color w:val="00070E"/>
        </w:rPr>
        <w:t>Grand Canyon Education (GCE) continues to achieve remarkable outcomes for its university partners, students and communities while navigating the evolving higher education landscape. With over 30 years of expertise, its leadership team remains dedicated to expanding access to high-quality education and supporting workforce development initiatives.</w:t>
      </w:r>
    </w:p>
    <w:p>
      <w:pPr>
        <w:spacing w:after="0" w:line="128" w:lineRule="exact"/>
        <w:rPr>
          <w:sz w:val="20"/>
          <w:szCs w:val="20"/>
          <w:color w:val="auto"/>
        </w:rPr>
      </w:pPr>
    </w:p>
    <w:p>
      <w:pPr>
        <w:ind w:left="1680" w:right="20"/>
        <w:spacing w:after="0" w:line="256" w:lineRule="auto"/>
        <w:rPr>
          <w:sz w:val="20"/>
          <w:szCs w:val="20"/>
          <w:color w:val="auto"/>
        </w:rPr>
      </w:pPr>
      <w:r>
        <w:rPr>
          <w:rFonts w:ascii="Arial" w:cs="Arial" w:eastAsia="Arial" w:hAnsi="Arial"/>
          <w:sz w:val="18"/>
          <w:szCs w:val="18"/>
          <w:color w:val="00070E"/>
        </w:rPr>
        <w:t>GCE maintains a strong partnership with Grand Canyon University (GCU), delivering a differentiated value proposition that benefits students and communities. Our online pillar continues to exceed long-term growth objectives, driven by expanding program offerings and 5,000+ educational agreements across more than 34,000 locations. These partnerships help organizations develop internal talent pipelines and address state-specific licensure requirements.</w:t>
      </w:r>
    </w:p>
    <w:p>
      <w:pPr>
        <w:spacing w:after="0" w:line="368" w:lineRule="exact"/>
        <w:rPr>
          <w:sz w:val="20"/>
          <w:szCs w:val="20"/>
          <w:color w:val="auto"/>
        </w:rPr>
      </w:pPr>
    </w:p>
    <w:p>
      <w:pPr>
        <w:ind w:left="1680" w:right="120"/>
        <w:spacing w:after="0" w:line="256" w:lineRule="auto"/>
        <w:rPr>
          <w:sz w:val="20"/>
          <w:szCs w:val="20"/>
          <w:color w:val="auto"/>
        </w:rPr>
      </w:pPr>
      <w:r>
        <w:rPr>
          <w:rFonts w:ascii="Arial" w:cs="Arial" w:eastAsia="Arial" w:hAnsi="Arial"/>
          <w:sz w:val="18"/>
          <w:szCs w:val="18"/>
          <w:color w:val="00070E"/>
        </w:rPr>
        <w:t>Since becoming a service provider, GCE has helped GCU graduate 183,632 students, many earning licensure degrees in high-demand fields such as teaching, counseling, social work and nursing. A growing percentage of these graduates are first-generation college students. Additionally, since 2019, 17,644 students have graduated from our other university partners’ Accelerated Bachelor of Science in Nursing (ABSN) or Occupational Therapy Assistant (OTA) programs.</w:t>
      </w:r>
    </w:p>
    <w:p>
      <w:pPr>
        <w:spacing w:after="0" w:line="147" w:lineRule="exact"/>
        <w:rPr>
          <w:sz w:val="20"/>
          <w:szCs w:val="20"/>
          <w:color w:val="auto"/>
        </w:rPr>
      </w:pPr>
    </w:p>
    <w:p>
      <w:pPr>
        <w:ind w:left="1680" w:right="40"/>
        <w:spacing w:after="0" w:line="258" w:lineRule="auto"/>
        <w:rPr>
          <w:sz w:val="20"/>
          <w:szCs w:val="20"/>
          <w:color w:val="auto"/>
        </w:rPr>
      </w:pPr>
      <w:r>
        <w:rPr>
          <w:rFonts w:ascii="Arial" w:cs="Arial" w:eastAsia="Arial" w:hAnsi="Arial"/>
          <w:sz w:val="18"/>
          <w:szCs w:val="18"/>
          <w:color w:val="00070E"/>
        </w:rPr>
        <w:t>Our hybrid pillar returned to double-digit growth in 2024, driven by adjustments allowing students with relevant educational experience—but without a completed bachelor</w:t>
      </w:r>
      <w:r>
        <w:rPr>
          <w:rFonts w:ascii="Arial" w:cs="Arial" w:eastAsia="Arial" w:hAnsi="Arial"/>
          <w:sz w:val="18"/>
          <w:szCs w:val="18"/>
          <w:color w:val="000000"/>
        </w:rPr>
        <w:t>’</w:t>
      </w:r>
      <w:r>
        <w:rPr>
          <w:rFonts w:ascii="Arial" w:cs="Arial" w:eastAsia="Arial" w:hAnsi="Arial"/>
          <w:sz w:val="18"/>
          <w:szCs w:val="18"/>
          <w:color w:val="00070E"/>
        </w:rPr>
        <w:t>s degree—to enter select programs. Most of our university partners implementing these changes experienced year-over-year enrollment growth in Summer and Fall of 2024.</w:t>
      </w:r>
    </w:p>
    <w:p>
      <w:pPr>
        <w:spacing w:after="0" w:line="148" w:lineRule="exact"/>
        <w:rPr>
          <w:sz w:val="20"/>
          <w:szCs w:val="20"/>
          <w:color w:val="auto"/>
        </w:rPr>
      </w:pPr>
    </w:p>
    <w:p>
      <w:pPr>
        <w:ind w:left="1680" w:right="100"/>
        <w:spacing w:after="0" w:line="254" w:lineRule="auto"/>
        <w:rPr>
          <w:sz w:val="20"/>
          <w:szCs w:val="20"/>
          <w:color w:val="auto"/>
        </w:rPr>
      </w:pPr>
      <w:r>
        <w:rPr>
          <w:rFonts w:ascii="Arial" w:cs="Arial" w:eastAsia="Arial" w:hAnsi="Arial"/>
          <w:sz w:val="18"/>
          <w:szCs w:val="18"/>
          <w:color w:val="00070E"/>
        </w:rPr>
        <w:t>To further expand access to healthcare education, GCE continues to invest in new enrollment initiatives, simulation technology, virtual reality and prerequisite strategies. These efforts address challenges in nursing education, including clinical faculty shortages and complex enrollment pathways. Over 12,412 students have enrolled in GCU’s online nursing pre-requisite courses—including those who are currently enrolled, have completed or did not complete the courses. These courses provide robust academic support, affordability and frequent start dates, serving as a key feeder into our partners’ hybrid healthcare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00070E"/>
        </w:rPr>
        <w:t>We anticipate a return to growth in our campus pillar enrollments in Fall 2025 as FAFSA-related enrollment challenges improve. This growth will be supported by new GCU programs equipping students with in-demand technical skills. Initiatives such as the Pre-Apprenticeship for Electricians and CNC Machining programs offer hands-on training for high-growth industries. Additionally, GCU will launch a one-of-a-kind, 24/7 immersive cybersecurity living space, providing practical, continuous learning experiences for cybersecurity enthusiasts.</w:t>
      </w:r>
    </w:p>
    <w:p>
      <w:pPr>
        <w:spacing w:after="0" w:line="3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00070E"/>
        </w:rPr>
        <w:t>GCE continues to be a transformative force in the communities we serve, supporting numerous nonprofit organizations, including GCU CityServe, Habitat for Humanity and the Youth Opportunity Foundation. Key 2024 initiatives included:</w:t>
      </w:r>
    </w:p>
    <w:p>
      <w:pPr>
        <w:spacing w:after="0" w:line="132" w:lineRule="exact"/>
        <w:rPr>
          <w:sz w:val="20"/>
          <w:szCs w:val="20"/>
          <w:color w:val="auto"/>
        </w:rPr>
      </w:pPr>
    </w:p>
    <w:p>
      <w:pPr>
        <w:ind w:left="180" w:right="160" w:hanging="171"/>
        <w:spacing w:after="0" w:line="278" w:lineRule="auto"/>
        <w:tabs>
          <w:tab w:leader="none" w:pos="180" w:val="left"/>
        </w:tabs>
        <w:numPr>
          <w:ilvl w:val="0"/>
          <w:numId w:val="1"/>
        </w:numPr>
        <w:rPr>
          <w:rFonts w:ascii="Arial" w:cs="Arial" w:eastAsia="Arial" w:hAnsi="Arial"/>
          <w:sz w:val="18"/>
          <w:szCs w:val="18"/>
          <w:color w:val="00070E"/>
        </w:rPr>
      </w:pPr>
      <w:r>
        <w:rPr>
          <w:rFonts w:ascii="Arial" w:cs="Arial" w:eastAsia="Arial" w:hAnsi="Arial"/>
          <w:sz w:val="18"/>
          <w:szCs w:val="18"/>
          <w:color w:val="00070E"/>
        </w:rPr>
        <w:t>$4.5 million in contributions to private school tuition organizations, ensuring educational access for students in need.</w:t>
      </w:r>
    </w:p>
    <w:p>
      <w:pPr>
        <w:spacing w:after="0" w:line="18" w:lineRule="exact"/>
        <w:rPr>
          <w:rFonts w:ascii="Arial" w:cs="Arial" w:eastAsia="Arial" w:hAnsi="Arial"/>
          <w:sz w:val="18"/>
          <w:szCs w:val="18"/>
          <w:color w:val="00070E"/>
        </w:rPr>
      </w:pPr>
    </w:p>
    <w:p>
      <w:pPr>
        <w:ind w:left="180" w:right="100" w:hanging="171"/>
        <w:spacing w:after="0" w:line="302" w:lineRule="auto"/>
        <w:tabs>
          <w:tab w:leader="none" w:pos="180" w:val="left"/>
        </w:tabs>
        <w:numPr>
          <w:ilvl w:val="0"/>
          <w:numId w:val="1"/>
        </w:numPr>
        <w:rPr>
          <w:rFonts w:ascii="Arial" w:cs="Arial" w:eastAsia="Arial" w:hAnsi="Arial"/>
          <w:sz w:val="18"/>
          <w:szCs w:val="18"/>
          <w:color w:val="00070E"/>
        </w:rPr>
      </w:pPr>
      <w:r>
        <w:rPr>
          <w:rFonts w:ascii="Arial" w:cs="Arial" w:eastAsia="Arial" w:hAnsi="Arial"/>
          <w:sz w:val="18"/>
          <w:szCs w:val="18"/>
          <w:color w:val="00070E"/>
        </w:rPr>
        <w:t>16 hours of paid community service per full-time employee to encourage volunteerism.</w:t>
      </w:r>
    </w:p>
    <w:p>
      <w:pPr>
        <w:spacing w:after="0" w:line="1" w:lineRule="exact"/>
        <w:rPr>
          <w:rFonts w:ascii="Arial" w:cs="Arial" w:eastAsia="Arial" w:hAnsi="Arial"/>
          <w:sz w:val="18"/>
          <w:szCs w:val="18"/>
          <w:color w:val="00070E"/>
        </w:rPr>
      </w:pPr>
    </w:p>
    <w:p>
      <w:pPr>
        <w:ind w:left="180" w:right="480" w:hanging="171"/>
        <w:spacing w:after="0" w:line="269" w:lineRule="auto"/>
        <w:tabs>
          <w:tab w:leader="none" w:pos="180" w:val="left"/>
        </w:tabs>
        <w:numPr>
          <w:ilvl w:val="0"/>
          <w:numId w:val="1"/>
        </w:numPr>
        <w:rPr>
          <w:rFonts w:ascii="Arial" w:cs="Arial" w:eastAsia="Arial" w:hAnsi="Arial"/>
          <w:sz w:val="18"/>
          <w:szCs w:val="18"/>
          <w:color w:val="00070E"/>
        </w:rPr>
      </w:pPr>
      <w:r>
        <w:rPr>
          <w:rFonts w:ascii="Arial" w:cs="Arial" w:eastAsia="Arial" w:hAnsi="Arial"/>
          <w:sz w:val="18"/>
          <w:szCs w:val="18"/>
          <w:color w:val="00070E"/>
        </w:rPr>
        <w:t>Employee-driven giving through the Allocate to Elevate program, benefiting Habitat for Humanity, GCU CityServe and K-12 education.</w:t>
      </w:r>
    </w:p>
    <w:p>
      <w:pPr>
        <w:spacing w:after="0" w:line="26" w:lineRule="exact"/>
        <w:rPr>
          <w:rFonts w:ascii="Arial" w:cs="Arial" w:eastAsia="Arial" w:hAnsi="Arial"/>
          <w:sz w:val="18"/>
          <w:szCs w:val="18"/>
          <w:color w:val="00070E"/>
        </w:rPr>
      </w:pPr>
    </w:p>
    <w:p>
      <w:pPr>
        <w:ind w:left="180" w:right="120" w:hanging="171"/>
        <w:spacing w:after="0" w:line="278" w:lineRule="auto"/>
        <w:tabs>
          <w:tab w:leader="none" w:pos="180" w:val="left"/>
        </w:tabs>
        <w:numPr>
          <w:ilvl w:val="0"/>
          <w:numId w:val="1"/>
        </w:numPr>
        <w:rPr>
          <w:rFonts w:ascii="Arial" w:cs="Arial" w:eastAsia="Arial" w:hAnsi="Arial"/>
          <w:sz w:val="18"/>
          <w:szCs w:val="18"/>
          <w:color w:val="00070E"/>
        </w:rPr>
      </w:pPr>
      <w:r>
        <w:rPr>
          <w:rFonts w:ascii="Arial" w:cs="Arial" w:eastAsia="Arial" w:hAnsi="Arial"/>
          <w:sz w:val="18"/>
          <w:szCs w:val="18"/>
          <w:color w:val="00070E"/>
        </w:rPr>
        <w:t>Scholarship fundraising efforts for university partners’ students, reinforcing our commitment to affordability and accessibility.</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00070E"/>
        </w:rPr>
        <w:t>As we reflect on 2024 and look ahead, GCE remains committed to expanding access to higher education across diverse modalities while ensuring equitable opportunities for all students. Transparency, integrity and accountability guide our operations, ensuring stakeholders understand our strategic direction and impact.</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00070E"/>
        </w:rPr>
        <w:t>Our 2024 achievements highlight our ability to drive sustainable growth while maintaining a student-first approach. In 2025, we remain focused on fostering social mobility, improving educational access and addressing workforce shortages, all while continuing to innovate and expand our reach in higher education.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070E"/>
        </w:rPr>
        <w:t>/s/ Brian E. Mueller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070E"/>
        </w:rPr>
        <w:t>Chief Executive Officer and Chairman</w:t>
      </w:r>
    </w:p>
    <w:p>
      <w:pPr>
        <w:sectPr>
          <w:pgSz w:w="12240" w:h="15840" w:orient="portrait"/>
          <w:cols w:equalWidth="0" w:num="2">
            <w:col w:w="5780" w:space="180"/>
            <w:col w:w="4200"/>
          </w:cols>
          <w:pgMar w:left="1440" w:top="1185" w:right="6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0"/>
          <w:szCs w:val="30"/>
          <w:b w:val="1"/>
          <w:bCs w:val="1"/>
          <w:color w:val="auto"/>
        </w:rPr>
        <mc:AlternateContent>
          <mc:Choice Requires="wps">
            <w:drawing>
              <wp:anchor simplePos="0" relativeHeight="251657728" behindDoc="1" locked="0" layoutInCell="0" allowOverlap="1">
                <wp:simplePos x="0" y="0"/>
                <wp:positionH relativeFrom="page">
                  <wp:posOffset>328295</wp:posOffset>
                </wp:positionH>
                <wp:positionV relativeFrom="page">
                  <wp:posOffset>373380</wp:posOffset>
                </wp:positionV>
                <wp:extent cx="71151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29.4pt" to="586.1pt,29.4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328295</wp:posOffset>
                </wp:positionH>
                <wp:positionV relativeFrom="page">
                  <wp:posOffset>385445</wp:posOffset>
                </wp:positionV>
                <wp:extent cx="71151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30.35pt" to="586.1pt,30.35pt" o:allowincell="f" strokecolor="#000000" strokeweight="0.4799pt">
                <w10:wrap anchorx="page" anchory="page"/>
              </v:line>
            </w:pict>
          </mc:Fallback>
        </mc:AlternateContent>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116205</wp:posOffset>
                </wp:positionV>
                <wp:extent cx="177038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9.15pt" to="348.6pt,9.15pt" o:allowincell="f" strokecolor="#000000" strokeweight="1.0199pt"/>
            </w:pict>
          </mc:Fallback>
        </mc:AlternateConten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137160</wp:posOffset>
                </wp:positionV>
                <wp:extent cx="177038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10.8pt" to="348.6pt,10.8pt" o:allowincell="f" strokecolor="#000000" strokeweight="1.02pt"/>
            </w:pict>
          </mc:Fallback>
        </mc:AlternateConten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4" w:lineRule="exact"/>
        <w:rPr>
          <w:sz w:val="20"/>
          <w:szCs w:val="20"/>
          <w:color w:val="auto"/>
        </w:rPr>
      </w:pPr>
    </w:p>
    <w:p>
      <w:pPr>
        <w:ind w:left="4040" w:right="2840" w:hanging="4034"/>
        <w:spacing w:after="0" w:line="309" w:lineRule="auto"/>
        <w:tabs>
          <w:tab w:leader="none" w:pos="493" w:val="left"/>
        </w:tabs>
        <w:numPr>
          <w:ilvl w:val="0"/>
          <w:numId w:val="2"/>
        </w:numPr>
        <w:rPr>
          <w:rFonts w:ascii="Segoe UI" w:cs="Segoe UI" w:eastAsia="Segoe UI" w:hAnsi="Segoe UI"/>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460"/>
        <w:spacing w:after="0"/>
        <w:rPr>
          <w:rFonts w:ascii="Segoe UI" w:cs="Segoe UI" w:eastAsia="Segoe UI" w:hAnsi="Segoe UI"/>
          <w:sz w:val="16"/>
          <w:szCs w:val="16"/>
          <w:color w:val="auto"/>
        </w:rPr>
      </w:pPr>
      <w:r>
        <w:rPr>
          <w:rFonts w:ascii="Times New Roman" w:cs="Times New Roman" w:eastAsia="Times New Roman" w:hAnsi="Times New Roman"/>
          <w:sz w:val="16"/>
          <w:szCs w:val="16"/>
          <w:b w:val="1"/>
          <w:bCs w:val="1"/>
          <w:color w:val="auto"/>
        </w:rPr>
        <w:t>OR</w:t>
      </w:r>
    </w:p>
    <w:p>
      <w:pPr>
        <w:spacing w:after="0" w:line="93" w:lineRule="exact"/>
        <w:rPr>
          <w:sz w:val="20"/>
          <w:szCs w:val="20"/>
          <w:color w:val="auto"/>
        </w:rPr>
      </w:pPr>
    </w:p>
    <w:p>
      <w:pPr>
        <w:ind w:left="500" w:hanging="494"/>
        <w:spacing w:after="0"/>
        <w:tabs>
          <w:tab w:leader="none" w:pos="500" w:val="left"/>
        </w:tabs>
        <w:numPr>
          <w:ilvl w:val="0"/>
          <w:numId w:val="3"/>
        </w:numPr>
        <w:rPr>
          <w:rFonts w:ascii="Segoe UI" w:cs="Segoe UI" w:eastAsia="Segoe UI" w:hAnsi="Segoe UI"/>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1" w:lineRule="exact"/>
        <w:rPr>
          <w:sz w:val="20"/>
          <w:szCs w:val="20"/>
          <w:color w:val="auto"/>
        </w:rPr>
      </w:pPr>
    </w:p>
    <w:tbl>
      <w:tblPr>
        <w:tblLayout w:type="fixed"/>
        <w:tblInd w:w="3520" w:type="dxa"/>
        <w:tblCellMar>
          <w:top w:w="0" w:type="dxa"/>
          <w:left w:w="0" w:type="dxa"/>
          <w:bottom w:w="0" w:type="dxa"/>
          <w:right w:w="0" w:type="dxa"/>
        </w:tblCellMar>
      </w:tblPr>
      <w:tr>
        <w:trPr>
          <w:trHeight w:val="220"/>
        </w:trPr>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 [</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 to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66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Commission file number: 001 - 34211</w:t>
            </w:r>
          </w:p>
        </w:tc>
        <w:tc>
          <w:tcPr>
            <w:tcW w:w="660" w:type="dxa"/>
            <w:vAlign w:val="bottom"/>
          </w:tcPr>
          <w:p>
            <w:pPr>
              <w:spacing w:after="0"/>
              <w:rPr>
                <w:sz w:val="19"/>
                <w:szCs w:val="19"/>
                <w:color w:val="auto"/>
              </w:rPr>
            </w:pPr>
          </w:p>
        </w:tc>
      </w:tr>
      <w:tr>
        <w:trPr>
          <w:trHeight w:val="96"/>
        </w:trPr>
        <w:tc>
          <w:tcPr>
            <w:tcW w:w="660" w:type="dxa"/>
            <w:vAlign w:val="bottom"/>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r>
    </w:tbl>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GRAND CANYON EDUCATION,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110490</wp:posOffset>
                </wp:positionV>
                <wp:extent cx="177038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8.7pt" to="348.6pt,8.7pt" o:allowincell="f" strokecolor="#000000" strokeweight="1.02pt"/>
            </w:pict>
          </mc:Fallback>
        </mc:AlternateConten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200" w:type="dxa"/>
            <w:vAlign w:val="bottom"/>
          </w:tcPr>
          <w:p>
            <w:pPr>
              <w:jc w:val="center"/>
              <w:ind w:left="23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1"/>
              </w:rPr>
              <w:t>20 - 3356009</w:t>
            </w:r>
          </w:p>
        </w:tc>
        <w:tc>
          <w:tcPr>
            <w:tcW w:w="2180" w:type="dxa"/>
            <w:vAlign w:val="bottom"/>
          </w:tcPr>
          <w:p>
            <w:pPr>
              <w:spacing w:after="0"/>
              <w:rPr>
                <w:sz w:val="16"/>
                <w:szCs w:val="16"/>
                <w:color w:val="auto"/>
              </w:rPr>
            </w:pPr>
          </w:p>
        </w:tc>
      </w:tr>
      <w:tr>
        <w:trPr>
          <w:trHeight w:val="184"/>
        </w:trPr>
        <w:tc>
          <w:tcPr>
            <w:tcW w:w="7600" w:type="dxa"/>
            <w:vAlign w:val="bottom"/>
            <w:gridSpan w:val="4"/>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138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2180" w:type="dxa"/>
            <w:vAlign w:val="bottom"/>
          </w:tcPr>
          <w:p>
            <w:pPr>
              <w:spacing w:after="0"/>
              <w:rPr>
                <w:sz w:val="15"/>
                <w:szCs w:val="15"/>
                <w:color w:val="auto"/>
              </w:rPr>
            </w:pPr>
          </w:p>
        </w:tc>
      </w:tr>
      <w:tr>
        <w:trPr>
          <w:trHeight w:val="220"/>
        </w:trPr>
        <w:tc>
          <w:tcPr>
            <w:tcW w:w="7600" w:type="dxa"/>
            <w:vAlign w:val="bottom"/>
            <w:gridSpan w:val="4"/>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560" w:type="dxa"/>
            <w:vAlign w:val="bottom"/>
            <w:gridSpan w:val="2"/>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17"/>
        </w:trPr>
        <w:tc>
          <w:tcPr>
            <w:tcW w:w="3200" w:type="dxa"/>
            <w:vAlign w:val="bottom"/>
          </w:tcPr>
          <w:p>
            <w:pPr>
              <w:spacing w:after="0"/>
              <w:rPr>
                <w:sz w:val="18"/>
                <w:szCs w:val="18"/>
                <w:color w:val="auto"/>
              </w:rPr>
            </w:pPr>
          </w:p>
        </w:tc>
        <w:tc>
          <w:tcPr>
            <w:tcW w:w="440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w w:val="99"/>
              </w:rPr>
              <w:t>2600 W. Camelback Road, Phoenix, Arizona 85017</w:t>
            </w:r>
          </w:p>
        </w:tc>
        <w:tc>
          <w:tcPr>
            <w:tcW w:w="13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0"/>
        </w:trPr>
        <w:tc>
          <w:tcPr>
            <w:tcW w:w="3200" w:type="dxa"/>
            <w:vAlign w:val="bottom"/>
          </w:tcPr>
          <w:p>
            <w:pPr>
              <w:spacing w:after="0"/>
              <w:rPr>
                <w:sz w:val="19"/>
                <w:szCs w:val="19"/>
                <w:color w:val="auto"/>
              </w:rPr>
            </w:pPr>
          </w:p>
        </w:tc>
        <w:tc>
          <w:tcPr>
            <w:tcW w:w="440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including zip code)</w:t>
            </w:r>
          </w:p>
        </w:tc>
        <w:tc>
          <w:tcPr>
            <w:tcW w:w="13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53"/>
        </w:trPr>
        <w:tc>
          <w:tcPr>
            <w:tcW w:w="3200" w:type="dxa"/>
            <w:vAlign w:val="bottom"/>
          </w:tcPr>
          <w:p>
            <w:pPr>
              <w:spacing w:after="0"/>
              <w:rPr>
                <w:sz w:val="22"/>
                <w:szCs w:val="22"/>
                <w:color w:val="auto"/>
              </w:rPr>
            </w:pPr>
          </w:p>
        </w:tc>
        <w:tc>
          <w:tcPr>
            <w:tcW w:w="578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 (602) 247 - 4400</w:t>
            </w:r>
          </w:p>
        </w:tc>
        <w:tc>
          <w:tcPr>
            <w:tcW w:w="2180" w:type="dxa"/>
            <w:vAlign w:val="bottom"/>
          </w:tcPr>
          <w:p>
            <w:pPr>
              <w:spacing w:after="0"/>
              <w:rPr>
                <w:sz w:val="22"/>
                <w:szCs w:val="22"/>
                <w:color w:val="auto"/>
              </w:rPr>
            </w:pPr>
          </w:p>
        </w:tc>
      </w:tr>
      <w:tr>
        <w:trPr>
          <w:trHeight w:val="410"/>
        </w:trPr>
        <w:tc>
          <w:tcPr>
            <w:tcW w:w="3200" w:type="dxa"/>
            <w:vAlign w:val="bottom"/>
          </w:tcPr>
          <w:p>
            <w:pPr>
              <w:spacing w:after="0"/>
              <w:rPr>
                <w:sz w:val="24"/>
                <w:szCs w:val="24"/>
                <w:color w:val="auto"/>
              </w:rPr>
            </w:pPr>
          </w:p>
        </w:tc>
        <w:tc>
          <w:tcPr>
            <w:tcW w:w="440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13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5"/>
        </w:trPr>
        <w:tc>
          <w:tcPr>
            <w:tcW w:w="3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2"/>
          </w:tcPr>
          <w:p>
            <w:pPr>
              <w:spacing w:after="0"/>
              <w:rPr>
                <w:sz w:val="17"/>
                <w:szCs w:val="17"/>
                <w:color w:val="auto"/>
              </w:rPr>
            </w:pPr>
          </w:p>
        </w:tc>
        <w:tc>
          <w:tcPr>
            <w:tcW w:w="3560" w:type="dxa"/>
            <w:vAlign w:val="bottom"/>
            <w:tcBorders>
              <w:bottom w:val="single" w:sz="8" w:color="auto"/>
            </w:tcBorders>
            <w:gridSpan w:val="2"/>
          </w:tcPr>
          <w:p>
            <w:pPr>
              <w:spacing w:after="0"/>
              <w:rPr>
                <w:sz w:val="17"/>
                <w:szCs w:val="17"/>
                <w:color w:val="auto"/>
              </w:rPr>
            </w:pPr>
          </w:p>
        </w:tc>
      </w:tr>
      <w:tr>
        <w:trPr>
          <w:trHeight w:val="202"/>
        </w:trPr>
        <w:tc>
          <w:tcPr>
            <w:tcW w:w="3200" w:type="dxa"/>
            <w:vAlign w:val="bottom"/>
            <w:tcBorders>
              <w:left w:val="single" w:sz="8" w:color="auto"/>
              <w:bottom w:val="single" w:sz="8" w:color="auto"/>
            </w:tcBorders>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920" w:type="dxa"/>
            <w:vAlign w:val="bottom"/>
            <w:tcBorders>
              <w:bottom w:val="single" w:sz="8" w:color="auto"/>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80" w:type="dxa"/>
            <w:vAlign w:val="bottom"/>
            <w:tcBorders>
              <w:bottom w:val="single" w:sz="8" w:color="auto"/>
            </w:tcBorders>
          </w:tcPr>
          <w:p>
            <w:pPr>
              <w:spacing w:after="0"/>
              <w:rPr>
                <w:sz w:val="17"/>
                <w:szCs w:val="17"/>
                <w:color w:val="auto"/>
              </w:rPr>
            </w:pPr>
          </w:p>
        </w:tc>
        <w:tc>
          <w:tcPr>
            <w:tcW w:w="356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2"/>
        </w:trPr>
        <w:tc>
          <w:tcPr>
            <w:tcW w:w="3200" w:type="dxa"/>
            <w:vAlign w:val="bottom"/>
            <w:tcBorders>
              <w:left w:val="single" w:sz="8" w:color="auto"/>
              <w:bottom w:val="single" w:sz="8" w:color="auto"/>
            </w:tcBorders>
          </w:tcPr>
          <w:p>
            <w:pPr>
              <w:jc w:val="center"/>
              <w:ind w:left="820"/>
              <w:spacing w:after="0"/>
              <w:rPr>
                <w:sz w:val="20"/>
                <w:szCs w:val="20"/>
                <w:color w:val="auto"/>
              </w:rPr>
            </w:pPr>
            <w:r>
              <w:rPr>
                <w:rFonts w:ascii="Times New Roman" w:cs="Times New Roman" w:eastAsia="Times New Roman" w:hAnsi="Times New Roman"/>
                <w:sz w:val="16"/>
                <w:szCs w:val="16"/>
                <w:color w:val="auto"/>
                <w:w w:val="97"/>
              </w:rPr>
              <w:t>Common Stock</w:t>
            </w:r>
          </w:p>
        </w:tc>
        <w:tc>
          <w:tcPr>
            <w:tcW w:w="920" w:type="dxa"/>
            <w:vAlign w:val="bottom"/>
            <w:tcBorders>
              <w:bottom w:val="single" w:sz="8" w:color="auto"/>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LOPE</w:t>
            </w:r>
          </w:p>
        </w:tc>
        <w:tc>
          <w:tcPr>
            <w:tcW w:w="480" w:type="dxa"/>
            <w:vAlign w:val="bottom"/>
            <w:tcBorders>
              <w:bottom w:val="single" w:sz="8" w:color="auto"/>
            </w:tcBorders>
          </w:tcPr>
          <w:p>
            <w:pPr>
              <w:spacing w:after="0"/>
              <w:rPr>
                <w:sz w:val="17"/>
                <w:szCs w:val="17"/>
                <w:color w:val="auto"/>
              </w:rPr>
            </w:pPr>
          </w:p>
        </w:tc>
        <w:tc>
          <w:tcPr>
            <w:tcW w:w="3560" w:type="dxa"/>
            <w:vAlign w:val="bottom"/>
            <w:tcBorders>
              <w:bottom w:val="single" w:sz="8" w:color="auto"/>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505"/>
        </w:trPr>
        <w:tc>
          <w:tcPr>
            <w:tcW w:w="8980" w:type="dxa"/>
            <w:vAlign w:val="bottom"/>
            <w:gridSpan w:val="5"/>
          </w:tcPr>
          <w:p>
            <w:pPr>
              <w:ind w:left="720"/>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ց</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տ</w:t>
            </w:r>
          </w:p>
        </w:tc>
      </w:tr>
      <w:tr>
        <w:trPr>
          <w:trHeight w:val="354"/>
        </w:trPr>
        <w:tc>
          <w:tcPr>
            <w:tcW w:w="8980" w:type="dxa"/>
            <w:vAlign w:val="bottom"/>
            <w:gridSpan w:val="5"/>
          </w:tcPr>
          <w:p>
            <w:pPr>
              <w:ind w:left="720"/>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Segoe UI" w:cs="Segoe UI" w:eastAsia="Segoe UI" w:hAnsi="Segoe UI"/>
                <w:sz w:val="16"/>
                <w:szCs w:val="16"/>
                <w:color w:val="auto"/>
              </w:rPr>
              <w:t>տ</w:t>
            </w:r>
          </w:p>
        </w:tc>
        <w:tc>
          <w:tcPr>
            <w:tcW w:w="2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ց</w:t>
            </w:r>
          </w:p>
        </w:tc>
      </w:tr>
    </w:tbl>
    <w:p>
      <w:pPr>
        <w:ind w:right="200" w:firstLine="72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ab/>
        <w:t xml:space="preserve">No </w:t>
      </w:r>
      <w:r>
        <w:rPr>
          <w:rFonts w:ascii="Segoe UI" w:cs="Segoe UI" w:eastAsia="Segoe UI" w:hAnsi="Segoe UI"/>
          <w:sz w:val="16"/>
          <w:szCs w:val="16"/>
          <w:color w:val="auto"/>
        </w:rPr>
        <w:t>տ</w:t>
      </w:r>
    </w:p>
    <w:p>
      <w:pPr>
        <w:spacing w:after="0" w:line="74" w:lineRule="exact"/>
        <w:rPr>
          <w:sz w:val="20"/>
          <w:szCs w:val="20"/>
          <w:color w:val="auto"/>
        </w:rPr>
      </w:pPr>
    </w:p>
    <w:p>
      <w:pPr>
        <w:ind w:right="20" w:firstLine="720"/>
        <w:spacing w:after="0" w:line="31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p>
    <w:p>
      <w:pPr>
        <w:spacing w:after="0" w:line="1"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- 2 of the Exchange Act. (Check one):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20" w:type="dxa"/>
            <w:vAlign w:val="bottom"/>
          </w:tcPr>
          <w:p>
            <w:pPr>
              <w:ind w:left="480"/>
              <w:spacing w:after="0"/>
              <w:rPr>
                <w:sz w:val="20"/>
                <w:szCs w:val="20"/>
                <w:color w:val="auto"/>
              </w:rPr>
            </w:pPr>
            <w:r>
              <w:rPr>
                <w:rFonts w:ascii="Segoe UI" w:cs="Segoe UI" w:eastAsia="Segoe UI" w:hAnsi="Segoe UI"/>
                <w:sz w:val="16"/>
                <w:szCs w:val="16"/>
                <w:color w:val="auto"/>
              </w:rPr>
              <w:t>ց</w:t>
            </w:r>
          </w:p>
        </w:tc>
        <w:tc>
          <w:tcPr>
            <w:tcW w:w="48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80"/>
              <w:spacing w:after="0"/>
              <w:rPr>
                <w:sz w:val="20"/>
                <w:szCs w:val="20"/>
                <w:color w:val="auto"/>
              </w:rPr>
            </w:pPr>
            <w:r>
              <w:rPr>
                <w:rFonts w:ascii="Segoe UI" w:cs="Segoe UI" w:eastAsia="Segoe UI" w:hAnsi="Segoe UI"/>
                <w:sz w:val="16"/>
                <w:szCs w:val="16"/>
                <w:color w:val="auto"/>
                <w:w w:val="74"/>
              </w:rPr>
              <w:t>տ</w:t>
            </w:r>
          </w:p>
        </w:tc>
      </w:tr>
      <w:tr>
        <w:trPr>
          <w:trHeight w:val="29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20" w:type="dxa"/>
            <w:vAlign w:val="bottom"/>
          </w:tcPr>
          <w:p>
            <w:pPr>
              <w:ind w:left="480"/>
              <w:spacing w:after="0"/>
              <w:rPr>
                <w:sz w:val="20"/>
                <w:szCs w:val="20"/>
                <w:color w:val="auto"/>
              </w:rPr>
            </w:pPr>
            <w:r>
              <w:rPr>
                <w:rFonts w:ascii="Segoe UI" w:cs="Segoe UI" w:eastAsia="Segoe UI" w:hAnsi="Segoe UI"/>
                <w:sz w:val="16"/>
                <w:szCs w:val="16"/>
                <w:color w:val="auto"/>
              </w:rPr>
              <w:t>տ</w:t>
            </w:r>
          </w:p>
        </w:tc>
        <w:tc>
          <w:tcPr>
            <w:tcW w:w="48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80"/>
              <w:spacing w:after="0"/>
              <w:rPr>
                <w:sz w:val="20"/>
                <w:szCs w:val="20"/>
                <w:color w:val="auto"/>
              </w:rPr>
            </w:pPr>
            <w:r>
              <w:rPr>
                <w:rFonts w:ascii="Segoe UI" w:cs="Segoe UI" w:eastAsia="Segoe UI" w:hAnsi="Segoe UI"/>
                <w:sz w:val="16"/>
                <w:szCs w:val="16"/>
                <w:color w:val="auto"/>
                <w:w w:val="74"/>
              </w:rPr>
              <w:t>տ</w:t>
            </w:r>
          </w:p>
        </w:tc>
      </w:tr>
      <w:tr>
        <w:trPr>
          <w:trHeight w:val="346"/>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20" w:type="dxa"/>
            <w:vAlign w:val="bottom"/>
          </w:tcPr>
          <w:p>
            <w:pPr>
              <w:ind w:left="480"/>
              <w:spacing w:after="0"/>
              <w:rPr>
                <w:sz w:val="20"/>
                <w:szCs w:val="20"/>
                <w:color w:val="auto"/>
              </w:rPr>
            </w:pPr>
            <w:r>
              <w:rPr>
                <w:rFonts w:ascii="Segoe UI" w:cs="Segoe UI" w:eastAsia="Segoe UI" w:hAnsi="Segoe UI"/>
                <w:sz w:val="16"/>
                <w:szCs w:val="16"/>
                <w:color w:val="auto"/>
              </w:rPr>
              <w:t>տ</w:t>
            </w:r>
          </w:p>
        </w:tc>
        <w:tc>
          <w:tcPr>
            <w:tcW w:w="48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ind w:right="400" w:firstLine="720"/>
        <w:spacing w:after="0" w:line="32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20" w:lineRule="exact"/>
        <w:rPr>
          <w:sz w:val="20"/>
          <w:szCs w:val="20"/>
          <w:color w:val="auto"/>
        </w:rPr>
      </w:pPr>
    </w:p>
    <w:p>
      <w:pPr>
        <w:ind w:right="140" w:firstLine="720"/>
        <w:spacing w:after="0" w:line="35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auto"/>
        </w:rPr>
        <w:t>ց</w:t>
      </w:r>
    </w:p>
    <w:p>
      <w:pPr>
        <w:spacing w:after="0" w:line="1" w:lineRule="exact"/>
        <w:rPr>
          <w:sz w:val="20"/>
          <w:szCs w:val="20"/>
          <w:color w:val="auto"/>
        </w:rPr>
      </w:pPr>
    </w:p>
    <w:p>
      <w:pPr>
        <w:ind w:right="320" w:firstLine="720"/>
        <w:spacing w:after="0" w:line="351"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տ</w:t>
      </w:r>
    </w:p>
    <w:p>
      <w:pPr>
        <w:ind w:right="60" w:firstLine="720"/>
        <w:spacing w:after="0" w:line="291"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ind w:left="720" w:right="1320"/>
        <w:spacing w:after="0" w:line="31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 - 2 of the Securities Exchange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The total number of shares of common stock outstanding as of February 14, 2025 was 28,724,845.</w:t>
      </w:r>
    </w:p>
    <w:p>
      <w:pPr>
        <w:ind w:right="480" w:firstLine="720"/>
        <w:spacing w:after="0" w:line="276" w:lineRule="auto"/>
        <w:rPr>
          <w:sz w:val="20"/>
          <w:szCs w:val="20"/>
          <w:color w:val="auto"/>
        </w:rPr>
      </w:pPr>
      <w:r>
        <w:rPr>
          <w:rFonts w:ascii="Times New Roman" w:cs="Times New Roman" w:eastAsia="Times New Roman" w:hAnsi="Times New Roman"/>
          <w:sz w:val="16"/>
          <w:szCs w:val="16"/>
          <w:color w:val="auto"/>
        </w:rPr>
        <w:t>As of June 28, 2024, the last business day of the registrant’s most recently completed second fiscal quarter, the registrant’s common stock was listed on the NASDAQ Global Market. As of June 28, 2024, the aggregate market value of the registrant’s common stock held by non-affiliates was approximately $4.1 billion.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2"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2025 Annual Meeting of Stockholders (which is expected to be filed with the Commission within 120 days after the end of the registrant’s 2024 fiscal year) are incorporated by reference into Part III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45085</wp:posOffset>
                </wp:positionV>
                <wp:extent cx="711454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3.55pt" to="559.1pt,3.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33020</wp:posOffset>
                </wp:positionV>
                <wp:extent cx="71145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2.6pt" to="559.1pt,2.6pt" o:allowincell="f" strokecolor="#000000" strokeweight="0.4798pt"/>
            </w:pict>
          </mc:Fallback>
        </mc:AlternateContent>
      </w:r>
    </w:p>
    <w:p>
      <w:pPr>
        <w:sectPr>
          <w:pgSz w:w="12240" w:h="15840" w:orient="portrait"/>
          <w:cols w:equalWidth="0" w:num="1">
            <w:col w:w="11160"/>
          </w:cols>
          <w:pgMar w:left="540" w:top="666" w:right="540" w:bottom="142"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color w:val="auto"/>
        </w:rPr>
        <w:t>GRAND CANYON EDUCATION,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10 - K</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INDEX</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52"/>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Special Note Regarding Forward-Looking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48"/>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42"/>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 Business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1A. 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1C. Cybersecurity</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2. Properties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3. 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48"/>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0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w:t>
            </w:r>
          </w:p>
        </w:tc>
        <w:tc>
          <w:tcPr>
            <w:tcW w:w="460" w:type="dxa"/>
            <w:vAlign w:val="bottom"/>
          </w:tcPr>
          <w:p>
            <w:pPr>
              <w:spacing w:after="0"/>
              <w:rPr>
                <w:sz w:val="24"/>
                <w:szCs w:val="24"/>
                <w:color w:val="auto"/>
              </w:rPr>
            </w:pPr>
          </w:p>
        </w:tc>
      </w:tr>
      <w:tr>
        <w:trPr>
          <w:trHeight w:val="267"/>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Equity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6. [Reserved]</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8. Consolidated Financial Statements and Supplementary Data</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9B. 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48"/>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42"/>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08"/>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tc>
        <w:tc>
          <w:tcPr>
            <w:tcW w:w="460" w:type="dxa"/>
            <w:vAlign w:val="bottom"/>
          </w:tcPr>
          <w:p>
            <w:pPr>
              <w:spacing w:after="0"/>
              <w:rPr>
                <w:sz w:val="24"/>
                <w:szCs w:val="24"/>
                <w:color w:val="auto"/>
              </w:rPr>
            </w:pPr>
          </w:p>
        </w:tc>
      </w:tr>
      <w:tr>
        <w:trPr>
          <w:trHeight w:val="267"/>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Matters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46"/>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44"/>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14. Principal Accounting Fees and Services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50"/>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40"/>
        </w:trPr>
        <w:tc>
          <w:tcPr>
            <w:tcW w:w="9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Item 15. Exhibits and Consolidated Financial Statement Schedules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46"/>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Exhibit Index</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44"/>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20"/>
          </w:cols>
          <w:pgMar w:left="1260" w:top="1247" w:right="1260" w:bottom="722"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3"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This Annual Report on Form 10 - K, including Item 1,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and Item 7,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contains certain “forward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looking statements,” 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 You can also identify forward-looking statements by discussions of strategy, plans or intentions of management.</w:t>
      </w:r>
    </w:p>
    <w:p>
      <w:pPr>
        <w:spacing w:after="0" w:line="86"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p>
      <w:pPr>
        <w:spacing w:after="0" w:line="94" w:lineRule="exact"/>
        <w:rPr>
          <w:sz w:val="20"/>
          <w:szCs w:val="20"/>
          <w:color w:val="auto"/>
        </w:rPr>
      </w:pPr>
    </w:p>
    <w:p>
      <w:pPr>
        <w:ind w:left="1600" w:right="480" w:hanging="369"/>
        <w:spacing w:after="0" w:line="247"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legal and regulatory actions taken against us related to our services business, or against our university partners that impact their businesses and that directly or indirectly reduce the service revenue we can earn under our master services agreements;</w:t>
      </w:r>
    </w:p>
    <w:p>
      <w:pPr>
        <w:spacing w:after="0" w:line="1" w:lineRule="exact"/>
        <w:rPr>
          <w:rFonts w:ascii="Symbol" w:cs="Symbol" w:eastAsia="Symbol" w:hAnsi="Symbol"/>
          <w:sz w:val="20"/>
          <w:szCs w:val="20"/>
          <w:color w:val="auto"/>
        </w:rPr>
      </w:pPr>
    </w:p>
    <w:p>
      <w:pPr>
        <w:ind w:left="1600" w:right="18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occurrence of any event, change or other circumstance that could give rise to the termination of any of the key university partner agreements;</w:t>
      </w:r>
    </w:p>
    <w:p>
      <w:pPr>
        <w:ind w:left="1600" w:right="6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3" w:lineRule="exact"/>
        <w:rPr>
          <w:rFonts w:ascii="Symbol" w:cs="Symbol" w:eastAsia="Symbol" w:hAnsi="Symbol"/>
          <w:sz w:val="20"/>
          <w:szCs w:val="20"/>
          <w:color w:val="auto"/>
        </w:rPr>
      </w:pPr>
    </w:p>
    <w:p>
      <w:pPr>
        <w:ind w:left="160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p>
      <w:pPr>
        <w:spacing w:after="0" w:line="3" w:lineRule="exact"/>
        <w:rPr>
          <w:rFonts w:ascii="Symbol" w:cs="Symbol" w:eastAsia="Symbol" w:hAnsi="Symbol"/>
          <w:sz w:val="20"/>
          <w:szCs w:val="20"/>
          <w:color w:val="auto"/>
        </w:rPr>
      </w:pPr>
    </w:p>
    <w:p>
      <w:pPr>
        <w:ind w:left="1600" w:right="26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harm to our business, results of operations, and financial condition, and harm to our university partners resulting from epidemics, pandemics, or public health crises;</w:t>
      </w:r>
    </w:p>
    <w:p>
      <w:pPr>
        <w:ind w:left="1600" w:right="42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harm to our business and our ability to retract and retain students resulting from capacity constraints, system disruptions, or security breaches in our online computer networks and phone systems:</w:t>
      </w:r>
    </w:p>
    <w:p>
      <w:pPr>
        <w:spacing w:after="0" w:line="2" w:lineRule="exact"/>
        <w:rPr>
          <w:rFonts w:ascii="Symbol" w:cs="Symbol" w:eastAsia="Symbol" w:hAnsi="Symbol"/>
          <w:sz w:val="20"/>
          <w:szCs w:val="20"/>
          <w:color w:val="auto"/>
        </w:rPr>
      </w:pPr>
    </w:p>
    <w:p>
      <w:pPr>
        <w:ind w:left="160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ability of our university partners’ students to obtain federal Title IV funds, state financial aid, and private financing;</w:t>
      </w:r>
    </w:p>
    <w:p>
      <w:pPr>
        <w:jc w:val="both"/>
        <w:ind w:left="1600" w:right="38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2" w:lineRule="exact"/>
        <w:rPr>
          <w:rFonts w:ascii="Symbol" w:cs="Symbol" w:eastAsia="Symbol" w:hAnsi="Symbol"/>
          <w:sz w:val="20"/>
          <w:szCs w:val="20"/>
          <w:color w:val="auto"/>
        </w:rPr>
      </w:pPr>
    </w:p>
    <w:p>
      <w:pPr>
        <w:ind w:left="1600" w:right="8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risks associated with changes in applicable federal and state laws and regulations and accrediting commission standards, including pending rulemaking by the United States Department of Education (“ED”) applicable to us directly or indirectly through our university partners;</w:t>
      </w:r>
    </w:p>
    <w:p>
      <w:pPr>
        <w:spacing w:after="0" w:line="2" w:lineRule="exact"/>
        <w:rPr>
          <w:rFonts w:ascii="Symbol" w:cs="Symbol" w:eastAsia="Symbol" w:hAnsi="Symbol"/>
          <w:sz w:val="20"/>
          <w:szCs w:val="20"/>
          <w:color w:val="auto"/>
        </w:rPr>
      </w:pPr>
    </w:p>
    <w:p>
      <w:pPr>
        <w:ind w:left="1600" w:right="360" w:hanging="369"/>
        <w:spacing w:after="0" w:line="239" w:lineRule="auto"/>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competition from other education service companies in our geographic region and market sector, including competition for students, qualified executives and other personnel;</w:t>
      </w:r>
    </w:p>
    <w:p>
      <w:pPr>
        <w:ind w:left="1600" w:hanging="369"/>
        <w:spacing w:after="0"/>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expected tax payments and tax rate;</w:t>
      </w:r>
    </w:p>
    <w:p>
      <w:pPr>
        <w:ind w:left="1600" w:hanging="369"/>
        <w:spacing w:after="0"/>
        <w:tabs>
          <w:tab w:leader="none" w:pos="16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hire and train new, and develop and train existing employees;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00"/>
          </w:cols>
          <w:pgMar w:left="1260" w:top="1243" w:right="1280" w:bottom="722" w:gutter="0" w:footer="0" w:header="0"/>
        </w:sectPr>
      </w:pPr>
    </w:p>
    <w:bookmarkStart w:id="5" w:name="page6"/>
    <w:bookmarkEnd w:id="5"/>
    <w:p>
      <w:pPr>
        <w:ind w:left="1600" w:right="500" w:hanging="369"/>
        <w:spacing w:after="0" w:line="251" w:lineRule="auto"/>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the pace of growth of our university partners’ enrollment and its effect on the pace of our own growth;</w:t>
      </w:r>
    </w:p>
    <w:p>
      <w:pPr>
        <w:ind w:left="1600" w:hanging="369"/>
        <w:spacing w:after="0"/>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fluctuations in our revenues due to seasonality;</w:t>
      </w:r>
    </w:p>
    <w:p>
      <w:pPr>
        <w:ind w:left="1600" w:right="80" w:hanging="369"/>
        <w:spacing w:after="0" w:line="239" w:lineRule="auto"/>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on behalf of our university partners, convert prospective students to enrolled students and to retain active students to graduation;</w:t>
      </w:r>
    </w:p>
    <w:p>
      <w:pPr>
        <w:ind w:left="1600" w:right="640" w:hanging="369"/>
        <w:spacing w:after="0" w:line="239" w:lineRule="auto"/>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our success in updating and expanding the content of existing programs and developing new programs in a cost-effective manner or on a timely basis for our university partners;</w:t>
      </w:r>
    </w:p>
    <w:p>
      <w:pPr>
        <w:spacing w:after="0" w:line="1" w:lineRule="exact"/>
        <w:rPr>
          <w:rFonts w:ascii="Symbol" w:cs="Symbol" w:eastAsia="Symbol" w:hAnsi="Symbol"/>
          <w:sz w:val="20"/>
          <w:szCs w:val="20"/>
          <w:color w:val="auto"/>
        </w:rPr>
      </w:pPr>
    </w:p>
    <w:p>
      <w:pPr>
        <w:ind w:left="1600" w:right="400" w:hanging="369"/>
        <w:spacing w:after="0"/>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risks associated with the competitive environment for marketing the programs of our university partners;</w:t>
      </w:r>
    </w:p>
    <w:p>
      <w:pPr>
        <w:ind w:left="1600" w:hanging="369"/>
        <w:spacing w:after="0" w:line="239" w:lineRule="auto"/>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on our part to keep up with advances in technology that could enhance the experience for our university partners’ students;</w:t>
      </w:r>
    </w:p>
    <w:p>
      <w:pPr>
        <w:spacing w:after="0" w:line="1" w:lineRule="exact"/>
        <w:rPr>
          <w:rFonts w:ascii="Symbol" w:cs="Symbol" w:eastAsia="Symbol" w:hAnsi="Symbol"/>
          <w:sz w:val="20"/>
          <w:szCs w:val="20"/>
          <w:color w:val="auto"/>
        </w:rPr>
      </w:pPr>
    </w:p>
    <w:p>
      <w:pPr>
        <w:ind w:left="1600" w:hanging="369"/>
        <w:spacing w:after="0" w:line="238" w:lineRule="auto"/>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manage future growth effectively;</w:t>
      </w:r>
    </w:p>
    <w:p>
      <w:pPr>
        <w:ind w:left="1600" w:hanging="369"/>
        <w:spacing w:after="0"/>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any natural disasters or public health emergencies;</w:t>
      </w:r>
    </w:p>
    <w:p>
      <w:pPr>
        <w:ind w:left="1600" w:right="440" w:hanging="368"/>
        <w:spacing w:after="0" w:line="239" w:lineRule="auto"/>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adverse economic conditions or other developments that affect the job prospects of our university partners’ students; and</w:t>
      </w:r>
    </w:p>
    <w:p>
      <w:pPr>
        <w:spacing w:after="0" w:line="1" w:lineRule="exact"/>
        <w:rPr>
          <w:rFonts w:ascii="Symbol" w:cs="Symbol" w:eastAsia="Symbol" w:hAnsi="Symbol"/>
          <w:sz w:val="20"/>
          <w:szCs w:val="20"/>
          <w:color w:val="auto"/>
        </w:rPr>
      </w:pPr>
    </w:p>
    <w:p>
      <w:pPr>
        <w:ind w:left="1600" w:right="20" w:hanging="368"/>
        <w:spacing w:after="0"/>
        <w:tabs>
          <w:tab w:leader="none" w:pos="16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other factors discussed under the headings “Risk Factors,” “Management’s Discussion and Analysis of Financial Condition and Results of Operations,” “Business,” and “Regulation.”</w:t>
      </w:r>
    </w:p>
    <w:p>
      <w:pPr>
        <w:spacing w:after="0" w:line="83"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620"/>
          </w:cols>
          <w:pgMar w:left="1260" w:top="1261" w:right="1360" w:bottom="722"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i w:val="1"/>
          <w:iCs w:val="1"/>
          <w:color w:val="auto"/>
        </w:rPr>
        <w:t>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3"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Grand Canyon Education, Inc., a Delaware corporation (“GCE” or the “Company”)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eight off-campus classroom and laboratory sites. As of December 31, 2024, GCE provided education services and support to approximately 127,150 students with more than 123,100 students enrolled in GCU’s programs, emphases and certificates.</w:t>
      </w:r>
    </w:p>
    <w:p>
      <w:pPr>
        <w:spacing w:after="0" w:line="86"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We also provide education services to numerous university partners across the United States.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2024, GCE provides education services to 22 university partners across the United States.</w:t>
      </w:r>
    </w:p>
    <w:p>
      <w:pPr>
        <w:spacing w:after="0" w:line="80"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We seek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We do disclose significant information for GCU, such as enrollments, due to its size in comparison to our other university partners.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12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GCE is an education services company with 22 university partners as of December 31, 2024. We have invested more than $345 million in the last 16 years in technology which includes the cost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We provide these services to our university partners pursuant to master services agreements that define the scope of our engagement, the types of services provided and other key terms of the engagement. Our investments also include the cost to build our off-site classroom and laboratory sites (including the specialized equipment) that are used by our university partners to educate healthcare students.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Suite of Services</w:t>
      </w:r>
    </w:p>
    <w:p>
      <w:pPr>
        <w:spacing w:after="0" w:line="123"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Academic Services</w:t>
      </w:r>
    </w:p>
    <w:p>
      <w:pPr>
        <w:spacing w:after="0" w:line="119"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We provide technology and academic services that can include the ongoing maintenance of our university partners’ educational infrastructure, including online course delivery and management, student records, assessment, customer relations management and other internal administrative systems. These services can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high-quality educational environment and that give us the capability to grow our university partners’ programs and enrollment.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243" w:right="1260" w:bottom="722" w:gutter="0" w:footer="0" w:header="0"/>
        </w:sectPr>
      </w:pPr>
    </w:p>
    <w:bookmarkStart w:id="7" w:name="page8"/>
    <w:bookmarkEnd w:id="7"/>
    <w:p>
      <w:pPr>
        <w:ind w:left="540"/>
        <w:spacing w:after="0"/>
        <w:rPr>
          <w:sz w:val="20"/>
          <w:szCs w:val="20"/>
          <w:color w:val="auto"/>
        </w:rPr>
      </w:pPr>
      <w:r>
        <w:rPr>
          <w:rFonts w:ascii="Times New Roman" w:cs="Times New Roman" w:eastAsia="Times New Roman" w:hAnsi="Times New Roman"/>
          <w:sz w:val="20"/>
          <w:szCs w:val="20"/>
          <w:color w:val="auto"/>
        </w:rPr>
        <w:t>Technology Services may include the following:</w:t>
      </w:r>
    </w:p>
    <w:p>
      <w:pPr>
        <w:spacing w:after="0" w:line="134" w:lineRule="exact"/>
        <w:rPr>
          <w:sz w:val="20"/>
          <w:szCs w:val="20"/>
          <w:color w:val="auto"/>
        </w:rPr>
      </w:pPr>
    </w:p>
    <w:p>
      <w:pPr>
        <w:ind w:left="1420" w:right="20" w:hanging="369"/>
        <w:spacing w:after="0" w:line="241" w:lineRule="auto"/>
        <w:tabs>
          <w:tab w:leader="none" w:pos="142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Learning Management System (“LMS”) - GCE designed and offers to its university partners its own proprietary LMS, called Halo. All of GCU’s students, online and ground use this LMS. The basic functionality includes an interactive course syllabus, discussion questions and forums, instruction interaction, class quizzes, group assignments, written assignment submission and rubrics, grading, participation, attendance and integration with our student information system. The functions in Halo have been reimagined to work more intuitively with new user interface design and more seamless ways of accomplishing the same tasks. Halo was designed as a “cloud native” application taking advantage of all the performance and reliability features of the cloud. Halo supports small classes that are instructor led, highly interactive and collaborative. 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This platform can easily and reliably scale as student populations increase. The platform provides in-depth analytics that allow us to closely monitor student success and the quality of instructional resources. GCE also designed its previous learning management system, LoudCloud which GCU used prior to HALO.</w:t>
      </w:r>
    </w:p>
    <w:p>
      <w:pPr>
        <w:spacing w:after="0" w:line="6" w:lineRule="exact"/>
        <w:rPr>
          <w:rFonts w:ascii="Symbol" w:cs="Symbol" w:eastAsia="Symbol" w:hAnsi="Symbol"/>
          <w:sz w:val="20"/>
          <w:szCs w:val="20"/>
          <w:color w:val="auto"/>
        </w:rPr>
      </w:pPr>
    </w:p>
    <w:p>
      <w:pPr>
        <w:ind w:left="1420" w:right="40" w:hanging="369"/>
        <w:spacing w:after="0" w:line="239" w:lineRule="auto"/>
        <w:tabs>
          <w:tab w:leader="none" w:pos="142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5" w:lineRule="exact"/>
        <w:rPr>
          <w:rFonts w:ascii="Symbol" w:cs="Symbol" w:eastAsia="Symbol" w:hAnsi="Symbol"/>
          <w:sz w:val="20"/>
          <w:szCs w:val="20"/>
          <w:color w:val="auto"/>
        </w:rPr>
      </w:pPr>
    </w:p>
    <w:p>
      <w:pPr>
        <w:ind w:left="1420" w:right="20" w:hanging="369"/>
        <w:spacing w:after="0"/>
        <w:tabs>
          <w:tab w:leader="none" w:pos="142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Infrastructure - We operate two data centers, one at GCU’s campus and one at another Phoenix-area location. Our infrastructure supports IT for GCE and we can provide it for our customers.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ind w:left="1420" w:right="60" w:hanging="369"/>
        <w:spacing w:after="0" w:line="239" w:lineRule="auto"/>
        <w:tabs>
          <w:tab w:leader="none" w:pos="142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Support - We provide 18/7 technical support for students and faculty. There are two systems utilized by GCE to provide these services.</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Academic Services may include the following:</w:t>
      </w:r>
    </w:p>
    <w:p>
      <w:pPr>
        <w:spacing w:after="0" w:line="134" w:lineRule="exact"/>
        <w:rPr>
          <w:sz w:val="20"/>
          <w:szCs w:val="20"/>
          <w:color w:val="auto"/>
        </w:rPr>
      </w:pPr>
    </w:p>
    <w:p>
      <w:pPr>
        <w:ind w:left="1420" w:right="20" w:hanging="369"/>
        <w:spacing w:after="0" w:line="257" w:lineRule="auto"/>
        <w:tabs>
          <w:tab w:leader="none" w:pos="1420" w:val="left"/>
        </w:tabs>
        <w:numPr>
          <w:ilvl w:val="0"/>
          <w:numId w:val="7"/>
        </w:numPr>
        <w:rPr>
          <w:rFonts w:ascii="Symbol" w:cs="Symbol" w:eastAsia="Symbol" w:hAnsi="Symbol"/>
          <w:sz w:val="19"/>
          <w:szCs w:val="19"/>
          <w:color w:val="auto"/>
        </w:rPr>
      </w:pPr>
      <w:r>
        <w:rPr>
          <w:rFonts w:ascii="Times New Roman" w:cs="Times New Roman" w:eastAsia="Times New Roman" w:hAnsi="Times New Roman"/>
          <w:sz w:val="19"/>
          <w:szCs w:val="19"/>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pacing w:after="0" w:line="1" w:lineRule="exact"/>
        <w:rPr>
          <w:rFonts w:ascii="Symbol" w:cs="Symbol" w:eastAsia="Symbol" w:hAnsi="Symbol"/>
          <w:sz w:val="19"/>
          <w:szCs w:val="19"/>
          <w:color w:val="auto"/>
        </w:rPr>
      </w:pPr>
    </w:p>
    <w:p>
      <w:pPr>
        <w:ind w:left="1420" w:hanging="369"/>
        <w:spacing w:after="0" w:line="239" w:lineRule="auto"/>
        <w:tabs>
          <w:tab w:leader="none" w:pos="142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 Many of the health sciences specific faculty development resources are accredited by the International Association for Continuing Education and Training and the American Nurses Credentialing Center allowing faculty to earn continuing education credits.</w:t>
      </w:r>
    </w:p>
    <w:p>
      <w:pPr>
        <w:spacing w:after="0" w:line="6" w:lineRule="exact"/>
        <w:rPr>
          <w:rFonts w:ascii="Symbol" w:cs="Symbol" w:eastAsia="Symbol" w:hAnsi="Symbol"/>
          <w:sz w:val="20"/>
          <w:szCs w:val="20"/>
          <w:color w:val="auto"/>
        </w:rPr>
      </w:pPr>
    </w:p>
    <w:p>
      <w:pPr>
        <w:ind w:left="1420" w:hanging="369"/>
        <w:spacing w:after="0" w:line="258" w:lineRule="auto"/>
        <w:tabs>
          <w:tab w:leader="none" w:pos="1420" w:val="left"/>
        </w:tabs>
        <w:numPr>
          <w:ilvl w:val="0"/>
          <w:numId w:val="7"/>
        </w:numPr>
        <w:rPr>
          <w:rFonts w:ascii="Symbol" w:cs="Symbol" w:eastAsia="Symbol" w:hAnsi="Symbol"/>
          <w:sz w:val="19"/>
          <w:szCs w:val="19"/>
          <w:color w:val="auto"/>
        </w:rPr>
      </w:pPr>
      <w:r>
        <w:rPr>
          <w:rFonts w:ascii="Times New Roman" w:cs="Times New Roman" w:eastAsia="Times New Roman" w:hAnsi="Times New Roman"/>
          <w:sz w:val="19"/>
          <w:szCs w:val="19"/>
          <w:color w:val="auto"/>
        </w:rPr>
        <w:t>Class Scheduling – GCE has a class scheduling department and has developed a proprietary system to provide these services to our university partners. Our scheduling software provides students the ability to set their class schedule and flexibility to make changes and create opportunities to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520"/>
          </w:cols>
          <w:pgMar w:left="1440" w:top="1247" w:right="1280" w:bottom="722" w:gutter="0" w:footer="0" w:header="0"/>
        </w:sectPr>
      </w:pPr>
    </w:p>
    <w:bookmarkStart w:id="8" w:name="page9"/>
    <w:bookmarkEnd w:id="8"/>
    <w:p>
      <w:pPr>
        <w:ind w:left="1600" w:right="20"/>
        <w:spacing w:after="0" w:line="250" w:lineRule="auto"/>
        <w:rPr>
          <w:sz w:val="20"/>
          <w:szCs w:val="20"/>
          <w:color w:val="auto"/>
        </w:rPr>
      </w:pPr>
      <w:r>
        <w:rPr>
          <w:rFonts w:ascii="Times New Roman" w:cs="Times New Roman" w:eastAsia="Times New Roman" w:hAnsi="Times New Roman"/>
          <w:sz w:val="20"/>
          <w:szCs w:val="20"/>
          <w:color w:val="auto"/>
        </w:rPr>
        <w:t>courses in a myriad of online or onsite options. We optimize class size prior to course starts based on university partner standards, in order to maximize class resources and faculty utilization.</w:t>
      </w:r>
    </w:p>
    <w:p>
      <w:pPr>
        <w:ind w:left="1600" w:right="40" w:hanging="369"/>
        <w:spacing w:after="0" w:line="242" w:lineRule="auto"/>
        <w:tabs>
          <w:tab w:leader="none" w:pos="16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Skills and Simulation Lab Sites – GCE secures, develops and finances off-campus classroom and laboratory sites for use in various programs offered by our university partners, including the accelerated Bachelor of Science in Nursing (ABSN). Off-campus classroom and laboratory sites are branded for specific university partners and all classrooms, faculty, counselors, staff and specialized equipment are centralized and made accessible to every university partner student. The laboratories contain the latest in skills and simulation learning technology; including computer-based scenarios, hands-on work with physical simulators and internally developed Mixed Reality with state-of-the-art technology, which help students gain unique experiences in an alternative clinical setting.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Counseling Services and Support</w:t>
      </w:r>
    </w:p>
    <w:p>
      <w:pPr>
        <w:spacing w:after="0" w:line="120" w:lineRule="exact"/>
        <w:rPr>
          <w:sz w:val="20"/>
          <w:szCs w:val="20"/>
          <w:color w:val="auto"/>
        </w:rPr>
      </w:pPr>
    </w:p>
    <w:p>
      <w:pPr>
        <w:ind w:right="480" w:firstLine="720"/>
        <w:spacing w:after="0" w:line="258" w:lineRule="auto"/>
        <w:rPr>
          <w:sz w:val="20"/>
          <w:szCs w:val="20"/>
          <w:color w:val="auto"/>
        </w:rPr>
      </w:pPr>
      <w:r>
        <w:rPr>
          <w:rFonts w:ascii="Times New Roman" w:cs="Times New Roman" w:eastAsia="Times New Roman" w:hAnsi="Times New Roman"/>
          <w:sz w:val="20"/>
          <w:szCs w:val="20"/>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Counseling Services and Support may include the following:</w:t>
      </w:r>
    </w:p>
    <w:p>
      <w:pPr>
        <w:spacing w:after="0" w:line="134" w:lineRule="exact"/>
        <w:rPr>
          <w:sz w:val="20"/>
          <w:szCs w:val="20"/>
          <w:color w:val="auto"/>
        </w:rPr>
      </w:pPr>
    </w:p>
    <w:p>
      <w:pPr>
        <w:ind w:left="1600" w:hanging="369"/>
        <w:spacing w:after="0" w:line="243" w:lineRule="auto"/>
        <w:tabs>
          <w:tab w:leader="none" w:pos="16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3" w:lineRule="exact"/>
        <w:rPr>
          <w:rFonts w:ascii="Symbol" w:cs="Symbol" w:eastAsia="Symbol" w:hAnsi="Symbol"/>
          <w:sz w:val="20"/>
          <w:szCs w:val="20"/>
          <w:color w:val="auto"/>
        </w:rPr>
      </w:pPr>
    </w:p>
    <w:p>
      <w:pPr>
        <w:ind w:left="1600" w:right="40" w:hanging="369"/>
        <w:spacing w:after="0"/>
        <w:tabs>
          <w:tab w:leader="none" w:pos="16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ind w:left="1600" w:right="120" w:hanging="369"/>
        <w:spacing w:after="0" w:line="239" w:lineRule="auto"/>
        <w:tabs>
          <w:tab w:leader="none" w:pos="16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pacing w:after="0" w:line="7" w:lineRule="exact"/>
        <w:rPr>
          <w:rFonts w:ascii="Symbol" w:cs="Symbol" w:eastAsia="Symbol" w:hAnsi="Symbol"/>
          <w:sz w:val="20"/>
          <w:szCs w:val="20"/>
          <w:color w:val="auto"/>
        </w:rPr>
      </w:pPr>
    </w:p>
    <w:p>
      <w:pPr>
        <w:ind w:left="1600" w:hanging="369"/>
        <w:spacing w:after="0"/>
        <w:tabs>
          <w:tab w:leader="none" w:pos="16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Field Experience Counseling – For university partner students pursuing programs that lead to external credentials (e.g., teaching, nursing, counseling, social work,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 requirements are met well in advance of deadlines. GCE assists in gathering all required documentation, verifying it as official, and storing it as part of the student’s record.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and Communication</w:t>
      </w:r>
    </w:p>
    <w:p>
      <w:pPr>
        <w:spacing w:after="0" w:line="119" w:lineRule="exact"/>
        <w:rPr>
          <w:sz w:val="20"/>
          <w:szCs w:val="20"/>
          <w:color w:val="auto"/>
        </w:rPr>
      </w:pPr>
    </w:p>
    <w:p>
      <w:pPr>
        <w:ind w:right="640" w:firstLine="720"/>
        <w:spacing w:after="0" w:line="259" w:lineRule="auto"/>
        <w:rPr>
          <w:sz w:val="20"/>
          <w:szCs w:val="20"/>
          <w:color w:val="auto"/>
        </w:rPr>
      </w:pPr>
      <w:r>
        <w:rPr>
          <w:rFonts w:ascii="Times New Roman" w:cs="Times New Roman" w:eastAsia="Times New Roman" w:hAnsi="Times New Roman"/>
          <w:sz w:val="20"/>
          <w:szCs w:val="20"/>
          <w:color w:val="auto"/>
        </w:rPr>
        <w:t>We provide marketing and communication services that include lead acquisition, digital communication strategies, brand identity advertising, media planning and strategy, video, data science and analysis and other promotional and communication services.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00"/>
          </w:cols>
          <w:pgMar w:left="1260" w:top="1246" w:right="1280" w:bottom="722" w:gutter="0" w:footer="0" w:header="0"/>
        </w:sectPr>
      </w:pPr>
    </w:p>
    <w:bookmarkStart w:id="9" w:name="page10"/>
    <w:bookmarkEnd w:id="9"/>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GCE’s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university partners.</w:t>
      </w:r>
    </w:p>
    <w:p>
      <w:pPr>
        <w:spacing w:after="0" w:line="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Marketing and Communication services may include the following:</w:t>
      </w:r>
    </w:p>
    <w:p>
      <w:pPr>
        <w:spacing w:after="0" w:line="135" w:lineRule="exact"/>
        <w:rPr>
          <w:sz w:val="20"/>
          <w:szCs w:val="20"/>
          <w:color w:val="auto"/>
        </w:rPr>
      </w:pPr>
    </w:p>
    <w:p>
      <w:pPr>
        <w:ind w:left="1600" w:right="220" w:hanging="369"/>
        <w:spacing w:after="0" w:line="245" w:lineRule="auto"/>
        <w:tabs>
          <w:tab w:leader="none" w:pos="16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spacing w:after="0" w:line="2" w:lineRule="exact"/>
        <w:rPr>
          <w:rFonts w:ascii="Symbol" w:cs="Symbol" w:eastAsia="Symbol" w:hAnsi="Symbol"/>
          <w:sz w:val="20"/>
          <w:szCs w:val="20"/>
          <w:color w:val="auto"/>
        </w:rPr>
      </w:pPr>
    </w:p>
    <w:p>
      <w:pPr>
        <w:ind w:left="1600" w:right="140" w:hanging="369"/>
        <w:spacing w:after="0" w:line="239" w:lineRule="auto"/>
        <w:tabs>
          <w:tab w:leader="none" w:pos="16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Digital Communications Strategy – GCE’s subject matter experts utilize best-in-class technologies through marketing automation, integrated email, SMS text messaging and social media. GCE develops effective communication strategies that encompass the entire student lifecycle from prospect through alumni.</w:t>
      </w:r>
    </w:p>
    <w:p>
      <w:pPr>
        <w:spacing w:after="0" w:line="2" w:lineRule="exact"/>
        <w:rPr>
          <w:rFonts w:ascii="Symbol" w:cs="Symbol" w:eastAsia="Symbol" w:hAnsi="Symbol"/>
          <w:sz w:val="20"/>
          <w:szCs w:val="20"/>
          <w:color w:val="auto"/>
        </w:rPr>
      </w:pPr>
    </w:p>
    <w:p>
      <w:pPr>
        <w:ind w:left="1600" w:right="80" w:hanging="369"/>
        <w:spacing w:after="0" w:line="239" w:lineRule="auto"/>
        <w:tabs>
          <w:tab w:leader="none" w:pos="16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Brand Identity – GCE’s award-winning team of specialists have proven track records of developing strong brands and ensuring the right image is exposed to the consumer. GCE specializes in storytelling shaped by logo creation, positioning taglines, campaign and content development, custom music, and sonic branding.</w:t>
      </w:r>
    </w:p>
    <w:p>
      <w:pPr>
        <w:spacing w:after="0" w:line="3" w:lineRule="exact"/>
        <w:rPr>
          <w:rFonts w:ascii="Symbol" w:cs="Symbol" w:eastAsia="Symbol" w:hAnsi="Symbol"/>
          <w:sz w:val="20"/>
          <w:szCs w:val="20"/>
          <w:color w:val="auto"/>
        </w:rPr>
      </w:pPr>
    </w:p>
    <w:p>
      <w:pPr>
        <w:ind w:left="1600" w:hanging="369"/>
        <w:spacing w:after="0" w:line="239" w:lineRule="auto"/>
        <w:tabs>
          <w:tab w:leader="none" w:pos="16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Media Planning and Strategy –GCE offers full-service media planning and strategies that are built to grow sophisticated brands through traditional and digital media platforms. GCE understands today’s culture and how content is consumed in the everchanging world of media. GCE creates robust strategies that build long lasting connections with proven results.</w:t>
      </w:r>
    </w:p>
    <w:p>
      <w:pPr>
        <w:spacing w:after="0" w:line="2" w:lineRule="exact"/>
        <w:rPr>
          <w:rFonts w:ascii="Symbol" w:cs="Symbol" w:eastAsia="Symbol" w:hAnsi="Symbol"/>
          <w:sz w:val="20"/>
          <w:szCs w:val="20"/>
          <w:color w:val="auto"/>
        </w:rPr>
      </w:pPr>
    </w:p>
    <w:p>
      <w:pPr>
        <w:ind w:left="1600" w:right="20" w:hanging="369"/>
        <w:spacing w:after="0" w:line="239" w:lineRule="auto"/>
        <w:tabs>
          <w:tab w:leader="none" w:pos="16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Video – GCE’s team of in-house video experts specialize in high-quality content expanding across a wide variety of marketing channels. Capabilities include broadcast-quality commercials, explainer videos, mini- and full-length documentaries, original programming, animations, motion graphics, and short, stackable video content for a variety of social media channels. GCE enhances its internal team with preferred partners to help offset workload and provide scalability of production requirements.</w:t>
      </w:r>
    </w:p>
    <w:p>
      <w:pPr>
        <w:spacing w:after="0" w:line="5" w:lineRule="exact"/>
        <w:rPr>
          <w:rFonts w:ascii="Symbol" w:cs="Symbol" w:eastAsia="Symbol" w:hAnsi="Symbol"/>
          <w:sz w:val="20"/>
          <w:szCs w:val="20"/>
          <w:color w:val="auto"/>
        </w:rPr>
      </w:pPr>
    </w:p>
    <w:p>
      <w:pPr>
        <w:ind w:left="1600" w:right="160" w:hanging="369"/>
        <w:spacing w:after="0" w:line="239" w:lineRule="auto"/>
        <w:tabs>
          <w:tab w:leader="none" w:pos="16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Business Intelligence and Data Science – GCE employs a team of in-house data analysis professionals who apply descriptive and prescriptive analytics to help understand the marketplace and facilitate important business decisions. GCE specializes in all aspects of data analytics and science, including predictive modeling, data mining and visualization to enrich today’s technology and data-driven marketplace, while providing the information required for success.</w:t>
      </w:r>
    </w:p>
    <w:p>
      <w:pPr>
        <w:spacing w:after="0" w:line="3" w:lineRule="exact"/>
        <w:rPr>
          <w:rFonts w:ascii="Symbol" w:cs="Symbol" w:eastAsia="Symbol" w:hAnsi="Symbol"/>
          <w:sz w:val="20"/>
          <w:szCs w:val="20"/>
          <w:color w:val="auto"/>
        </w:rPr>
      </w:pPr>
    </w:p>
    <w:p>
      <w:pPr>
        <w:ind w:left="1600" w:right="60" w:hanging="369"/>
        <w:spacing w:after="0" w:line="239" w:lineRule="auto"/>
        <w:tabs>
          <w:tab w:leader="none" w:pos="16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Research – GCE’s market research professionals survey market, population and job data for various locations across the country in order to make data-driven recommendations for new sites, partnerships, and educational offerings that will maximize reach and impact and provide education and career training to the areas where it will be most impactful.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Back-Office Services</w:t>
      </w:r>
    </w:p>
    <w:p>
      <w:pPr>
        <w:spacing w:after="0" w:line="119"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color w:val="auto"/>
        </w:rPr>
        <w:t>In addition, we currently provide certain requested back-office services to GCU that include finance, human resources, audit, and other corporate functions.</w:t>
      </w:r>
    </w:p>
    <w:p>
      <w:pPr>
        <w:spacing w:after="0" w:line="62" w:lineRule="exact"/>
        <w:rPr>
          <w:sz w:val="20"/>
          <w:szCs w:val="20"/>
          <w:color w:val="auto"/>
        </w:rPr>
      </w:pPr>
    </w:p>
    <w:p>
      <w:pPr>
        <w:ind w:left="1600" w:right="60" w:hanging="369"/>
        <w:spacing w:after="0" w:line="247" w:lineRule="auto"/>
        <w:tabs>
          <w:tab w:leader="none" w:pos="16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Finance and accounting </w:t>
      </w:r>
      <w:r>
        <w:rPr>
          <w:rFonts w:ascii="Times New Roman" w:cs="Times New Roman" w:eastAsia="Times New Roman" w:hAnsi="Times New Roman"/>
          <w:sz w:val="20"/>
          <w:szCs w:val="20"/>
          <w:color w:val="auto"/>
        </w:rPr>
        <w:t>- Finance and accounting services include administration of payroll,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accounts payable, general ledger, student accounting, financial reporting, budgeting and taxes at the direction of GCU.</w:t>
      </w:r>
    </w:p>
    <w:p>
      <w:pPr>
        <w:ind w:left="1600" w:right="80" w:hanging="369"/>
        <w:spacing w:after="0" w:line="239" w:lineRule="auto"/>
        <w:tabs>
          <w:tab w:leader="none" w:pos="16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Human Resources </w:t>
      </w:r>
      <w:r>
        <w:rPr>
          <w:rFonts w:ascii="Times New Roman" w:cs="Times New Roman" w:eastAsia="Times New Roman" w:hAnsi="Times New Roman"/>
          <w:sz w:val="20"/>
          <w:szCs w:val="20"/>
          <w:color w:val="auto"/>
        </w:rPr>
        <w:t>- Human resources services include administration of performance management,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personnel policies, recruitment and onboarding of new personnel, and benefit plan design and procurement, among others.</w:t>
      </w:r>
    </w:p>
    <w:p>
      <w:pPr>
        <w:spacing w:after="0" w:line="2" w:lineRule="exact"/>
        <w:rPr>
          <w:rFonts w:ascii="Symbol" w:cs="Symbol" w:eastAsia="Symbol" w:hAnsi="Symbol"/>
          <w:sz w:val="20"/>
          <w:szCs w:val="20"/>
          <w:color w:val="auto"/>
        </w:rPr>
      </w:pPr>
    </w:p>
    <w:p>
      <w:pPr>
        <w:ind w:left="1600" w:right="160" w:hanging="369"/>
        <w:spacing w:after="0" w:line="239" w:lineRule="auto"/>
        <w:tabs>
          <w:tab w:leader="none" w:pos="16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Audit </w:t>
      </w:r>
      <w:r>
        <w:rPr>
          <w:rFonts w:ascii="Times New Roman" w:cs="Times New Roman" w:eastAsia="Times New Roman" w:hAnsi="Times New Roman"/>
          <w:sz w:val="20"/>
          <w:szCs w:val="20"/>
          <w:color w:val="auto"/>
        </w:rPr>
        <w:t>- Audit services include development and administration of a GCU approved annual internal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audit plan and execution of the audit plan for the service period.</w:t>
      </w:r>
    </w:p>
    <w:p>
      <w:pPr>
        <w:ind w:left="1600" w:right="200" w:hanging="369"/>
        <w:spacing w:after="0" w:line="239" w:lineRule="auto"/>
        <w:tabs>
          <w:tab w:leader="none" w:pos="16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Procurement </w:t>
      </w:r>
      <w:r>
        <w:rPr>
          <w:rFonts w:ascii="Times New Roman" w:cs="Times New Roman" w:eastAsia="Times New Roman" w:hAnsi="Times New Roman"/>
          <w:sz w:val="20"/>
          <w:szCs w:val="20"/>
          <w:color w:val="auto"/>
        </w:rPr>
        <w:t>- Procurement services include management of purchasing and vendor relationships,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travel services, review of vendor contracts, and maintenance of contracts in the procurement system.</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640"/>
          </w:cols>
          <w:pgMar w:left="1260" w:top="1246" w:right="1340" w:bottom="722"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Social Responsibility and Human Capital Development</w:t>
      </w:r>
    </w:p>
    <w:p>
      <w:pPr>
        <w:spacing w:after="0" w:line="123"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Social responsibility and human capital development are a significant focus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91" w:lineRule="exact"/>
        <w:rPr>
          <w:sz w:val="20"/>
          <w:szCs w:val="20"/>
          <w:color w:val="auto"/>
        </w:rPr>
      </w:pPr>
    </w:p>
    <w:p>
      <w:pPr>
        <w:ind w:left="1600" w:hanging="369"/>
        <w:spacing w:after="0"/>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University education is too expensive;</w:t>
      </w:r>
    </w:p>
    <w:p>
      <w:pPr>
        <w:spacing w:after="0" w:line="21" w:lineRule="exact"/>
        <w:rPr>
          <w:rFonts w:ascii="Symbol" w:cs="Symbol" w:eastAsia="Symbol" w:hAnsi="Symbol"/>
          <w:sz w:val="20"/>
          <w:szCs w:val="20"/>
          <w:color w:val="auto"/>
        </w:rPr>
      </w:pPr>
    </w:p>
    <w:p>
      <w:pPr>
        <w:ind w:left="1600" w:hanging="369"/>
        <w:spacing w:after="0"/>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Students are taking on too much debt;</w:t>
      </w:r>
    </w:p>
    <w:p>
      <w:pPr>
        <w:ind w:left="1600" w:hanging="369"/>
        <w:spacing w:after="0"/>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Bachelor’s degrees are taking too long to complete;</w:t>
      </w:r>
    </w:p>
    <w:p>
      <w:pPr>
        <w:ind w:left="1600" w:right="180" w:hanging="369"/>
        <w:spacing w:after="0" w:line="239" w:lineRule="auto"/>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Programs are not targeted enough toward careers. Recent surveys show that a large percentage of college students would change majors if starting over, and a significant number of recent graduates are under employed or are in jobs that don’t required degrees;</w:t>
      </w:r>
    </w:p>
    <w:p>
      <w:pPr>
        <w:spacing w:after="0" w:line="1" w:lineRule="exact"/>
        <w:rPr>
          <w:rFonts w:ascii="Symbol" w:cs="Symbol" w:eastAsia="Symbol" w:hAnsi="Symbol"/>
          <w:sz w:val="20"/>
          <w:szCs w:val="20"/>
          <w:color w:val="auto"/>
        </w:rPr>
      </w:pPr>
    </w:p>
    <w:p>
      <w:pPr>
        <w:ind w:left="1600" w:hanging="369"/>
        <w:spacing w:after="0"/>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As tuition increases, diversity decreases;</w:t>
      </w:r>
    </w:p>
    <w:p>
      <w:pPr>
        <w:ind w:left="1600" w:hanging="369"/>
        <w:spacing w:after="0"/>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Universities have inadequate counseling and support services, especially for distance learners;</w:t>
      </w:r>
    </w:p>
    <w:p>
      <w:pPr>
        <w:ind w:left="1600" w:hanging="369"/>
        <w:spacing w:after="0" w:line="238" w:lineRule="auto"/>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Most university professors have no formal training in teaching, learning or course design;</w:t>
      </w:r>
    </w:p>
    <w:p>
      <w:pPr>
        <w:ind w:left="1600" w:right="600" w:hanging="369"/>
        <w:spacing w:after="0"/>
        <w:tabs>
          <w:tab w:leader="none" w:pos="16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Universities are under significant financial pressure, which has only been enhanced due to the pandemic and a declining number of high school graduates attending college.</w:t>
      </w:r>
    </w:p>
    <w:p>
      <w:pPr>
        <w:spacing w:after="0" w:line="8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 xml:space="preserve">We provide the capital, technology and expertise to our university partners to lessen the challenges in each of the areas listed above (see </w:t>
      </w:r>
      <w:r>
        <w:rPr>
          <w:rFonts w:ascii="Times New Roman" w:cs="Times New Roman" w:eastAsia="Times New Roman" w:hAnsi="Times New Roman"/>
          <w:sz w:val="20"/>
          <w:szCs w:val="20"/>
          <w:i w:val="1"/>
          <w:iCs w:val="1"/>
          <w:color w:val="auto"/>
        </w:rPr>
        <w:t>Item 1. Business – Suite of Services</w:t>
      </w:r>
      <w:r>
        <w:rPr>
          <w:rFonts w:ascii="Times New Roman" w:cs="Times New Roman" w:eastAsia="Times New Roman" w:hAnsi="Times New Roman"/>
          <w:sz w:val="20"/>
          <w:szCs w:val="20"/>
          <w:color w:val="auto"/>
        </w:rPr>
        <w:t>).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has put pressure on their financial condition.</w:t>
      </w:r>
    </w:p>
    <w:p>
      <w:pPr>
        <w:spacing w:after="0" w:line="8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GCE is committed to hiring policies and practices that identify the most qualified candidate for a given position. We believe that we must have the best talent, including employees who possess a diverse range of experiences, backgrounds and skills, in order to anticipate and meet the needs of our business and those of our university partners.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82"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Employee Learning and Development (ELD) Services </w:t>
      </w:r>
      <w:r>
        <w:rPr>
          <w:rFonts w:ascii="Times New Roman" w:cs="Times New Roman" w:eastAsia="Times New Roman" w:hAnsi="Times New Roman"/>
          <w:sz w:val="20"/>
          <w:szCs w:val="20"/>
          <w:color w:val="auto"/>
        </w:rPr>
        <w:t>– We provide learning and development support to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employees 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 stays current with regulatory and other compliance requirements. These programs and curricula are offered virtually as both synchronous and self-paced.</w:t>
      </w:r>
    </w:p>
    <w:p>
      <w:pPr>
        <w:spacing w:after="0" w:line="79"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Employee Tuition Benefit </w:t>
      </w:r>
      <w:r>
        <w:rPr>
          <w:rFonts w:ascii="Times New Roman" w:cs="Times New Roman" w:eastAsia="Times New Roman" w:hAnsi="Times New Roman"/>
          <w:sz w:val="20"/>
          <w:szCs w:val="20"/>
          <w:color w:val="auto"/>
        </w:rPr>
        <w:t>– GCE promotes the concept of lifelong learning and supports this concept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offering its employees a generous Tuition Benefit program through its university partner,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00"/>
          </w:cols>
          <w:pgMar w:left="1260" w:top="1243" w:right="1280" w:bottom="722" w:gutter="0" w:footer="0" w:header="0"/>
        </w:sectPr>
      </w:pPr>
    </w:p>
    <w:bookmarkStart w:id="11" w:name="page12"/>
    <w:bookmarkEnd w:id="11"/>
    <w:p>
      <w:pPr>
        <w:ind w:right="80"/>
        <w:spacing w:after="0" w:line="278" w:lineRule="auto"/>
        <w:rPr>
          <w:sz w:val="20"/>
          <w:szCs w:val="20"/>
          <w:color w:val="auto"/>
        </w:rPr>
      </w:pPr>
      <w:r>
        <w:rPr>
          <w:rFonts w:ascii="Times New Roman" w:cs="Times New Roman" w:eastAsia="Times New Roman" w:hAnsi="Times New Roman"/>
          <w:sz w:val="20"/>
          <w:szCs w:val="20"/>
          <w:color w:val="auto"/>
        </w:rPr>
        <w:t>admitted to GCU receives a 100% tuition reduction on undergraduate programs and a 50% tuition reduction on graduate programs.</w:t>
      </w:r>
    </w:p>
    <w:p>
      <w:pPr>
        <w:spacing w:after="0" w:line="48"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Monitoring employee engagement and satisfaction </w:t>
      </w:r>
      <w:r>
        <w:rPr>
          <w:rFonts w:ascii="Times New Roman" w:cs="Times New Roman" w:eastAsia="Times New Roman" w:hAnsi="Times New Roman"/>
          <w:sz w:val="20"/>
          <w:szCs w:val="20"/>
          <w:color w:val="auto"/>
        </w:rPr>
        <w:t>– GCE administers an annual survey of all of its employees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assess employee engagement and satisfaction. GCE received responses from 1,330 employees on the 2024 survey. The survey asked a number of questions regarding employee engagement and satisfaction including whether they are actively engaged with their work, whether they have a sense of pride in what they do and whether they enjoy the type of work assigned to them. The responses to each question were overwhelmingly positive. To the prompt, “I plan to continue my career at GCE for at least two more years”; “I would recommend employment at GCE to a friend”; “I am actively engaged with my work at GCE”; and “Overall I am satisfied with GCE as an employer,” less than 12% of the responders disagreed with any of these statements. This survey also inquired about the importance of Environmental, Social and Governance topics that employees felt are important to GCE’s business performance and financial success both internal and external impacts. The top five selected in the survey by employees and the percentage of the responders that selected that topic were Employee Health and Wellbeing (59%), Professional Integrity (47%), Human Capital Management (41%), Community Engagement (36%) and Workforce Diversity and Engagement (20%). 92% of those that responded to the survey confirmed GCE enables a culture of diversity.</w:t>
      </w:r>
    </w:p>
    <w:p>
      <w:pPr>
        <w:spacing w:after="0" w:line="82" w:lineRule="exact"/>
        <w:rPr>
          <w:sz w:val="20"/>
          <w:szCs w:val="20"/>
          <w:color w:val="auto"/>
        </w:rPr>
      </w:pPr>
    </w:p>
    <w:p>
      <w:pPr>
        <w:ind w:right="220" w:firstLine="72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Whistleblower hotline </w:t>
      </w:r>
      <w:r>
        <w:rPr>
          <w:rFonts w:ascii="Times New Roman" w:cs="Times New Roman" w:eastAsia="Times New Roman" w:hAnsi="Times New Roman"/>
          <w:sz w:val="20"/>
          <w:szCs w:val="20"/>
          <w:color w:val="auto"/>
        </w:rPr>
        <w:t>– GCE has a whistleblower hotline available to both internal and external parties.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whistleblower policy is disclosed on the GCE intranet for employees and disclosed on the GCE investor relations website for external parties. Hotline activity is managed by a third party and all claims are reviewed and monitored by the Chief Risk Officer and General Counsel. All claims are discussed at the quarterly Audit Committee meetings.</w:t>
      </w:r>
    </w:p>
    <w:p>
      <w:pPr>
        <w:spacing w:after="0" w:line="71"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Community Involvement by GCE and its Employees. </w:t>
      </w:r>
      <w:r>
        <w:rPr>
          <w:rFonts w:ascii="Times New Roman" w:cs="Times New Roman" w:eastAsia="Times New Roman" w:hAnsi="Times New Roman"/>
          <w:sz w:val="20"/>
          <w:szCs w:val="20"/>
          <w:color w:val="auto"/>
        </w:rPr>
        <w:t>Examples of activities in which we and our employees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participate include:</w:t>
      </w:r>
    </w:p>
    <w:p>
      <w:pPr>
        <w:spacing w:after="0" w:line="61" w:lineRule="exact"/>
        <w:rPr>
          <w:sz w:val="20"/>
          <w:szCs w:val="20"/>
          <w:color w:val="auto"/>
        </w:rPr>
      </w:pPr>
    </w:p>
    <w:p>
      <w:pPr>
        <w:ind w:left="1080" w:right="300" w:hanging="353"/>
        <w:spacing w:after="0" w:line="244" w:lineRule="auto"/>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Improving Our Neighborhood and Increased Home Values - </w:t>
      </w:r>
      <w:r>
        <w:rPr>
          <w:rFonts w:ascii="Times New Roman" w:cs="Times New Roman" w:eastAsia="Times New Roman" w:hAnsi="Times New Roman"/>
          <w:sz w:val="20"/>
          <w:szCs w:val="20"/>
          <w:color w:val="auto"/>
        </w:rPr>
        <w:t>Together with Habitat for Humanity and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concert with our largest university partner, we are participating in the largest home renovation project in the country in the West Phoenix area surrounding GCU’s campus. As of December 31, 2024, 1,446 projects have been completed in which 37,757 hours have been logged by volunteers. These efforts, combined with GCE and GCU’s expanded presence in the community, have contributed to a significant increase in home values since 2011 in the 85017 zip code.</w:t>
      </w:r>
    </w:p>
    <w:p>
      <w:pPr>
        <w:spacing w:after="0" w:line="96" w:lineRule="exact"/>
        <w:rPr>
          <w:rFonts w:ascii="Symbol" w:cs="Symbol" w:eastAsia="Symbol" w:hAnsi="Symbol"/>
          <w:sz w:val="20"/>
          <w:szCs w:val="20"/>
          <w:color w:val="auto"/>
        </w:rPr>
      </w:pPr>
    </w:p>
    <w:p>
      <w:pPr>
        <w:ind w:left="1080" w:right="200" w:hanging="353"/>
        <w:spacing w:after="0" w:line="251" w:lineRule="auto"/>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Furthering Job Creation - </w:t>
      </w:r>
      <w:r>
        <w:rPr>
          <w:rFonts w:ascii="Times New Roman" w:cs="Times New Roman" w:eastAsia="Times New Roman" w:hAnsi="Times New Roman"/>
          <w:sz w:val="20"/>
          <w:szCs w:val="20"/>
          <w:color w:val="auto"/>
        </w:rPr>
        <w:t>We, along with GCU have launched a number of new business enterprises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reduced costs, provided management opportunities for recent graduates and employment opportunities for students and neighborhood residents, while spurring economic growth in the area.</w:t>
      </w:r>
    </w:p>
    <w:p>
      <w:pPr>
        <w:spacing w:after="0" w:line="87" w:lineRule="exact"/>
        <w:rPr>
          <w:rFonts w:ascii="Symbol" w:cs="Symbol" w:eastAsia="Symbol" w:hAnsi="Symbol"/>
          <w:sz w:val="20"/>
          <w:szCs w:val="20"/>
          <w:color w:val="auto"/>
        </w:rPr>
      </w:pPr>
    </w:p>
    <w:p>
      <w:pPr>
        <w:ind w:left="1080" w:right="760" w:hanging="353"/>
        <w:spacing w:after="0" w:line="251" w:lineRule="auto"/>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Youth Opportunity Foundation - </w:t>
      </w:r>
      <w:r>
        <w:rPr>
          <w:rFonts w:ascii="Times New Roman" w:cs="Times New Roman" w:eastAsia="Times New Roman" w:hAnsi="Times New Roman"/>
          <w:sz w:val="20"/>
          <w:szCs w:val="20"/>
          <w:color w:val="auto"/>
        </w:rPr>
        <w:t>Our employees volunteer and donate time and funds to the Youth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Opportunity Foundation which provides advocacy, clinical treatment, education and workforce development for at-risk young people in underprivileged areas.</w:t>
      </w:r>
    </w:p>
    <w:p>
      <w:pPr>
        <w:spacing w:after="0" w:line="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GCE also invests in the following activities that benefit the community.</w:t>
      </w:r>
    </w:p>
    <w:p>
      <w:pPr>
        <w:spacing w:after="0" w:line="134" w:lineRule="exact"/>
        <w:rPr>
          <w:sz w:val="20"/>
          <w:szCs w:val="20"/>
          <w:color w:val="auto"/>
        </w:rPr>
      </w:pPr>
    </w:p>
    <w:p>
      <w:pPr>
        <w:ind w:left="1080" w:right="100" w:hanging="353"/>
        <w:spacing w:after="0" w:line="247" w:lineRule="auto"/>
        <w:tabs>
          <w:tab w:leader="none" w:pos="10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Funding of Student Tuition Organizations - </w:t>
      </w:r>
      <w:r>
        <w:rPr>
          <w:rFonts w:ascii="Times New Roman" w:cs="Times New Roman" w:eastAsia="Times New Roman" w:hAnsi="Times New Roman"/>
          <w:sz w:val="20"/>
          <w:szCs w:val="20"/>
          <w:color w:val="auto"/>
        </w:rPr>
        <w:t>GCE contributes to private school tuition organizations,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entities that allocate financial contributions toward tuition assistance and scholarships for disadvantaged students to attend Arizona private schools. In 2024 and 2023, we contributed $4.5 million and $3.5 million, respectively, to these organizations.</w:t>
      </w:r>
    </w:p>
    <w:p>
      <w:pPr>
        <w:spacing w:after="0" w:line="92" w:lineRule="exact"/>
        <w:rPr>
          <w:rFonts w:ascii="Symbol" w:cs="Symbol" w:eastAsia="Symbol" w:hAnsi="Symbol"/>
          <w:sz w:val="20"/>
          <w:szCs w:val="20"/>
          <w:color w:val="auto"/>
        </w:rPr>
      </w:pPr>
    </w:p>
    <w:p>
      <w:pPr>
        <w:ind w:left="1080" w:hanging="353"/>
        <w:spacing w:after="0" w:line="245" w:lineRule="auto"/>
        <w:tabs>
          <w:tab w:leader="none" w:pos="10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Encouraging Employee Giving - </w:t>
      </w:r>
      <w:r>
        <w:rPr>
          <w:rFonts w:ascii="Times New Roman" w:cs="Times New Roman" w:eastAsia="Times New Roman" w:hAnsi="Times New Roman"/>
          <w:sz w:val="20"/>
          <w:szCs w:val="20"/>
          <w:color w:val="auto"/>
        </w:rPr>
        <w:t>We participate in Donate to Elevate, a program that encourages employees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participate in the Arizona individual tax credit program, which allows individual taxpayers to contribute money in lieu of state income tax payments to benefit private schools and other non-profit entities in Arizona, as well as local public schools and public charter schools. Employees are encouraged to designate tax dollars to the school or program of their choice.</w:t>
      </w:r>
    </w:p>
    <w:p>
      <w:pPr>
        <w:spacing w:after="0" w:line="94" w:lineRule="exact"/>
        <w:rPr>
          <w:rFonts w:ascii="Symbol" w:cs="Symbol" w:eastAsia="Symbol" w:hAnsi="Symbol"/>
          <w:sz w:val="20"/>
          <w:szCs w:val="20"/>
          <w:color w:val="auto"/>
        </w:rPr>
      </w:pPr>
    </w:p>
    <w:p>
      <w:pPr>
        <w:ind w:left="1080" w:right="40" w:hanging="353"/>
        <w:spacing w:after="0" w:line="247" w:lineRule="auto"/>
        <w:tabs>
          <w:tab w:leader="none" w:pos="10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Students Inspiring Students - </w:t>
      </w:r>
      <w:r>
        <w:rPr>
          <w:rFonts w:ascii="Times New Roman" w:cs="Times New Roman" w:eastAsia="Times New Roman" w:hAnsi="Times New Roman"/>
          <w:sz w:val="20"/>
          <w:szCs w:val="20"/>
          <w:color w:val="auto"/>
        </w:rPr>
        <w:t>GCE continues to support GCU’s free tutoring/mentoring program that serves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Phoenix-area K - 12 schools. Students who seek academic assistance in the GCU Learning Lounge may become eligible to receive the Students Inspiring Students full-tuition scholarship. To serve our university partners and community, we seek donations to fund this neighborhood scholarship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20"/>
          </w:cols>
          <w:pgMar w:left="1260" w:top="1246" w:right="1260" w:bottom="722" w:gutter="0" w:footer="0" w:header="0"/>
        </w:sectPr>
      </w:pPr>
    </w:p>
    <w:bookmarkStart w:id="12" w:name="page13"/>
    <w:bookmarkEnd w:id="12"/>
    <w:p>
      <w:pPr>
        <w:ind w:left="1080" w:right="60" w:hanging="353"/>
        <w:spacing w:after="0" w:line="243" w:lineRule="auto"/>
        <w:tabs>
          <w:tab w:leader="none" w:pos="10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Sponsoring K - 12 Educational Development - </w:t>
      </w:r>
      <w:r>
        <w:rPr>
          <w:rFonts w:ascii="Times New Roman" w:cs="Times New Roman" w:eastAsia="Times New Roman" w:hAnsi="Times New Roman"/>
          <w:sz w:val="20"/>
          <w:szCs w:val="20"/>
          <w:color w:val="auto"/>
        </w:rPr>
        <w:t>GCE supports GCU’s K - 12 Educational Development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Department through sponsorship of GCU’s Canyon Professional Development and K - 12 Targeted School Assistance programs. Canyon Professional Development offers professional development opportunities for educators and administrators, and their student/parent engagement programs aim to help students become college ready. K - 12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97" w:lineRule="exact"/>
        <w:rPr>
          <w:rFonts w:ascii="Symbol" w:cs="Symbol" w:eastAsia="Symbol" w:hAnsi="Symbol"/>
          <w:sz w:val="20"/>
          <w:szCs w:val="20"/>
          <w:color w:val="auto"/>
        </w:rPr>
      </w:pPr>
    </w:p>
    <w:p>
      <w:pPr>
        <w:ind w:left="1080" w:hanging="353"/>
        <w:spacing w:after="0" w:line="247" w:lineRule="auto"/>
        <w:tabs>
          <w:tab w:leader="none" w:pos="10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Continuing Community Involvement - </w:t>
      </w:r>
      <w:r>
        <w:rPr>
          <w:rFonts w:ascii="Times New Roman" w:cs="Times New Roman" w:eastAsia="Times New Roman" w:hAnsi="Times New Roman"/>
          <w:sz w:val="20"/>
          <w:szCs w:val="20"/>
          <w:color w:val="auto"/>
        </w:rPr>
        <w:t>GCE and our employees partner in countless other community events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projects throughout the year. We offer our full-time employees a maximum of 16 hours of PTO annually for community service. This time is used to volunteer at an approved charitable organization. Over 40 organizations are approved for employee volunteerism, including Habitat for Humanity.</w:t>
      </w:r>
    </w:p>
    <w:p>
      <w:pPr>
        <w:spacing w:after="0" w:line="77"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In addition, GCE has historically partnered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employees also went out into our surrounding neighborhoods to participate in programs such as Serve the City, Canyon Kids, Salute Our Troops, Colter Commons senior home visits and the Run to Fight Children’s Cancer.</w:t>
      </w:r>
    </w:p>
    <w:p>
      <w:pPr>
        <w:spacing w:after="0" w:line="80" w:lineRule="exact"/>
        <w:rPr>
          <w:sz w:val="20"/>
          <w:szCs w:val="20"/>
          <w:color w:val="auto"/>
        </w:rPr>
      </w:pPr>
    </w:p>
    <w:p>
      <w:pPr>
        <w:ind w:right="54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Our Commitment to Diversity. </w:t>
      </w:r>
      <w:r>
        <w:rPr>
          <w:rFonts w:ascii="Times New Roman" w:cs="Times New Roman" w:eastAsia="Times New Roman" w:hAnsi="Times New Roman"/>
          <w:sz w:val="20"/>
          <w:szCs w:val="20"/>
          <w:color w:val="auto"/>
        </w:rPr>
        <w:t>A growing body of evidence suggests that diverse teams improve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outcomes and support innovation, resiliency, and productivity. GCE’s commitment to fostering diversity in its community is evident in the following:</w:t>
      </w:r>
    </w:p>
    <w:p>
      <w:pPr>
        <w:spacing w:after="0" w:line="80" w:lineRule="exact"/>
        <w:rPr>
          <w:sz w:val="20"/>
          <w:szCs w:val="20"/>
          <w:color w:val="auto"/>
        </w:rPr>
      </w:pPr>
    </w:p>
    <w:p>
      <w:pPr>
        <w:ind w:left="1080" w:right="20" w:hanging="353"/>
        <w:spacing w:after="0" w:line="241" w:lineRule="auto"/>
        <w:tabs>
          <w:tab w:leader="none" w:pos="108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Our Diversity Statement - </w:t>
      </w:r>
      <w:r>
        <w:rPr>
          <w:rFonts w:ascii="Times New Roman" w:cs="Times New Roman" w:eastAsia="Times New Roman" w:hAnsi="Times New Roman"/>
          <w:sz w:val="20"/>
          <w:szCs w:val="20"/>
          <w:color w:val="auto"/>
        </w:rPr>
        <w:t>Grand Canyon Education is a faith-friendly shared services provider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embraces a worldview which outlines a responsibility to both charity and stewardship which simply stated is, ‘to love others as yourself’. We are a community of people who value the pursuit of truth and find great understanding in the convergence of differing viewpoints, backgrounds and ideas. We welcome employees from all walks of life which has contributed to a growing diversity within our population. Our diversity encompasses a multitude of dimensions, including age, disability, national origin, race, color, religion, gender, veteran status and more. Our Christian perspective compels us to treat every individual equally with respect and compassion. All community members deserve a comfortable space to express their feelings, so that every voice is heard. All members of the Company will be welcomed, valued, and provided safety in this community. Finally, diversity not only enriches the workplace and the educational endeavors of our partners it is critical to it. Maintaining a diverse environment requires a measure of tolerance and understanding commensurate with the dignity and value of all human life. In sum, GCE values diversity because it values every employee and university partners’ students entrusted to its care.</w:t>
      </w:r>
    </w:p>
    <w:p>
      <w:pPr>
        <w:spacing w:after="0" w:line="106" w:lineRule="exact"/>
        <w:rPr>
          <w:rFonts w:ascii="Symbol" w:cs="Symbol" w:eastAsia="Symbol" w:hAnsi="Symbol"/>
          <w:sz w:val="20"/>
          <w:szCs w:val="20"/>
          <w:color w:val="auto"/>
        </w:rPr>
      </w:pPr>
    </w:p>
    <w:p>
      <w:pPr>
        <w:ind w:left="1080" w:right="260" w:hanging="353"/>
        <w:spacing w:after="0" w:line="247" w:lineRule="auto"/>
        <w:tabs>
          <w:tab w:leader="none" w:pos="108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Our Diverse Leadership </w:t>
      </w:r>
      <w:r>
        <w:rPr>
          <w:rFonts w:ascii="Times New Roman" w:cs="Times New Roman" w:eastAsia="Times New Roman" w:hAnsi="Times New Roman"/>
          <w:sz w:val="20"/>
          <w:szCs w:val="20"/>
          <w:color w:val="auto"/>
        </w:rPr>
        <w:t>- Our ability to attract and retain diverse talent is reflected at both our Board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(the “Board”) and management levels. Three of our six directors are women and two directors identify with an underrepresented diverse ethnicity. In addition, for all of our employees at the level of manager and above totaling 644 persons, 70.2% are held by women and other diverse persons.</w:t>
      </w:r>
    </w:p>
    <w:p>
      <w:pPr>
        <w:spacing w:after="0" w:line="92" w:lineRule="exact"/>
        <w:rPr>
          <w:rFonts w:ascii="Symbol" w:cs="Symbol" w:eastAsia="Symbol" w:hAnsi="Symbol"/>
          <w:sz w:val="20"/>
          <w:szCs w:val="20"/>
          <w:color w:val="auto"/>
        </w:rPr>
      </w:pPr>
    </w:p>
    <w:p>
      <w:pPr>
        <w:ind w:left="1080" w:right="80" w:hanging="353"/>
        <w:spacing w:after="0" w:line="243" w:lineRule="auto"/>
        <w:tabs>
          <w:tab w:leader="none" w:pos="108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Our Diverse Workforce </w:t>
      </w:r>
      <w:r>
        <w:rPr>
          <w:rFonts w:ascii="Times New Roman" w:cs="Times New Roman" w:eastAsia="Times New Roman" w:hAnsi="Times New Roman"/>
          <w:sz w:val="20"/>
          <w:szCs w:val="20"/>
          <w:color w:val="auto"/>
        </w:rPr>
        <w:t>- As of December 31, 2024, 80.3% of our 5,830 employees are women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diverse persons. As of December 31, 2024, GCE employed approximately 4,092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as of December 31, 2024, GCE employed approximately 1,738 part-time employees most of whom are student workers. None of our employees are a party to any collective bargaining or similar agreement with us. We consider our relations with our employees to be strong.</w:t>
      </w:r>
    </w:p>
    <w:p>
      <w:pPr>
        <w:spacing w:after="0" w:line="95" w:lineRule="exact"/>
        <w:rPr>
          <w:rFonts w:ascii="Symbol" w:cs="Symbol" w:eastAsia="Symbol" w:hAnsi="Symbol"/>
          <w:sz w:val="20"/>
          <w:szCs w:val="20"/>
          <w:color w:val="auto"/>
        </w:rPr>
      </w:pPr>
    </w:p>
    <w:p>
      <w:pPr>
        <w:ind w:left="1080" w:right="20" w:hanging="353"/>
        <w:spacing w:after="0" w:line="264" w:lineRule="auto"/>
        <w:tabs>
          <w:tab w:leader="none" w:pos="1080" w:val="left"/>
        </w:tabs>
        <w:numPr>
          <w:ilvl w:val="0"/>
          <w:numId w:val="16"/>
        </w:numPr>
        <w:rPr>
          <w:rFonts w:ascii="Symbol" w:cs="Symbol" w:eastAsia="Symbol" w:hAnsi="Symbol"/>
          <w:sz w:val="19"/>
          <w:szCs w:val="19"/>
          <w:color w:val="auto"/>
        </w:rPr>
      </w:pPr>
      <w:r>
        <w:rPr>
          <w:rFonts w:ascii="Times New Roman" w:cs="Times New Roman" w:eastAsia="Times New Roman" w:hAnsi="Times New Roman"/>
          <w:sz w:val="19"/>
          <w:szCs w:val="19"/>
          <w:i w:val="1"/>
          <w:iCs w:val="1"/>
          <w:color w:val="auto"/>
        </w:rPr>
        <w:t xml:space="preserve">Our Hiring Practices and Policies </w:t>
      </w:r>
      <w:r>
        <w:rPr>
          <w:rFonts w:ascii="Times New Roman" w:cs="Times New Roman" w:eastAsia="Times New Roman" w:hAnsi="Times New Roman"/>
          <w:sz w:val="19"/>
          <w:szCs w:val="19"/>
          <w:color w:val="auto"/>
        </w:rPr>
        <w:t>- Our hiring policies and practices include an Equal Employment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Opportunity Policy, Nondiscrimination and Anti-Harassment Policy and Complaint Procedure, and the Disability Accommodation Policy. We post all open positions to a variety of job boards to ensure we attract diverse candidates. We also collect and analyze employee demographic data to identify current trends.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20"/>
          </w:cols>
          <w:pgMar w:left="1260" w:top="1261" w:right="1260" w:bottom="722" w:gutter="0" w:footer="0" w:header="0"/>
        </w:sectPr>
      </w:pPr>
    </w:p>
    <w:bookmarkStart w:id="13" w:name="page14"/>
    <w:bookmarkEnd w:id="13"/>
    <w:p>
      <w:pPr>
        <w:ind w:left="1080" w:right="160" w:hanging="353"/>
        <w:spacing w:after="0" w:line="247" w:lineRule="auto"/>
        <w:tabs>
          <w:tab w:leader="none" w:pos="108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Training </w:t>
      </w:r>
      <w:r>
        <w:rPr>
          <w:rFonts w:ascii="Times New Roman" w:cs="Times New Roman" w:eastAsia="Times New Roman" w:hAnsi="Times New Roman"/>
          <w:sz w:val="20"/>
          <w:szCs w:val="20"/>
          <w:color w:val="auto"/>
        </w:rPr>
        <w:t>- We provide employees and management with regular training. New hires all complete anti-discrimination and harassment training within 3 months of starting at GCE. Thereafter, all employees complete the training every other year, while management undertakes it annually. We have also provided Implicit Bias Training to all employees.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Awareness</w:t>
      </w:r>
    </w:p>
    <w:p>
      <w:pPr>
        <w:spacing w:after="0" w:line="12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Online education is inherently more environmentally friendly than traditional campus education with a reduction in greenhouse gas (“GHG”) production caused by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materials and there is no shipment required.</w:t>
      </w:r>
    </w:p>
    <w:p>
      <w:pPr>
        <w:spacing w:after="0" w:line="80"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GCE owns a four-story 325,000 square foot administrative building, which includes office space for approximately 2,700 employees, and a parking garage at our headquarters in Phoenix, Arizona. We constructed these facilities in 2016 and, as with every one of our projects over the past 16 years, we designed them to maximize energy efficiency and minimize electricity usage and environmental impact, which ultimately lowers our operating costs. Our headquarters building includes the following design features:</w:t>
      </w:r>
    </w:p>
    <w:p>
      <w:pPr>
        <w:spacing w:after="0" w:line="91" w:lineRule="exact"/>
        <w:rPr>
          <w:sz w:val="20"/>
          <w:szCs w:val="20"/>
          <w:color w:val="auto"/>
        </w:rPr>
      </w:pPr>
    </w:p>
    <w:p>
      <w:pPr>
        <w:ind w:left="1220" w:hanging="363"/>
        <w:spacing w:after="0" w:line="250" w:lineRule="auto"/>
        <w:tabs>
          <w:tab w:leader="none" w:pos="12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North/South Building Orientation - </w:t>
      </w:r>
      <w:r>
        <w:rPr>
          <w:rFonts w:ascii="Times New Roman" w:cs="Times New Roman" w:eastAsia="Times New Roman" w:hAnsi="Times New Roman"/>
          <w:sz w:val="20"/>
          <w:szCs w:val="20"/>
          <w:color w:val="auto"/>
        </w:rPr>
        <w:t>GCE’s office building is orientated with north/south exposure in order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minimize direct sun and thereby reduce power usage. Exterior courtyards were arranged to ensure summer shade thus creating outdoor areas that can be used by our employees throughout the year.</w:t>
      </w:r>
    </w:p>
    <w:p>
      <w:pPr>
        <w:spacing w:after="0" w:line="90" w:lineRule="exact"/>
        <w:rPr>
          <w:rFonts w:ascii="Symbol" w:cs="Symbol" w:eastAsia="Symbol" w:hAnsi="Symbol"/>
          <w:sz w:val="20"/>
          <w:szCs w:val="20"/>
          <w:color w:val="auto"/>
        </w:rPr>
      </w:pPr>
    </w:p>
    <w:p>
      <w:pPr>
        <w:ind w:left="1220" w:right="60" w:hanging="363"/>
        <w:spacing w:after="0" w:line="247" w:lineRule="auto"/>
        <w:tabs>
          <w:tab w:leader="none" w:pos="12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Use of Window Glazing - </w:t>
      </w:r>
      <w:r>
        <w:rPr>
          <w:rFonts w:ascii="Times New Roman" w:cs="Times New Roman" w:eastAsia="Times New Roman" w:hAnsi="Times New Roman"/>
          <w:sz w:val="20"/>
          <w:szCs w:val="20"/>
          <w:color w:val="auto"/>
        </w:rPr>
        <w:t>Our building utilizes significant window glazing to allow for daylighting thus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reducing the need for supplemental electrical lighting. As a result, the building is designed to use just .41 watts per square foot of electrical energy for lighting, which is half of what a typical environmentally efficient building uses.</w:t>
      </w:r>
    </w:p>
    <w:p>
      <w:pPr>
        <w:spacing w:after="0" w:line="91" w:lineRule="exact"/>
        <w:rPr>
          <w:rFonts w:ascii="Symbol" w:cs="Symbol" w:eastAsia="Symbol" w:hAnsi="Symbol"/>
          <w:sz w:val="20"/>
          <w:szCs w:val="20"/>
          <w:color w:val="auto"/>
        </w:rPr>
      </w:pPr>
    </w:p>
    <w:p>
      <w:pPr>
        <w:ind w:left="1220" w:right="80" w:hanging="363"/>
        <w:spacing w:after="0" w:line="247" w:lineRule="auto"/>
        <w:tabs>
          <w:tab w:leader="none" w:pos="12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Reducing Water Consumption - </w:t>
      </w:r>
      <w:r>
        <w:rPr>
          <w:rFonts w:ascii="Times New Roman" w:cs="Times New Roman" w:eastAsia="Times New Roman" w:hAnsi="Times New Roman"/>
          <w:sz w:val="20"/>
          <w:szCs w:val="20"/>
          <w:color w:val="auto"/>
        </w:rPr>
        <w:t>Water usage is another environmental factor for office space that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magnified by the Arizona weather. GCE’s office building utilizes numerous water conservation methods including push-tap faucets, waterless urinals, and a rooftop rainwater collection system for irrigating the landscaping below, which significantly reduces our water consumption.</w:t>
      </w:r>
    </w:p>
    <w:p>
      <w:pPr>
        <w:spacing w:after="0" w:line="92" w:lineRule="exact"/>
        <w:rPr>
          <w:rFonts w:ascii="Symbol" w:cs="Symbol" w:eastAsia="Symbol" w:hAnsi="Symbol"/>
          <w:sz w:val="20"/>
          <w:szCs w:val="20"/>
          <w:color w:val="auto"/>
        </w:rPr>
      </w:pPr>
    </w:p>
    <w:p>
      <w:pPr>
        <w:ind w:left="1220" w:right="40" w:hanging="363"/>
        <w:spacing w:after="0" w:line="251" w:lineRule="auto"/>
        <w:tabs>
          <w:tab w:leader="none" w:pos="12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Other Design Features - </w:t>
      </w:r>
      <w:r>
        <w:rPr>
          <w:rFonts w:ascii="Times New Roman" w:cs="Times New Roman" w:eastAsia="Times New Roman" w:hAnsi="Times New Roman"/>
          <w:sz w:val="20"/>
          <w:szCs w:val="20"/>
          <w:color w:val="auto"/>
        </w:rPr>
        <w:t>Additional environment-friendly design features include low VOC paints, use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recycled building materials, interior and exterior LED light bulbs, motion sensor lighting and implementation of an energy-efficient VRF mechanical system.</w:t>
      </w:r>
    </w:p>
    <w:p>
      <w:pPr>
        <w:spacing w:after="0" w:line="73"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20"/>
          <w:szCs w:val="20"/>
          <w:color w:val="auto"/>
        </w:rPr>
        <w:t>In addition to our efficient facilities, we have undertaken other measures to minimize our environmental impact, including, among others:</w:t>
      </w:r>
    </w:p>
    <w:p>
      <w:pPr>
        <w:spacing w:after="0" w:line="61" w:lineRule="exact"/>
        <w:rPr>
          <w:sz w:val="20"/>
          <w:szCs w:val="20"/>
          <w:color w:val="auto"/>
        </w:rPr>
      </w:pPr>
    </w:p>
    <w:p>
      <w:pPr>
        <w:ind w:left="1220" w:right="460" w:hanging="363"/>
        <w:spacing w:after="0" w:line="262" w:lineRule="auto"/>
        <w:tabs>
          <w:tab w:leader="none" w:pos="122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implementing a Trip Reduction Program, which provides incentives to employees who participate in carpooling or take public transportation to work;</w:t>
      </w:r>
    </w:p>
    <w:p>
      <w:pPr>
        <w:spacing w:after="0" w:line="76" w:lineRule="exact"/>
        <w:rPr>
          <w:rFonts w:ascii="Symbol" w:cs="Symbol" w:eastAsia="Symbol" w:hAnsi="Symbol"/>
          <w:sz w:val="20"/>
          <w:szCs w:val="20"/>
          <w:color w:val="auto"/>
        </w:rPr>
      </w:pPr>
    </w:p>
    <w:p>
      <w:pPr>
        <w:ind w:left="1220" w:hanging="363"/>
        <w:spacing w:after="0"/>
        <w:tabs>
          <w:tab w:leader="none" w:pos="122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providing a telecommute option for a significant number of positions; and</w:t>
      </w:r>
    </w:p>
    <w:p>
      <w:pPr>
        <w:spacing w:after="0" w:line="118" w:lineRule="exact"/>
        <w:rPr>
          <w:rFonts w:ascii="Symbol" w:cs="Symbol" w:eastAsia="Symbol" w:hAnsi="Symbol"/>
          <w:sz w:val="20"/>
          <w:szCs w:val="20"/>
          <w:color w:val="auto"/>
        </w:rPr>
      </w:pPr>
    </w:p>
    <w:p>
      <w:pPr>
        <w:ind w:left="1220" w:right="440" w:hanging="363"/>
        <w:spacing w:after="0" w:line="262" w:lineRule="auto"/>
        <w:tabs>
          <w:tab w:leader="none" w:pos="122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participating in a recycling program aimed at minimizing the volume of waste products generated by GCE.</w:t>
      </w:r>
    </w:p>
    <w:p>
      <w:pPr>
        <w:spacing w:after="0" w:line="61" w:lineRule="exact"/>
        <w:rPr>
          <w:sz w:val="20"/>
          <w:szCs w:val="20"/>
          <w:color w:val="auto"/>
        </w:rPr>
      </w:pPr>
    </w:p>
    <w:p>
      <w:pPr>
        <w:ind w:right="380" w:firstLine="720"/>
        <w:spacing w:after="0" w:line="253" w:lineRule="auto"/>
        <w:rPr>
          <w:sz w:val="20"/>
          <w:szCs w:val="20"/>
          <w:color w:val="auto"/>
        </w:rPr>
      </w:pPr>
      <w:r>
        <w:rPr>
          <w:rFonts w:ascii="Times New Roman" w:cs="Times New Roman" w:eastAsia="Times New Roman" w:hAnsi="Times New Roman"/>
          <w:sz w:val="20"/>
          <w:szCs w:val="20"/>
          <w:color w:val="auto"/>
        </w:rPr>
        <w:t>Due to our significant investment in infrastructure, since March 2020, when the World Health Organization declared the COVID-19 a global pandemic, a significant portion of our diverse workforce is continuing to work remotely. This has not only increased employee satisfaction but has also resulted in savings in the areas of waste, janitorial costs, and travel costs related to business travel and commuting.</w:t>
      </w:r>
    </w:p>
    <w:p>
      <w:pPr>
        <w:spacing w:after="0" w:line="71"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Our off-campus classroom and laboratory sites are all designed with the same efficient footprint in the 45 sites opened as of December 31,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Climate Disclosures</w:t>
      </w:r>
    </w:p>
    <w:p>
      <w:pPr>
        <w:spacing w:after="0" w:line="123"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auto"/>
        </w:rPr>
        <w:t>We do not operate in a high-risk industry for climate risks. We believe that we have low climate risk with respect to our physical environment (e.g., fires, drought, hailstorms, increasing weather pattern changes). A significant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720"/>
          </w:cols>
          <w:pgMar w:left="1260" w:top="1261" w:right="1260" w:bottom="722" w:gutter="0" w:footer="0" w:header="0"/>
        </w:sectPr>
      </w:pPr>
    </w:p>
    <w:bookmarkStart w:id="14" w:name="page15"/>
    <w:bookmarkEnd w:id="14"/>
    <w:p>
      <w:pPr>
        <w:ind w:right="180"/>
        <w:spacing w:after="0" w:line="259" w:lineRule="auto"/>
        <w:rPr>
          <w:sz w:val="20"/>
          <w:szCs w:val="20"/>
          <w:color w:val="auto"/>
        </w:rPr>
      </w:pPr>
      <w:r>
        <w:rPr>
          <w:rFonts w:ascii="Times New Roman" w:cs="Times New Roman" w:eastAsia="Times New Roman" w:hAnsi="Times New Roman"/>
          <w:sz w:val="20"/>
          <w:szCs w:val="20"/>
          <w:color w:val="auto"/>
        </w:rPr>
        <w:t>percentage of our workforce is continuing to work remotely. We have insurance policies in place to cover any damage for our property, plant and equipment. Our Audit Committee is tasked with oversight of climate-related risks for the Company.</w:t>
      </w:r>
    </w:p>
    <w:p>
      <w:pPr>
        <w:spacing w:after="0" w:line="65" w:lineRule="exact"/>
        <w:rPr>
          <w:sz w:val="20"/>
          <w:szCs w:val="20"/>
          <w:color w:val="auto"/>
        </w:rPr>
      </w:pPr>
    </w:p>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auto"/>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spacing w:after="0" w:line="65" w:lineRule="exact"/>
        <w:rPr>
          <w:sz w:val="20"/>
          <w:szCs w:val="20"/>
          <w:color w:val="auto"/>
        </w:rPr>
      </w:pPr>
    </w:p>
    <w:p>
      <w:pPr>
        <w:ind w:right="420" w:firstLine="720"/>
        <w:spacing w:after="0" w:line="278" w:lineRule="auto"/>
        <w:rPr>
          <w:sz w:val="20"/>
          <w:szCs w:val="20"/>
          <w:color w:val="auto"/>
        </w:rPr>
      </w:pPr>
      <w:r>
        <w:rPr>
          <w:rFonts w:ascii="Times New Roman" w:cs="Times New Roman" w:eastAsia="Times New Roman" w:hAnsi="Times New Roman"/>
          <w:sz w:val="20"/>
          <w:szCs w:val="20"/>
          <w:color w:val="auto"/>
        </w:rPr>
        <w:t>We do not have significant risk from a transition to a low -carbon economy, which could result in changing customer behavior. Our customers are university partners located in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123" w:lineRule="exact"/>
        <w:rPr>
          <w:sz w:val="20"/>
          <w:szCs w:val="20"/>
          <w:color w:val="auto"/>
        </w:rPr>
      </w:pPr>
    </w:p>
    <w:p>
      <w:pPr>
        <w:ind w:right="680" w:firstLine="720"/>
        <w:spacing w:after="0" w:line="278" w:lineRule="auto"/>
        <w:rPr>
          <w:sz w:val="20"/>
          <w:szCs w:val="20"/>
          <w:color w:val="auto"/>
        </w:rPr>
      </w:pPr>
      <w:r>
        <w:rPr>
          <w:rFonts w:ascii="Times New Roman" w:cs="Times New Roman" w:eastAsia="Times New Roman" w:hAnsi="Times New Roman"/>
          <w:sz w:val="20"/>
          <w:szCs w:val="20"/>
          <w:color w:val="auto"/>
        </w:rPr>
        <w:t>We believe that effective corporate governance is critical to our ability to create long term value for our stockholders. The following highlights certain key aspects of our corporate governance framework:</w:t>
      </w:r>
    </w:p>
    <w:p>
      <w:pPr>
        <w:spacing w:after="0" w:line="62" w:lineRule="exact"/>
        <w:rPr>
          <w:sz w:val="20"/>
          <w:szCs w:val="20"/>
          <w:color w:val="auto"/>
        </w:rPr>
      </w:pPr>
    </w:p>
    <w:p>
      <w:pPr>
        <w:ind w:left="1080" w:right="80" w:hanging="353"/>
        <w:spacing w:after="0" w:line="290" w:lineRule="auto"/>
        <w:tabs>
          <w:tab w:leader="none" w:pos="1080" w:val="left"/>
        </w:tabs>
        <w:numPr>
          <w:ilvl w:val="0"/>
          <w:numId w:val="20"/>
        </w:numPr>
        <w:rPr>
          <w:rFonts w:ascii="Symbol" w:cs="Symbol" w:eastAsia="Symbol" w:hAnsi="Symbol"/>
          <w:sz w:val="19"/>
          <w:szCs w:val="19"/>
          <w:color w:val="auto"/>
        </w:rPr>
      </w:pPr>
      <w:r>
        <w:rPr>
          <w:rFonts w:ascii="Times New Roman" w:cs="Times New Roman" w:eastAsia="Times New Roman" w:hAnsi="Times New Roman"/>
          <w:sz w:val="19"/>
          <w:szCs w:val="19"/>
          <w:i w:val="1"/>
          <w:iCs w:val="1"/>
          <w:color w:val="auto"/>
        </w:rPr>
        <w:t xml:space="preserve">We Have an Independent and Diverse Board - </w:t>
      </w:r>
      <w:r>
        <w:rPr>
          <w:rFonts w:ascii="Times New Roman" w:cs="Times New Roman" w:eastAsia="Times New Roman" w:hAnsi="Times New Roman"/>
          <w:sz w:val="19"/>
          <w:szCs w:val="19"/>
          <w:color w:val="auto"/>
        </w:rPr>
        <w:t>Five of our six directors are independent. Three of our six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directors are diverse persons, and two of our directors identify with an under-represented diverse ethnicity.</w:t>
      </w:r>
    </w:p>
    <w:p>
      <w:pPr>
        <w:spacing w:after="0" w:line="48" w:lineRule="exact"/>
        <w:rPr>
          <w:rFonts w:ascii="Symbol" w:cs="Symbol" w:eastAsia="Symbol" w:hAnsi="Symbol"/>
          <w:sz w:val="19"/>
          <w:szCs w:val="19"/>
          <w:color w:val="auto"/>
        </w:rPr>
      </w:pPr>
    </w:p>
    <w:p>
      <w:pPr>
        <w:ind w:left="1080" w:right="100" w:hanging="353"/>
        <w:spacing w:after="0" w:line="262" w:lineRule="auto"/>
        <w:tabs>
          <w:tab w:leader="none" w:pos="10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We Have Majority Voting for Directors - </w:t>
      </w:r>
      <w:r>
        <w:rPr>
          <w:rFonts w:ascii="Times New Roman" w:cs="Times New Roman" w:eastAsia="Times New Roman" w:hAnsi="Times New Roman"/>
          <w:sz w:val="20"/>
          <w:szCs w:val="20"/>
          <w:color w:val="auto"/>
        </w:rPr>
        <w:t>We have adopted majority voting for directors pursuant to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nominees who fail to achieve an affirmative majority of votes cast must submit their resignation.</w:t>
      </w:r>
    </w:p>
    <w:p>
      <w:pPr>
        <w:spacing w:after="0" w:line="76" w:lineRule="exact"/>
        <w:rPr>
          <w:rFonts w:ascii="Symbol" w:cs="Symbol" w:eastAsia="Symbol" w:hAnsi="Symbol"/>
          <w:sz w:val="20"/>
          <w:szCs w:val="20"/>
          <w:color w:val="auto"/>
        </w:rPr>
      </w:pPr>
    </w:p>
    <w:p>
      <w:pPr>
        <w:ind w:left="1080" w:hanging="353"/>
        <w:spacing w:after="0"/>
        <w:tabs>
          <w:tab w:leader="none" w:pos="10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We Hold Annual Elections for Directors - </w:t>
      </w:r>
      <w:r>
        <w:rPr>
          <w:rFonts w:ascii="Times New Roman" w:cs="Times New Roman" w:eastAsia="Times New Roman" w:hAnsi="Times New Roman"/>
          <w:sz w:val="20"/>
          <w:szCs w:val="20"/>
          <w:color w:val="auto"/>
        </w:rPr>
        <w:t>We do not have a staggered board.</w:t>
      </w:r>
    </w:p>
    <w:p>
      <w:pPr>
        <w:spacing w:after="0" w:line="118" w:lineRule="exact"/>
        <w:rPr>
          <w:rFonts w:ascii="Symbol" w:cs="Symbol" w:eastAsia="Symbol" w:hAnsi="Symbol"/>
          <w:sz w:val="20"/>
          <w:szCs w:val="20"/>
          <w:color w:val="auto"/>
        </w:rPr>
      </w:pPr>
    </w:p>
    <w:p>
      <w:pPr>
        <w:ind w:left="1080" w:right="1020" w:hanging="353"/>
        <w:spacing w:after="0" w:line="262" w:lineRule="auto"/>
        <w:tabs>
          <w:tab w:leader="none" w:pos="10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We Assess Board Performance - </w:t>
      </w:r>
      <w:r>
        <w:rPr>
          <w:rFonts w:ascii="Times New Roman" w:cs="Times New Roman" w:eastAsia="Times New Roman" w:hAnsi="Times New Roman"/>
          <w:sz w:val="20"/>
          <w:szCs w:val="20"/>
          <w:color w:val="auto"/>
        </w:rPr>
        <w:t>We conduct regular evaluations of our Board of Directors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Committees.</w:t>
      </w:r>
    </w:p>
    <w:p>
      <w:pPr>
        <w:spacing w:after="0" w:line="75" w:lineRule="exact"/>
        <w:rPr>
          <w:rFonts w:ascii="Symbol" w:cs="Symbol" w:eastAsia="Symbol" w:hAnsi="Symbol"/>
          <w:sz w:val="20"/>
          <w:szCs w:val="20"/>
          <w:color w:val="auto"/>
        </w:rPr>
      </w:pPr>
    </w:p>
    <w:p>
      <w:pPr>
        <w:ind w:left="1080" w:right="540" w:hanging="353"/>
        <w:spacing w:after="0" w:line="262" w:lineRule="auto"/>
        <w:tabs>
          <w:tab w:leader="none" w:pos="10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Our Independent Directors Meet Without Management - </w:t>
      </w:r>
      <w:r>
        <w:rPr>
          <w:rFonts w:ascii="Times New Roman" w:cs="Times New Roman" w:eastAsia="Times New Roman" w:hAnsi="Times New Roman"/>
          <w:sz w:val="20"/>
          <w:szCs w:val="20"/>
          <w:color w:val="auto"/>
        </w:rPr>
        <w:t>Our independent directors meet regularly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sessions without management present.</w:t>
      </w:r>
    </w:p>
    <w:p>
      <w:pPr>
        <w:spacing w:after="0" w:line="75" w:lineRule="exact"/>
        <w:rPr>
          <w:rFonts w:ascii="Symbol" w:cs="Symbol" w:eastAsia="Symbol" w:hAnsi="Symbol"/>
          <w:sz w:val="20"/>
          <w:szCs w:val="20"/>
          <w:color w:val="auto"/>
        </w:rPr>
      </w:pPr>
    </w:p>
    <w:p>
      <w:pPr>
        <w:ind w:left="1080" w:right="300" w:hanging="353"/>
        <w:spacing w:after="0" w:line="262" w:lineRule="auto"/>
        <w:tabs>
          <w:tab w:leader="none" w:pos="10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We Have a Stock Ownership Policy - </w:t>
      </w:r>
      <w:r>
        <w:rPr>
          <w:rFonts w:ascii="Times New Roman" w:cs="Times New Roman" w:eastAsia="Times New Roman" w:hAnsi="Times New Roman"/>
          <w:sz w:val="20"/>
          <w:szCs w:val="20"/>
          <w:color w:val="auto"/>
        </w:rPr>
        <w:t>We require both our named executive officers and our directors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maintain a meaningful ownership stake at levels specified in our stock ownership policy.</w:t>
      </w:r>
    </w:p>
    <w:p>
      <w:pPr>
        <w:spacing w:after="0" w:line="76" w:lineRule="exact"/>
        <w:rPr>
          <w:rFonts w:ascii="Symbol" w:cs="Symbol" w:eastAsia="Symbol" w:hAnsi="Symbol"/>
          <w:sz w:val="20"/>
          <w:szCs w:val="20"/>
          <w:color w:val="auto"/>
        </w:rPr>
      </w:pPr>
    </w:p>
    <w:p>
      <w:pPr>
        <w:ind w:left="1080" w:right="140" w:hanging="353"/>
        <w:spacing w:after="0" w:line="262" w:lineRule="auto"/>
        <w:tabs>
          <w:tab w:leader="none" w:pos="10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Our Key Committees are Independent - </w:t>
      </w:r>
      <w:r>
        <w:rPr>
          <w:rFonts w:ascii="Times New Roman" w:cs="Times New Roman" w:eastAsia="Times New Roman" w:hAnsi="Times New Roman"/>
          <w:sz w:val="20"/>
          <w:szCs w:val="20"/>
          <w:color w:val="auto"/>
        </w:rPr>
        <w:t>We have fully independent Audit, Compensation and Nominating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Corporate Governance Committees.</w:t>
      </w:r>
    </w:p>
    <w:p>
      <w:pPr>
        <w:spacing w:after="0" w:line="75" w:lineRule="exact"/>
        <w:rPr>
          <w:rFonts w:ascii="Symbol" w:cs="Symbol" w:eastAsia="Symbol" w:hAnsi="Symbol"/>
          <w:sz w:val="20"/>
          <w:szCs w:val="20"/>
          <w:color w:val="auto"/>
        </w:rPr>
      </w:pPr>
    </w:p>
    <w:p>
      <w:pPr>
        <w:ind w:left="1080" w:hanging="353"/>
        <w:spacing w:after="0"/>
        <w:tabs>
          <w:tab w:leader="none" w:pos="10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We Do Not Have a “Poison Pill” </w:t>
      </w:r>
      <w:r>
        <w:rPr>
          <w:rFonts w:ascii="Times New Roman" w:cs="Times New Roman" w:eastAsia="Times New Roman" w:hAnsi="Times New Roman"/>
          <w:sz w:val="20"/>
          <w:szCs w:val="20"/>
          <w:color w:val="auto"/>
        </w:rPr>
        <w:t>- We do not maintain a stockholder rights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2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Our service revenue normally fluctuates due to changes in our university partners’ enrollment which tends to be higher in the Spring and Fall periods and lower in the Summer. Our expenses do not normally fluctuate significantly during the year which results in fluctuations in operating income between quarters. See “Item 7, </w:t>
      </w:r>
      <w:r>
        <w:rPr>
          <w:rFonts w:ascii="Times New Roman" w:cs="Times New Roman" w:eastAsia="Times New Roman" w:hAnsi="Times New Roman"/>
          <w:sz w:val="20"/>
          <w:szCs w:val="20"/>
          <w:i w:val="1"/>
          <w:iCs w:val="1"/>
          <w:color w:val="auto"/>
        </w:rPr>
        <w:t>Management’s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Discussion and Analysis of Financial Condition and Results of Operations – Seasonality</w:t>
      </w:r>
      <w:r>
        <w:rPr>
          <w:rFonts w:ascii="Times New Roman" w:cs="Times New Roman" w:eastAsia="Times New Roman" w:hAnsi="Times New Roman"/>
          <w:sz w:val="20"/>
          <w:szCs w:val="20"/>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3"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The largest companies in this sector have historically been Pearson Online Learning Services, Academic Partnerships and 2U, Inc.</w:t>
      </w:r>
    </w:p>
    <w:p>
      <w:pPr>
        <w:spacing w:after="0" w:line="8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education services market, particularly with regard to those companies that help traditional universities develop new degree programs often delivered online, has historically been characterized by a full-service, revenue-sharing model, based on the premise that most traditional institutions are not only operationally unprepared to offer these programs at scale but also are not equipped to make the significant upfront investments necessary to develop these programs organically. In recent years, an alternative unbundled fee-for-service model has emerged, in which the companies offer the same services, or some subset of services, for the market price of those services. Finally, other industry providers affiliate with university partners to offer massive open online courses, which are aimed at unlimited participation and open access via the web at little or no cost to the student.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00"/>
          </w:cols>
          <w:pgMar w:left="1260" w:top="1246" w:right="1280" w:bottom="722" w:gutter="0" w:footer="0" w:header="0"/>
        </w:sectPr>
      </w:pPr>
    </w:p>
    <w:bookmarkStart w:id="15" w:name="page16"/>
    <w:bookmarkEnd w:id="15"/>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80" w:lineRule="exact"/>
        <w:rPr>
          <w:sz w:val="20"/>
          <w:szCs w:val="20"/>
          <w:color w:val="auto"/>
        </w:rPr>
      </w:pPr>
    </w:p>
    <w:p>
      <w:pPr>
        <w:ind w:left="1080" w:hanging="353"/>
        <w:spacing w:after="0"/>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reputation and brand awareness;</w:t>
      </w:r>
    </w:p>
    <w:p>
      <w:pPr>
        <w:spacing w:after="0" w:line="21" w:lineRule="exact"/>
        <w:rPr>
          <w:rFonts w:ascii="Symbol" w:cs="Symbol" w:eastAsia="Symbol" w:hAnsi="Symbol"/>
          <w:sz w:val="20"/>
          <w:szCs w:val="20"/>
          <w:color w:val="auto"/>
        </w:rPr>
      </w:pPr>
    </w:p>
    <w:p>
      <w:pPr>
        <w:ind w:left="1080" w:hanging="353"/>
        <w:spacing w:after="0"/>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quality of university partner base and performance track record;</w:t>
      </w:r>
    </w:p>
    <w:p>
      <w:pPr>
        <w:ind w:left="1080" w:hanging="353"/>
        <w:spacing w:after="0"/>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effectiveness of marketing and sales efforts;</w:t>
      </w:r>
    </w:p>
    <w:p>
      <w:pPr>
        <w:ind w:left="1080" w:hanging="353"/>
        <w:spacing w:after="0" w:line="238" w:lineRule="auto"/>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robustness and evolution of technology solutions;</w:t>
      </w:r>
    </w:p>
    <w:p>
      <w:pPr>
        <w:ind w:left="1080" w:hanging="353"/>
        <w:spacing w:after="0"/>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breadth and depth of services offerings;</w:t>
      </w:r>
    </w:p>
    <w:p>
      <w:pPr>
        <w:ind w:left="1080" w:hanging="353"/>
        <w:spacing w:after="0" w:line="238" w:lineRule="auto"/>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convenient, flexible and dependable access to programs and classes;</w:t>
      </w:r>
    </w:p>
    <w:p>
      <w:pPr>
        <w:ind w:left="1080" w:hanging="353"/>
        <w:spacing w:after="0"/>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of student support services;</w:t>
      </w:r>
    </w:p>
    <w:p>
      <w:pPr>
        <w:ind w:left="1080" w:hanging="353"/>
        <w:spacing w:after="0"/>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quality of student and faculty experience;</w:t>
      </w:r>
    </w:p>
    <w:p>
      <w:pPr>
        <w:ind w:left="1080" w:hanging="353"/>
        <w:spacing w:after="0" w:line="238" w:lineRule="auto"/>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cost of programs; and</w:t>
      </w:r>
    </w:p>
    <w:p>
      <w:pPr>
        <w:ind w:left="1080" w:hanging="353"/>
        <w:spacing w:after="0"/>
        <w:tabs>
          <w:tab w:leader="none" w:pos="10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time necessary to earn a degree.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Proprietary Rights</w:t>
      </w:r>
    </w:p>
    <w:p>
      <w:pPr>
        <w:spacing w:after="0" w:line="12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auto"/>
        </w:rPr>
        <w:t>We were incorporated as a Delaware corporation in 2008 and completed our initial public offering in November 2008. Our principal executive offices are located at 2600 West Camelback Road, Phoenix, Arizona 85017, our telephone number is (602) 247 - 4400 and our Internet address is www.gce.com.</w:t>
      </w:r>
    </w:p>
    <w:p>
      <w:pPr>
        <w:spacing w:after="0" w:line="6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We make available free of charge on our website our Annual Report on Form 10 - K, Quarterly Reports on Form 10 - Q, Current Reports on Form 8 - 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(the “SEC”). In addition, our earnings conference calls are web cast live via our website. In addition 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00"/>
          </w:cols>
          <w:pgMar w:left="1260" w:top="1246" w:right="1280" w:bottom="722"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REGULATION OF OUR EDUCATION SERVICES BUSINESS</w:t>
      </w:r>
    </w:p>
    <w:p>
      <w:pPr>
        <w:spacing w:after="0" w:line="243"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Prior to July 1, 2018, GCE, owned and operated GCU. On July 1, 2018, GCE sold GCU to an independent, Arizona non-profit corporation (the “Transaction”). As a result of the Transaction, we no longer own and operate an institution of higher education, nor do we directly participate in Title IV programs regulated and overseen by ED under the Higher Education Act (“HEA”). Instead, we operate as an education service company to institutions of higher education that do participate in Title IV programs. Nevertheless, we are required to comply with certain regulations promulgated by ED for the following reasons:</w:t>
      </w:r>
    </w:p>
    <w:p>
      <w:pPr>
        <w:spacing w:after="0" w:line="94" w:lineRule="exact"/>
        <w:rPr>
          <w:sz w:val="20"/>
          <w:szCs w:val="20"/>
          <w:color w:val="auto"/>
        </w:rPr>
      </w:pPr>
    </w:p>
    <w:p>
      <w:pPr>
        <w:ind w:left="1080" w:hanging="353"/>
        <w:spacing w:after="0" w:line="243" w:lineRule="auto"/>
        <w:tabs>
          <w:tab w:leader="none" w:pos="10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ED, and be certified as an eligible institution by ED.</w:t>
      </w:r>
    </w:p>
    <w:p>
      <w:pPr>
        <w:spacing w:after="0" w:line="99" w:lineRule="exact"/>
        <w:rPr>
          <w:rFonts w:ascii="Symbol" w:cs="Symbol" w:eastAsia="Symbol" w:hAnsi="Symbol"/>
          <w:sz w:val="20"/>
          <w:szCs w:val="20"/>
          <w:color w:val="auto"/>
        </w:rPr>
      </w:pPr>
    </w:p>
    <w:p>
      <w:pPr>
        <w:ind w:left="1080" w:right="80" w:hanging="353"/>
        <w:spacing w:after="0" w:line="242" w:lineRule="auto"/>
        <w:tabs>
          <w:tab w:leader="none" w:pos="10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87" w:lineRule="exact"/>
        <w:rPr>
          <w:sz w:val="20"/>
          <w:szCs w:val="20"/>
          <w:color w:val="auto"/>
        </w:rPr>
      </w:pPr>
    </w:p>
    <w:p>
      <w:pPr>
        <w:ind w:left="1800" w:right="180" w:hanging="353"/>
        <w:spacing w:after="0" w:line="247" w:lineRule="auto"/>
        <w:tabs>
          <w:tab w:leader="none" w:pos="1800" w:val="left"/>
        </w:tabs>
        <w:numPr>
          <w:ilvl w:val="0"/>
          <w:numId w:val="2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Comply with all statutory provisions of or applicable to Title IV of the HEA, including the requirement to use any funds that the servicer administers under any Title IV program and any interest or other earnings thereon solely for the purposes specified in and in accordance with that program;</w:t>
      </w:r>
    </w:p>
    <w:p>
      <w:pPr>
        <w:spacing w:after="0" w:line="76" w:lineRule="exact"/>
        <w:rPr>
          <w:sz w:val="20"/>
          <w:szCs w:val="20"/>
          <w:color w:val="auto"/>
        </w:rPr>
      </w:pPr>
    </w:p>
    <w:p>
      <w:pPr>
        <w:ind w:left="1800" w:right="180" w:hanging="353"/>
        <w:spacing w:after="0" w:line="245" w:lineRule="auto"/>
        <w:tabs>
          <w:tab w:leader="none" w:pos="1800" w:val="left"/>
        </w:tabs>
        <w:numPr>
          <w:ilvl w:val="0"/>
          <w:numId w:val="2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program or an applicant for Title IV program assistance might have engaged in fraud or other criminal misconduct in connection with his or her application; and</w:t>
      </w:r>
    </w:p>
    <w:p>
      <w:pPr>
        <w:spacing w:after="0" w:line="79" w:lineRule="exact"/>
        <w:rPr>
          <w:sz w:val="20"/>
          <w:szCs w:val="20"/>
          <w:color w:val="auto"/>
        </w:rPr>
      </w:pPr>
    </w:p>
    <w:p>
      <w:pPr>
        <w:ind w:left="1800" w:right="40" w:hanging="353"/>
        <w:spacing w:after="0" w:line="247" w:lineRule="auto"/>
        <w:tabs>
          <w:tab w:leader="none" w:pos="1800" w:val="left"/>
        </w:tabs>
        <w:numPr>
          <w:ilvl w:val="0"/>
          <w:numId w:val="2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76"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We are also subject to a number of data security and privacy regulations given our role as a third- party service provider, the compliance with which can materially impact our business model. In addition, as more fully described below, we are subject to some of the regulations imposed on our university partners by virtue of the nature of the services we provide.</w:t>
      </w:r>
    </w:p>
    <w:p>
      <w:pPr>
        <w:spacing w:after="0" w:line="73"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HEA and the regulations promulgated thereunder are frequently revised, repealed or expanded and the scope of services covered by regulations may evolve and change over time.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partners.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For example, in February 2023, ED released DCL 23 - 03, a guidance document expanding the definition of what activities are considered as third-party servicer activities.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20"/>
          </w:cols>
          <w:pgMar w:left="1260" w:top="1243" w:right="1260" w:bottom="722" w:gutter="0" w:footer="0" w:header="0"/>
        </w:sectPr>
      </w:pPr>
    </w:p>
    <w:bookmarkStart w:id="17" w:name="page18"/>
    <w:bookmarkEnd w:id="17"/>
    <w:p>
      <w:pPr>
        <w:ind w:right="20"/>
        <w:spacing w:after="0" w:line="246" w:lineRule="auto"/>
        <w:rPr>
          <w:sz w:val="20"/>
          <w:szCs w:val="20"/>
          <w:color w:val="auto"/>
        </w:rPr>
      </w:pPr>
      <w:r>
        <w:rPr>
          <w:rFonts w:ascii="Times New Roman" w:cs="Times New Roman" w:eastAsia="Times New Roman" w:hAnsi="Times New Roman"/>
          <w:sz w:val="20"/>
          <w:szCs w:val="20"/>
          <w:color w:val="auto"/>
        </w:rPr>
        <w:t>After substantial community outreach to ED, and a number of notices that the guidance would be delayed, on November 14, 2024, the Department formally rescinded DCL 23-03. Previously issued guidance on this topic (Dear Colleague Letters GEN 12-08, GEN 15-01, GEN 16-15 (as modified by the March 8, 2017 electronic announcement), and GEN-23-08) remains in effect. Regarding data security matters, in Electronic Announcement GEN 23-09, ED stated that “[t]he Department will issue guidance on NIST 800-171 compliance in a future Electronic Announcement.” While it does not appear ED has addressed this issue in 2024 through rulemaking or otherwise, we believe data security is an area of importance and, like all ED guidance, is subject to change and may impact our business model.</w:t>
      </w:r>
    </w:p>
    <w:p>
      <w:pPr>
        <w:spacing w:after="0" w:line="80" w:lineRule="exact"/>
        <w:rPr>
          <w:sz w:val="20"/>
          <w:szCs w:val="20"/>
          <w:color w:val="auto"/>
        </w:rPr>
      </w:pPr>
    </w:p>
    <w:p>
      <w:pPr>
        <w:jc w:val="both"/>
        <w:ind w:right="420" w:firstLine="720"/>
        <w:spacing w:after="0" w:line="305" w:lineRule="auto"/>
        <w:rPr>
          <w:sz w:val="20"/>
          <w:szCs w:val="20"/>
          <w:color w:val="auto"/>
        </w:rPr>
      </w:pPr>
      <w:r>
        <w:rPr>
          <w:rFonts w:ascii="Times New Roman" w:cs="Times New Roman" w:eastAsia="Times New Roman" w:hAnsi="Times New Roman"/>
          <w:sz w:val="19"/>
          <w:szCs w:val="19"/>
          <w:color w:val="auto"/>
        </w:rPr>
        <w:t>We are also regulated (depending upon the applicable activity being regulated) by other federal agencies or departments including the SEC, the Internal Revenue Service (“IRS”), and the Federal Trade Commission (“FTC”).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REGULATION OF OUR UNIVERSITY PARTNERS</w:t>
      </w:r>
    </w:p>
    <w:p>
      <w:pPr>
        <w:spacing w:after="0" w:line="24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Institutions of higher education in America are subject to extensive regulation by state post-secondary, licensure and certification agencies, accrediting commissions, and the federal government through ED under the HEA, as well as (depending upon the applicable activity being regulated) other federal agencies and departments including the U.S. Department of Veterans Affairs (“VA”), the FTC, the IRS, and for institutions who issue bonds, the SEC. The regulations, standards, and policies of these agencies cover the vast majority of operations of colleges and universities, including educational programs, facilities, instructional and administrative staff, administrative procedures, marketing, recruiting, financing and financial operations, athletics and financial condition.</w:t>
      </w:r>
    </w:p>
    <w:p>
      <w:pPr>
        <w:spacing w:after="0" w:line="8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pacing w:after="0" w:line="81"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Although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as an education services provider to institutions of higher education generally.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 Post-Secondary Education Regulation</w:t>
      </w:r>
    </w:p>
    <w:p>
      <w:pPr>
        <w:spacing w:after="0" w:line="12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Our university partners are authorized to offer education by the relevant state authorizing agencies for the state in which such university partner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State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pacing w:after="0" w:line="86"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auto"/>
        </w:rPr>
        <w:t>State regulatory requirements for online education have historically varied among the states. To address this issue and to meet ED requirements many schools have applied and been approved to be institutional participants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 administered by the Western Interstate Commission for Higher Education (referred to as W-SARA). There is a yearly renewal for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20"/>
          </w:cols>
          <w:pgMar w:left="1260" w:top="1246" w:right="1260" w:bottom="722" w:gutter="0" w:footer="0" w:header="0"/>
        </w:sectPr>
      </w:pPr>
    </w:p>
    <w:bookmarkStart w:id="18" w:name="page19"/>
    <w:bookmarkEnd w:id="18"/>
    <w:p>
      <w:pPr>
        <w:ind w:right="120"/>
        <w:spacing w:after="0" w:line="278" w:lineRule="auto"/>
        <w:rPr>
          <w:sz w:val="20"/>
          <w:szCs w:val="20"/>
          <w:color w:val="auto"/>
        </w:rPr>
      </w:pPr>
      <w:r>
        <w:rPr>
          <w:rFonts w:ascii="Times New Roman" w:cs="Times New Roman" w:eastAsia="Times New Roman" w:hAnsi="Times New Roman"/>
          <w:sz w:val="20"/>
          <w:szCs w:val="20"/>
          <w:color w:val="auto"/>
        </w:rPr>
        <w:t>participating in NC-SARA and AZ- SARA and institutions must agree to meet certain requirements to participate. As of December 31, 2024, all states other than California are members of SARA.</w:t>
      </w:r>
    </w:p>
    <w:p>
      <w:pPr>
        <w:spacing w:after="0" w:line="4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Any state that does not participate in SARA may impose regulatory requirements on out-of-state post-secondary institutions operating within its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non-SARA jurisdiction, or fails to obtain licenses or authorizations when required, it could lose its license or authorization by that jurisdiction or be subject to other sanctions, including restrictions on its activities in, and fines and penalties imposed by, that jurisdiction, as well as fines, penalties, and sanctions imposed by ED. The loss of licensure or authorization in any non-SARA jurisdiction by a university partner institution could prohibit us from recruiting prospective students or offering services to current students in that jurisdiction, which could significantly reduce such university partner’s enrollments.</w:t>
      </w:r>
    </w:p>
    <w:p>
      <w:pPr>
        <w:spacing w:after="0" w:line="81"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 In addition, state laws can indirectly regulate how we provide its services to its university partners. For example, some states have considered new requirements that would dictate what information we must convey to students and prospective students and impose reporting requirements related to the nature of our services. To the extent such requirements were ultimately enacted into law, they could significantly affect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 Professional Licensure</w:t>
      </w:r>
    </w:p>
    <w:p>
      <w:pPr>
        <w:spacing w:after="0" w:line="123" w:lineRule="exact"/>
        <w:rPr>
          <w:sz w:val="20"/>
          <w:szCs w:val="20"/>
          <w:color w:val="auto"/>
        </w:rPr>
      </w:pPr>
    </w:p>
    <w:p>
      <w:pPr>
        <w:jc w:val="both"/>
        <w:ind w:right="120" w:firstLine="720"/>
        <w:spacing w:after="0" w:line="252" w:lineRule="auto"/>
        <w:rPr>
          <w:sz w:val="20"/>
          <w:szCs w:val="20"/>
          <w:color w:val="auto"/>
        </w:rPr>
      </w:pPr>
      <w:r>
        <w:rPr>
          <w:rFonts w:ascii="Times New Roman" w:cs="Times New Roman" w:eastAsia="Times New Roman" w:hAnsi="Times New Roman"/>
          <w:sz w:val="20"/>
          <w:szCs w:val="20"/>
          <w:color w:val="auto"/>
        </w:rPr>
        <w:t>Many states have specific requirements that an individual must satisfy in order to be licensed as a professional in specified fields, including fields such as healthcare, education,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89" w:lineRule="exact"/>
        <w:rPr>
          <w:sz w:val="20"/>
          <w:szCs w:val="20"/>
          <w:color w:val="auto"/>
        </w:rPr>
      </w:pPr>
    </w:p>
    <w:p>
      <w:pPr>
        <w:ind w:left="1080" w:right="180" w:hanging="353"/>
        <w:spacing w:after="0" w:line="250" w:lineRule="auto"/>
        <w:tabs>
          <w:tab w:leader="none" w:pos="10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the institution and the program were approved by the state in which the graduate seeks licensure, or by a professional association;</w:t>
      </w:r>
    </w:p>
    <w:p>
      <w:pPr>
        <w:ind w:left="1080" w:right="60" w:hanging="353"/>
        <w:spacing w:after="0"/>
        <w:tabs>
          <w:tab w:leader="none" w:pos="10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the program from which the student graduated meets all requirements for professional licensure in that state;</w:t>
      </w:r>
    </w:p>
    <w:p>
      <w:pPr>
        <w:ind w:left="1080" w:hanging="353"/>
        <w:spacing w:after="0" w:line="238" w:lineRule="auto"/>
        <w:tabs>
          <w:tab w:leader="none" w:pos="10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the institution and the program are accredited and, if so, by what accrediting commissions; and</w:t>
      </w:r>
    </w:p>
    <w:p>
      <w:pPr>
        <w:ind w:left="1080" w:hanging="353"/>
        <w:spacing w:after="0"/>
        <w:tabs>
          <w:tab w:leader="none" w:pos="10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the institution’s degrees are recognized by other states in which a student may seek to work.</w:t>
      </w:r>
    </w:p>
    <w:p>
      <w:pPr>
        <w:spacing w:after="0" w:line="82"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65"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Prior to opening a new off-campus classroom and laboratory site, university partners often require approval from the applicable state board to offer its programs at that location. This can delay the site opening and timing can vary based on the state and the university partner.</w:t>
      </w:r>
    </w:p>
    <w:p>
      <w:pPr>
        <w:spacing w:after="0" w:line="65"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20"/>
          <w:szCs w:val="20"/>
          <w:color w:val="auto"/>
        </w:rPr>
        <w:t>Although not directly regulated by these entities, we must be mindful of the requirements placed by state professional licensure bodies on our university partner institutions to ensure those institutions maintain that licensure.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Accreditation</w:t>
      </w:r>
    </w:p>
    <w:p>
      <w:pPr>
        <w:spacing w:after="0" w:line="123"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00"/>
          </w:cols>
          <w:pgMar w:left="1260" w:top="1246" w:right="1280" w:bottom="722" w:gutter="0" w:footer="0" w:header="0"/>
        </w:sectPr>
      </w:pPr>
    </w:p>
    <w:bookmarkStart w:id="19" w:name="page20"/>
    <w:bookmarkEnd w:id="19"/>
    <w:p>
      <w:pPr>
        <w:ind w:right="60"/>
        <w:spacing w:after="0" w:line="278" w:lineRule="auto"/>
        <w:rPr>
          <w:sz w:val="20"/>
          <w:szCs w:val="20"/>
          <w:color w:val="auto"/>
        </w:rPr>
      </w:pPr>
      <w:r>
        <w:rPr>
          <w:rFonts w:ascii="Times New Roman" w:cs="Times New Roman" w:eastAsia="Times New Roman" w:hAnsi="Times New Roman"/>
          <w:sz w:val="20"/>
          <w:szCs w:val="20"/>
          <w:color w:val="auto"/>
        </w:rPr>
        <w:t>periodic review by its accrediting commissions to determine whether it continues to meet the performance, integrity and quality required for accreditation.</w:t>
      </w:r>
    </w:p>
    <w:p>
      <w:pPr>
        <w:spacing w:after="0" w:line="4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Our most significant university partner, GCU has been regionally accredited by the HLC and its predecessor since 1968, most recently obtaining reaccreditation in 2017 for the ten-year period through 2027. The HLC is an accrediting agency recognized by the Secretary of Education and accredits entire institutions of higher education. The HLC has historically been categorized as a regional accreditor.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university.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88"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University partners other than GCU may be accredited by different accrediting bodies that are likely to have standards that are different from those of the HLC. Moreover, our other university partners hold various programmatic accreditations that set additional requirements related to specific programs, including for their nursing programs. As we work with university partners in different regions we will need to work with those accrediting bodies and tailor our services to meet the requirements of those accreditors.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of Federal Student Financial Aid Programs</w:t>
      </w:r>
    </w:p>
    <w:p>
      <w:pPr>
        <w:spacing w:after="0" w:line="123"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73"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80"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Significant regulations and other factors relating to the Title IV programs that could adversely affect us include the following:</w:t>
      </w:r>
    </w:p>
    <w:p>
      <w:pPr>
        <w:spacing w:after="0" w:line="4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Congressional action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Congress must reauthorize the HEA on a periodic basis, usually every five to six years,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the most recent reauthorization through September 30, 2013, occurred in August 2008. The reauthorized HEA 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81"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Eligibility and certification procedures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Each institution must apply periodically to ED for continued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certification to participate in the Title IV programs. Such recertification generally is required every six years, but may be required earlier, including when an institution undergoes a change in control. To the extent ED suspends, limits, modifies, conditions, or terminates any university partner institution’s eligibility to participate in the Title IV, including by disallowing the institution from adding new programs or terminating the institution from Title IV eligibility programs, that action is likely to have a negative impact on our business.</w:t>
      </w:r>
    </w:p>
    <w:p>
      <w:pPr>
        <w:spacing w:after="0" w:line="80"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auto"/>
        </w:rPr>
        <w:t>ED may also grant an institution the ability to participate in Title IV programs on a provisional basis while it completes its review of the institution’s application. For an institution that is certified on a provisional basis, ED may revoke the institution’s certification without advance notice or advance opportunity for the institution to challenge that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680"/>
          </w:cols>
          <w:pgMar w:left="1260" w:top="1246" w:right="1300" w:bottom="722" w:gutter="0" w:footer="0" w:header="0"/>
        </w:sectPr>
      </w:pPr>
    </w:p>
    <w:bookmarkStart w:id="20" w:name="page21"/>
    <w:bookmarkEnd w:id="20"/>
    <w:p>
      <w:pPr>
        <w:spacing w:after="0" w:line="249" w:lineRule="auto"/>
        <w:rPr>
          <w:sz w:val="20"/>
          <w:szCs w:val="20"/>
          <w:color w:val="auto"/>
        </w:rPr>
      </w:pPr>
      <w:r>
        <w:rPr>
          <w:rFonts w:ascii="Times New Roman" w:cs="Times New Roman" w:eastAsia="Times New Roman" w:hAnsi="Times New Roman"/>
          <w:sz w:val="20"/>
          <w:szCs w:val="20"/>
          <w:color w:val="auto"/>
        </w:rPr>
        <w:t>action. For an institution that is certified on a month-to-month basis, ED may allow the institution’s certification to expire at the end of any month without advance notice, and without any formal procedure for review of such action. To our knowledge, either such action is very rare and has only occurred upon a determination that an institution is in substantial violation of material Title IV requirements. Our primary university partner, GCU, currently operates under a provisional program participation agreement that expires on June 30, 2026.</w:t>
      </w:r>
    </w:p>
    <w:p>
      <w:pPr>
        <w:spacing w:after="0" w:line="78"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Administrative capability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ED regulations specify extensive criteria by which an institution must establish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 has the requisite “administrative capability” to participate in the Title IV programs. To meet the administrative capability standards, an institution must, among other things:</w:t>
      </w:r>
    </w:p>
    <w:p>
      <w:pPr>
        <w:spacing w:after="0" w:line="83" w:lineRule="exact"/>
        <w:rPr>
          <w:sz w:val="20"/>
          <w:szCs w:val="20"/>
          <w:color w:val="auto"/>
        </w:rPr>
      </w:pPr>
    </w:p>
    <w:p>
      <w:pPr>
        <w:ind w:left="1080" w:hanging="353"/>
        <w:spacing w:after="0"/>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comply with all applicable Title IV program requirements;</w:t>
      </w:r>
    </w:p>
    <w:p>
      <w:pPr>
        <w:spacing w:after="0" w:line="21" w:lineRule="exact"/>
        <w:rPr>
          <w:rFonts w:ascii="Symbol" w:cs="Symbol" w:eastAsia="Symbol" w:hAnsi="Symbol"/>
          <w:sz w:val="20"/>
          <w:szCs w:val="20"/>
          <w:color w:val="auto"/>
        </w:rPr>
      </w:pPr>
    </w:p>
    <w:p>
      <w:pPr>
        <w:ind w:left="1080" w:hanging="353"/>
        <w:spacing w:after="0" w:line="238" w:lineRule="auto"/>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have an adequate number of qualified personnel to administer the Title IV programs;</w:t>
      </w:r>
    </w:p>
    <w:p>
      <w:pPr>
        <w:ind w:left="1080" w:hanging="353"/>
        <w:spacing w:after="0"/>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have acceptable standards for measuring the satisfactory academic progress of its students;</w:t>
      </w:r>
    </w:p>
    <w:p>
      <w:pPr>
        <w:ind w:left="1080" w:hanging="353"/>
        <w:spacing w:after="0" w:line="238" w:lineRule="auto"/>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not have student loan cohort default rates above specified levels;</w:t>
      </w:r>
    </w:p>
    <w:p>
      <w:pPr>
        <w:ind w:left="1080" w:right="700" w:hanging="353"/>
        <w:spacing w:after="0"/>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have various procedures in place for awarding, disbursing and safeguarding Title IV funds and for maintaining required records;</w:t>
      </w:r>
    </w:p>
    <w:p>
      <w:pPr>
        <w:ind w:left="1080" w:hanging="353"/>
        <w:spacing w:after="0" w:line="238" w:lineRule="auto"/>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administer the Title IV programs with adequate checks and balances in its system of internal controls;</w:t>
      </w:r>
    </w:p>
    <w:p>
      <w:pPr>
        <w:ind w:left="1080" w:right="260" w:hanging="353"/>
        <w:spacing w:after="0"/>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not be, and not have any principal or affiliate who is, debarred or suspended from federal contracting or engaging in activity that is cause for debarment or suspension;</w:t>
      </w:r>
    </w:p>
    <w:p>
      <w:pPr>
        <w:ind w:left="1080" w:hanging="353"/>
        <w:spacing w:after="0" w:line="238" w:lineRule="auto"/>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provide financial aid counseling to its students;</w:t>
      </w:r>
    </w:p>
    <w:p>
      <w:pPr>
        <w:ind w:left="1080" w:right="320" w:hanging="353"/>
        <w:spacing w:after="0" w:line="239" w:lineRule="auto"/>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2" w:lineRule="exact"/>
        <w:rPr>
          <w:rFonts w:ascii="Symbol" w:cs="Symbol" w:eastAsia="Symbol" w:hAnsi="Symbol"/>
          <w:sz w:val="20"/>
          <w:szCs w:val="20"/>
          <w:color w:val="auto"/>
        </w:rPr>
      </w:pPr>
    </w:p>
    <w:p>
      <w:pPr>
        <w:ind w:left="1080" w:hanging="353"/>
        <w:spacing w:after="0"/>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submit all required reports and consolidated financial statements in a timely manner; and</w:t>
      </w:r>
    </w:p>
    <w:p>
      <w:pPr>
        <w:ind w:left="1080" w:hanging="353"/>
        <w:spacing w:after="0"/>
        <w:tabs>
          <w:tab w:leader="none" w:pos="10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not otherwise appear to lack administrative capability.</w:t>
      </w:r>
    </w:p>
    <w:p>
      <w:pPr>
        <w:spacing w:after="0" w:line="82"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80" w:lineRule="exact"/>
        <w:rPr>
          <w:sz w:val="20"/>
          <w:szCs w:val="20"/>
          <w:color w:val="auto"/>
        </w:rPr>
      </w:pPr>
    </w:p>
    <w:p>
      <w:pPr>
        <w:ind w:left="1080" w:hanging="353"/>
        <w:spacing w:after="0"/>
        <w:tabs>
          <w:tab w:leader="none" w:pos="10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the institution to repay Title IV funds its students previously received;</w:t>
      </w:r>
    </w:p>
    <w:p>
      <w:pPr>
        <w:spacing w:after="0" w:line="21" w:lineRule="exact"/>
        <w:rPr>
          <w:rFonts w:ascii="Symbol" w:cs="Symbol" w:eastAsia="Symbol" w:hAnsi="Symbol"/>
          <w:sz w:val="20"/>
          <w:szCs w:val="20"/>
          <w:color w:val="auto"/>
        </w:rPr>
      </w:pPr>
    </w:p>
    <w:p>
      <w:pPr>
        <w:ind w:left="1080" w:right="800" w:hanging="353"/>
        <w:spacing w:after="0" w:line="239" w:lineRule="auto"/>
        <w:tabs>
          <w:tab w:leader="none" w:pos="10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transfer the institution from the advance method of payment of Title IV funds to heightened cash monitoring status or the reimbursement system of payment;</w:t>
      </w:r>
    </w:p>
    <w:p>
      <w:pPr>
        <w:spacing w:after="0" w:line="1" w:lineRule="exact"/>
        <w:rPr>
          <w:rFonts w:ascii="Symbol" w:cs="Symbol" w:eastAsia="Symbol" w:hAnsi="Symbol"/>
          <w:sz w:val="20"/>
          <w:szCs w:val="20"/>
          <w:color w:val="auto"/>
        </w:rPr>
      </w:pPr>
    </w:p>
    <w:p>
      <w:pPr>
        <w:ind w:left="1080" w:hanging="353"/>
        <w:spacing w:after="0"/>
        <w:tabs>
          <w:tab w:leader="none" w:pos="10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place the institution on provisional certification status; or</w:t>
      </w:r>
    </w:p>
    <w:p>
      <w:pPr>
        <w:ind w:left="1080" w:right="100" w:hanging="353"/>
        <w:spacing w:after="0" w:line="239" w:lineRule="auto"/>
        <w:tabs>
          <w:tab w:leader="none" w:pos="10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commence a proceeding to impose a fine or to limit, suspend or terminate the institution’s participation in the Title IV programs.</w:t>
      </w:r>
    </w:p>
    <w:p>
      <w:pPr>
        <w:spacing w:after="0" w:line="85"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Imposition of these sanctions on any of our university partners could have a negative impact on our ability to conduct our business.</w:t>
      </w:r>
    </w:p>
    <w:p>
      <w:pPr>
        <w:spacing w:after="0" w:line="4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Financial responsibility. </w:t>
      </w:r>
      <w:r>
        <w:rPr>
          <w:rFonts w:ascii="Times New Roman" w:cs="Times New Roman" w:eastAsia="Times New Roman" w:hAnsi="Times New Roman"/>
          <w:sz w:val="20"/>
          <w:szCs w:val="20"/>
          <w:color w:val="auto"/>
        </w:rPr>
        <w:t>The HEA and ED regulations establish extensive standards of financial responsibility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94" w:lineRule="exact"/>
        <w:rPr>
          <w:sz w:val="20"/>
          <w:szCs w:val="20"/>
          <w:color w:val="auto"/>
        </w:rPr>
      </w:pPr>
    </w:p>
    <w:p>
      <w:pPr>
        <w:ind w:left="1080" w:hanging="353"/>
        <w:spacing w:after="0"/>
        <w:tabs>
          <w:tab w:leader="none" w:pos="10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equity ratio, which measures the institution’s capital resources, financial viability and ability to borrow;</w:t>
      </w:r>
    </w:p>
    <w:p>
      <w:pPr>
        <w:spacing w:after="0" w:line="21" w:lineRule="exact"/>
        <w:rPr>
          <w:rFonts w:ascii="Symbol" w:cs="Symbol" w:eastAsia="Symbol" w:hAnsi="Symbol"/>
          <w:sz w:val="20"/>
          <w:szCs w:val="20"/>
          <w:color w:val="auto"/>
        </w:rPr>
      </w:pPr>
    </w:p>
    <w:p>
      <w:pPr>
        <w:ind w:left="1080" w:right="840" w:hanging="353"/>
        <w:spacing w:after="0" w:line="239" w:lineRule="auto"/>
        <w:tabs>
          <w:tab w:leader="none" w:pos="10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primary reserve ratio, which measures the institution’s ability to support current operations from expendable resources; and</w:t>
      </w:r>
    </w:p>
    <w:p>
      <w:pPr>
        <w:spacing w:after="0" w:line="1" w:lineRule="exact"/>
        <w:rPr>
          <w:rFonts w:ascii="Symbol" w:cs="Symbol" w:eastAsia="Symbol" w:hAnsi="Symbol"/>
          <w:sz w:val="20"/>
          <w:szCs w:val="20"/>
          <w:color w:val="auto"/>
        </w:rPr>
      </w:pPr>
    </w:p>
    <w:p>
      <w:pPr>
        <w:ind w:left="1080" w:hanging="353"/>
        <w:spacing w:after="0"/>
        <w:tabs>
          <w:tab w:leader="none" w:pos="10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net income ratio, which measures the institution’s ability to operate at a profit or within its means.</w:t>
      </w:r>
    </w:p>
    <w:p>
      <w:pPr>
        <w:spacing w:after="0" w:line="82"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ED assigns a strength factor to the results of each of these ratios on a scale from negative 1.0 to positive 3.0, with negative 1.0 reflecting financial weakness and positive 3.0 reflecting financial strength. ED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w:t>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640"/>
          </w:cols>
          <w:pgMar w:left="1260" w:top="1246" w:right="1340" w:bottom="722"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20"/>
          <w:szCs w:val="20"/>
          <w:color w:val="auto"/>
        </w:rPr>
        <w:t>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71"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As an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 number of programs it offers or the number of students it enrolls, any of which sanctions on our university partners could also adversely affect our business. In addition, because other regulators may use the composite score for their purposes, a poor composite score could have additional effects. For example, NC-SARA utilizes an institution’s composite score in determining whether such institution is eligible to participate in SARA.</w:t>
      </w:r>
    </w:p>
    <w:p>
      <w:pPr>
        <w:spacing w:after="0" w:line="88"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Based on the data derived from the audited financial statements of GCU as of each of June 30, 2024 and 2023, GCU’s composite score was 1.9 and 1.8, respectively, using the proprietary school calculation methodology. If GCU’s future composite scores do not exceed 1.5, ED could impose sanctions. If any such sanctions were imposed, it could have a negative impact on our ability to conduct our business.</w:t>
      </w:r>
    </w:p>
    <w:p>
      <w:pPr>
        <w:spacing w:after="0" w:line="71"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Return of Title IV funds for students who withdraw</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When a student who has received Title IV program funds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withdraws 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Additionally, in January 2025, ED published new regulations, that become effective on July 1, 2026, related to a number of areas, including those concerning return to Title IV. We are in the process of reviewing the regulations and have not formed a view as to the impact on our business.</w:t>
      </w:r>
    </w:p>
    <w:p>
      <w:pPr>
        <w:spacing w:after="0" w:line="86"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“90/10 Rule.” </w:t>
      </w:r>
      <w:r>
        <w:rPr>
          <w:rFonts w:ascii="Times New Roman" w:cs="Times New Roman" w:eastAsia="Times New Roman" w:hAnsi="Times New Roman"/>
          <w:sz w:val="20"/>
          <w:szCs w:val="20"/>
          <w:color w:val="auto"/>
        </w:rPr>
        <w:t>A requirement of the HEA, commonly referred to as the “90/10 Rule,” that is applicable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only to 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ED. If an institution’s rate exceeds 90% for any single fiscal year, it will be placed on provisional certification for at least two fiscal years.</w:t>
      </w:r>
    </w:p>
    <w:p>
      <w:pPr>
        <w:spacing w:after="0" w:line="85"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Based on new regulations that went into effect on January 1, 2023, the 90/10 Rule was modified to include tuition assistance programs offered by the U.S. Department of Defense and the U.S. Veterans Administration as part of the 90% threshold, in addition to the Title IV programs already covered by the 90/10 Rule. This means that institutions subject to the 90/10 Rule will be required to limit the combined amount of Title IV funds and applicable “Federal funds” revenue in a fiscal year to no more than 90% in a fiscal year as calculated under the rule, and the change to the 90/10 Rule is thus expected to increase the 90/10 Rule calculations for institutions subject to the rule. Using ED’s cash-basis, regulatory formula under the 90/10 Rule as currently in effect, GCU derived approximately 67.2% and 65.5% of its 90/10 Rule revenue from Title IV program funds for the fiscal years ended June 30, 2024 and 2023, respectively, per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00"/>
          </w:cols>
          <w:pgMar w:left="1260" w:top="1246" w:right="1280" w:bottom="722" w:gutter="0" w:footer="0" w:header="0"/>
        </w:sectPr>
      </w:pPr>
    </w:p>
    <w:bookmarkStart w:id="22" w:name="page23"/>
    <w:bookmarkEnd w:id="22"/>
    <w:p>
      <w:pPr>
        <w:ind w:right="340"/>
        <w:spacing w:after="0" w:line="278" w:lineRule="auto"/>
        <w:rPr>
          <w:sz w:val="20"/>
          <w:szCs w:val="20"/>
          <w:color w:val="auto"/>
        </w:rPr>
      </w:pPr>
      <w:r>
        <w:rPr>
          <w:rFonts w:ascii="Times New Roman" w:cs="Times New Roman" w:eastAsia="Times New Roman" w:hAnsi="Times New Roman"/>
          <w:sz w:val="20"/>
          <w:szCs w:val="20"/>
          <w:color w:val="auto"/>
        </w:rPr>
        <w:t>GCU’s audited financial statements. Accordingly, even if ED continues to treat GCU as a proprietary institution for Title IV purposes, we do not expect this rule to have any material impact on GCU.</w:t>
      </w:r>
    </w:p>
    <w:p>
      <w:pPr>
        <w:spacing w:after="0" w:line="48"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Legislation has been introduced in both chambers of Congress that seeks to further modify the 90/10 Rule, including proposals to change the ratio requirement to 85/15 (federal to nonfederal revenue), or to eliminate the 90/10 Rule. We cannot predict whether or how legislative or regulatory changes will affect the 90/10 Rule.</w:t>
      </w:r>
    </w:p>
    <w:p>
      <w:pPr>
        <w:spacing w:after="0" w:line="6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Student loan defaults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the HEA, an educational institution may lose its eligibility to participate in some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all of 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(known as the “three-year method”).</w:t>
      </w:r>
    </w:p>
    <w:p>
      <w:pPr>
        <w:spacing w:after="0" w:line="80"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30%, ED may place the institution on provisional certification status.</w:t>
      </w:r>
    </w:p>
    <w:p>
      <w:pPr>
        <w:spacing w:after="0" w:line="81"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8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Incentive compensation rule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institution that participates in the Title IV programs may not provide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 bonus, or other incentive payment based directly or indirectly on success in securing enrollments or financial aid to any person or entity engaged in any student recruitment, admissions, or financial aid awarding activity. Since we are involved in recruiting and admission activities on behalf of our university partners, under current regulations,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 work on financial aid matters (if any), any bonus or incentive-based compensation based on the award of financial aid to students enrolled in a postsecondary institution.</w:t>
      </w:r>
    </w:p>
    <w:p>
      <w:pPr>
        <w:spacing w:after="0" w:line="8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addition, the incentive compensation rule raises the question as to whether companies like ours, as an entity, are prohibited from entering into tuition revenue-sharing arrangements with university partners. On March 17, 2011, ED 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2 - B in the DCL is described as a “possible business model” developed “with the statutory mandate in mind.” Example 2 - B describes the following as a possible business model:</w:t>
      </w:r>
    </w:p>
    <w:p>
      <w:pPr>
        <w:spacing w:after="0" w:line="86" w:lineRule="exact"/>
        <w:rPr>
          <w:sz w:val="20"/>
          <w:szCs w:val="20"/>
          <w:color w:val="auto"/>
        </w:rPr>
      </w:pPr>
    </w:p>
    <w:p>
      <w:pPr>
        <w:ind w:left="720" w:right="60"/>
        <w:spacing w:after="0" w:line="258" w:lineRule="auto"/>
        <w:rPr>
          <w:sz w:val="20"/>
          <w:szCs w:val="20"/>
          <w:color w:val="auto"/>
        </w:rPr>
      </w:pPr>
      <w:r>
        <w:rPr>
          <w:rFonts w:ascii="Times New Roman" w:cs="Times New Roman" w:eastAsia="Times New Roman" w:hAnsi="Times New Roman"/>
          <w:sz w:val="20"/>
          <w:szCs w:val="20"/>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660"/>
          </w:cols>
          <w:pgMar w:left="1260" w:top="1246" w:right="1320" w:bottom="722" w:gutter="0" w:footer="0" w:header="0"/>
        </w:sectPr>
      </w:pPr>
    </w:p>
    <w:bookmarkStart w:id="23" w:name="page24"/>
    <w:bookmarkEnd w:id="23"/>
    <w:p>
      <w:pPr>
        <w:ind w:left="720" w:right="40"/>
        <w:spacing w:after="0" w:line="249" w:lineRule="auto"/>
        <w:rPr>
          <w:sz w:val="20"/>
          <w:szCs w:val="20"/>
          <w:color w:val="auto"/>
        </w:rPr>
      </w:pPr>
      <w:r>
        <w:rPr>
          <w:rFonts w:ascii="Times New Roman" w:cs="Times New Roman" w:eastAsia="Times New Roman" w:hAnsi="Times New Roman"/>
          <w:sz w:val="20"/>
          <w:szCs w:val="20"/>
          <w:color w:val="auto"/>
        </w:rPr>
        <w:t>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78" w:lineRule="exact"/>
        <w:rPr>
          <w:sz w:val="20"/>
          <w:szCs w:val="20"/>
          <w:color w:val="auto"/>
        </w:rPr>
      </w:pPr>
    </w:p>
    <w:p>
      <w:pPr>
        <w:ind w:right="320" w:firstLine="720"/>
        <w:spacing w:after="0" w:line="270" w:lineRule="auto"/>
        <w:rPr>
          <w:sz w:val="20"/>
          <w:szCs w:val="20"/>
          <w:color w:val="auto"/>
        </w:rPr>
      </w:pPr>
      <w:r>
        <w:rPr>
          <w:rFonts w:ascii="Times New Roman" w:cs="Times New Roman" w:eastAsia="Times New Roman" w:hAnsi="Times New Roman"/>
          <w:sz w:val="19"/>
          <w:szCs w:val="19"/>
          <w:color w:val="auto"/>
        </w:rPr>
        <w:t>The DCL guidance indicates that an arrangement that complies with Example 2 - B will be deemed to be in compliance with the incentive compensation provisions of the HEA and ED’s regulations. Our business model and contractual arrangements with our university partners closely follow Example 2 - B in the DCL. In addition, we assure that none of our “covered employees” is paid any bonus or other incentive compensation in violation of the rule.</w:t>
      </w:r>
    </w:p>
    <w:p>
      <w:pPr>
        <w:spacing w:after="0" w:line="5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 in ways that could be detrimental to our business.</w:t>
      </w:r>
    </w:p>
    <w:p>
      <w:pPr>
        <w:spacing w:after="0" w:line="80"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Borrower Defense to Repayment regulations</w:t>
      </w:r>
      <w:r>
        <w:rPr>
          <w:rFonts w:ascii="Times New Roman" w:cs="Times New Roman" w:eastAsia="Times New Roman" w:hAnsi="Times New Roman"/>
          <w:sz w:val="20"/>
          <w:szCs w:val="20"/>
          <w:color w:val="auto"/>
        </w:rPr>
        <w:t>. Under the HEA and its implementing regulations, students may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file a claim with ED to discharge their FDL Loans if, generally, they believe their institution misled them or engaged in other misconduct related to the making of their federal loans or the provision of their educational services. This is referred to as a “borrower defense to repayment” or “BDR” claim. The regulations governing the standards and processes pursuant to which BDR claims are adjudicated have been revised multiple times since their introduction in 1994, with the result that the current regulatory framework is extraordinarily complex. It is generally the case that an individual BDR claim would be adjudicated by an ED staff member and any subsequent recoupment process against the applicable institution initiated by ED would be overseen by a hearing official. But the specific standards and processes that apply vary depending on when the underlying loan was made, and certain versions of the law permit the formation of a group claims process by ED.</w:t>
      </w:r>
    </w:p>
    <w:p>
      <w:pPr>
        <w:spacing w:after="0" w:line="82"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In November 2022, the Biden administration promulgated a revised version of the BDR rule, which took effect on July 1, 2023. In August 2023, the U.S. Court of Appeals for the Fifth Circuit issued a nationwide preliminary injunction, enjoining the implementation of the borrower defense and closed school provisions of that rule. While this case is decided, the previous versions of the borrower defense and closed school provisions are in effect.</w:t>
      </w:r>
    </w:p>
    <w:p>
      <w:pPr>
        <w:spacing w:after="0" w:line="73"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Litigation related to the various iterations of the BDR regulations, and the enforcement of these regulations has made this area complicated for all parties to understand and assess. Further, the lack of adjudications in this area has also made things less clear. Nonetheless, if our university partners are determined to have violated this regulation there could be significant sanctions imposed, whether related to the recoupment of any loans extinguished by ED, the imposition of letters of credit, or other sanctions under the financial responsibility or administrative capability regulations (among others) . This could put a financial strain on our university partners and negatively affect our business. Also, if we were determined to have been the cause of the meritorious BDTR claim, our partners may have claims against us.</w:t>
      </w:r>
    </w:p>
    <w:p>
      <w:pPr>
        <w:spacing w:after="0" w:line="83"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Note, the borrower defense to repayment regulations discussed herein were and are extensive and this does not attempt to discuss all the facets of any of the versions of these regulations. We cannot determine what effect, if any, these regulations may have on out university partners or on us.</w:t>
      </w:r>
    </w:p>
    <w:p>
      <w:pPr>
        <w:spacing w:after="0" w:line="6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Compliance reviews. </w:t>
      </w:r>
      <w:r>
        <w:rPr>
          <w:rFonts w:ascii="Times New Roman" w:cs="Times New Roman" w:eastAsia="Times New Roman" w:hAnsi="Times New Roman"/>
          <w:sz w:val="20"/>
          <w:szCs w:val="20"/>
          <w:color w:val="auto"/>
        </w:rPr>
        <w:t>Our university partners institutions are subject to announced and unannounced compliance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reviews and audits 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81"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auto"/>
        </w:rPr>
        <w:t>As a third-party servicer, not only are our university partners subject to reviews and audits that may require our involvement, but we are also subject to program reviews from ED and the Office of the Inspector General. Further, we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20"/>
          </w:cols>
          <w:pgMar w:left="1260" w:top="1246" w:right="1260" w:bottom="722" w:gutter="0" w:footer="0" w:header="0"/>
        </w:sectPr>
      </w:pPr>
    </w:p>
    <w:bookmarkStart w:id="24" w:name="page25"/>
    <w:bookmarkEnd w:id="24"/>
    <w:p>
      <w:pPr>
        <w:ind w:right="420"/>
        <w:spacing w:after="0" w:line="278" w:lineRule="auto"/>
        <w:rPr>
          <w:sz w:val="20"/>
          <w:szCs w:val="20"/>
          <w:color w:val="auto"/>
        </w:rPr>
      </w:pPr>
      <w:r>
        <w:rPr>
          <w:rFonts w:ascii="Times New Roman" w:cs="Times New Roman" w:eastAsia="Times New Roman" w:hAnsi="Times New Roman"/>
          <w:sz w:val="20"/>
          <w:szCs w:val="20"/>
          <w:color w:val="auto"/>
        </w:rPr>
        <w:t>also have an obligation to annually submit to ED a Title IV compliance audit conducted by an independent certified public accountant in accordance with applicable federal and ED audit standards.</w:t>
      </w:r>
    </w:p>
    <w:p>
      <w:pPr>
        <w:spacing w:after="0" w:line="4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Gainful employment rule</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the HEA, proprietary schools are eligible to participate in Title IV programs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respect 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 While this change was effective July 1, 2020, ED also permitted institutions to enact this change as early as July 1, 2019, so long as any such institution made manifest its intention to be subject to the rescinded regulations. It is our understanding that GCU had made manifest that intention and, as of July 1, 2019, was no longer subject to the gainful employment rules. Given that GCU is currently our only university partner that is considered a proprietary school by ED, the gainful employment rules apply to it but not to our other university partners. While GCU largely complied with the previously published gainful employment rules, those rules did indicate that four current degree programs were in the “Zone” – that is, potentially faced sanctions in the future if GCU could not reform the programs to comply with the regulations – including three undergraduate education programs and the Masters in Theology.</w:t>
      </w:r>
    </w:p>
    <w:p>
      <w:pPr>
        <w:spacing w:after="0" w:line="86"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ED published new gainful employment regulations in 2023, which became effective July 1, 2024. These new regulations establish rules for annually evaluating GCU’s educational programs based on the calculation of debt-to-earnings rates (an annual debt-to- earnings rate and a discretionary debt-to-earnings rate) and a median earnings measure. ED will calculate these rates and measures under complex regulatory formulas outlined in the regulations and using data such as student debt (including not only Title IV loans but also certain private loans and extensions of credit), student earnings data, and comparative median earnings data for young working adults with only a high school diploma or GED. If GCU’s programs were to yield debt-to-earnings rates or a median earnings measure that do not comply with regulatory benchmarks for two of three consecutive years, they would lose Title IV eligibility for each of the impacted educational programs. The regulations will also require institutions to provide warnings to current and prospective students for programs in danger of losing Title IV eligibility (which could deter prospective students from enrolling and current students from continuing their respective programs). The regulations also include provisions for providing certifications and reporting data to ED and providing required student disclosures related to gainful employment.</w:t>
      </w:r>
    </w:p>
    <w:p>
      <w:pPr>
        <w:spacing w:after="0" w:line="8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regulations include gainful employment rates and measures that will be based in part on data that is not readily accessible to us or GCU, which makes it difficult for us to predict with certainty how GCU’s educational programs will perform under the new gainful employment benchmarks and the extent to which certain programs could become ineligible for Title IV participation. ED released performance data at the time it published the proposed regulations that calculates rates for each school’s programs while acknowledging that the methodology used to produce the calculations differs from the methodology in the proposed regulations due to limitations in data availability. Because neither we nor GCU nor ED have access to all of the data that will ultimately be used to evaluate GCU’s programs, we cannot predict whether, or the extent to which, GCU’s programs could fail to comply with the new gainful employment benchmarks. Moreover, we do not have control over some of the factors that could impact the rates and measures for GCU’s programs which will limit our ability to eliminate or mitigate the impact of the regulations on us and GCU’s educational programs.</w:t>
      </w:r>
    </w:p>
    <w:p>
      <w:pPr>
        <w:spacing w:after="0" w:line="8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Although we cannot predict how GCU’s programs will perform under the new gainful employment metrics, the performance data released suggests that in general the programs that were in the “Zone” under the previous gainful employment rules - certain undergraduate teacher education and theology programs as well as certain Master’s in Counseling programs - are in jeopardy of failing under the new rules. Given that the primary issue for the undergraduate programs that are in jeopardy of failing the new rules is not high average debt levels but rather relatively low earnings rates for first year teachers, it will be difficult for GCU to make material changes to ensure these programs do not fail. The Master’s of Counseling programs that are in jeopardy of failing are long duration programs as required by the programmatic accreditation standards and the Title IV regulations allow graduate students to borrow substantially more than is required to pay tuition. Accordingly, the debt levels for these programs are higher than the university’s average. Thus, the implementation of the new gainful employment regulations could require GCU to eliminate or modify these educational programs, could result in the loss of Title IV program funds for the affected programs, and could have a significant impact on the rate at which students enroll in these programs. In addition, given ED’s continued refusal to recognize GCU’s non-profit status, students in GCU programs that fail the new metrics may lose Title IV eligibility.</w:t>
      </w:r>
    </w:p>
    <w:p>
      <w:pPr>
        <w:spacing w:after="0" w:line="82" w:lineRule="exact"/>
        <w:rPr>
          <w:sz w:val="20"/>
          <w:szCs w:val="20"/>
          <w:color w:val="auto"/>
        </w:rPr>
      </w:pPr>
    </w:p>
    <w:p>
      <w:pPr>
        <w:ind w:right="32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Substantial misrepresentation</w:t>
      </w:r>
      <w:r>
        <w:rPr>
          <w:rFonts w:ascii="Times New Roman" w:cs="Times New Roman" w:eastAsia="Times New Roman" w:hAnsi="Times New Roman"/>
          <w:sz w:val="20"/>
          <w:szCs w:val="20"/>
          <w:color w:val="auto"/>
        </w:rPr>
        <w:t>. The HEA prohibits an institution that participates in Title IV programs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engaging in “substantial misrepresentation” of the nature of its educational program, its financial charges, or the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00"/>
          </w:cols>
          <w:pgMar w:left="1260" w:top="1246" w:right="1280" w:bottom="722" w:gutter="0" w:footer="0" w:header="0"/>
        </w:sectPr>
      </w:pPr>
    </w:p>
    <w:bookmarkStart w:id="25" w:name="page26"/>
    <w:bookmarkEnd w:id="25"/>
    <w:p>
      <w:pPr>
        <w:ind w:right="20"/>
        <w:spacing w:after="0" w:line="249" w:lineRule="auto"/>
        <w:rPr>
          <w:sz w:val="20"/>
          <w:szCs w:val="20"/>
          <w:color w:val="auto"/>
        </w:rPr>
      </w:pPr>
      <w:r>
        <w:rPr>
          <w:rFonts w:ascii="Times New Roman" w:cs="Times New Roman" w:eastAsia="Times New Roman" w:hAnsi="Times New Roman"/>
          <w:sz w:val="20"/>
          <w:szCs w:val="20"/>
          <w:color w:val="auto"/>
        </w:rPr>
        <w:t>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7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6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subcontractors in their conversations with students and prospective students. Additionally, matters regarding substantial misrepresentation, and defining what constitutes “aggressive recruiting,” are currently the subject of negotiated rulemaking. While we are watching this process closely, we cannot determine what the outcome will be or the effect of these regulations on our university partners or on GCE.</w:t>
      </w:r>
    </w:p>
    <w:p>
      <w:pPr>
        <w:spacing w:after="0" w:line="8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Despite our best efforts, we or our university partners may face complaints from our university partners’ students and prospective students over statements made by us and our agents throughout the conduct of our services that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w:t>
      </w:r>
    </w:p>
    <w:p>
      <w:pPr>
        <w:spacing w:after="0" w:line="8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Similar rules apply under state laws or are incorporated in institutional accreditation standards, and the FTC applies similar rules prohibiting any unfair or deceptive marketing practices to the education sector. In October 2021, the FTC announced that it was resurrecting its Penalty Offense Authority under Section 5(m) of the FTC Act. Under the FTC Act, the FTC may secure penalties against entities not a party to an original proceeding if the FTC can show that the entity had actual knowledge that the conduct in question was found to be unfair or deceptive. Entities that have actual knowledge of acts or practices the FTC has found to be unlawful and that subsequently engage in such unlawful acts or practices may be held liable for civil penalties up to $50,120 per violation. Also in October 2021, in an effort to establish actual knowledge and create a pathway for penalties in the event of post-notice acts or practices, the FTC issued notice to the 70 largest for-profit schools based on enrollment and revenues. The notice included a list of acts and practices that the FTC has determined are unfair or deceptive, including but not limited to acts relating to misrepresentation of employment opportunities and other benefits, together with citation to various prior determinations from cases previously litigated by the FTC. Because of ED’s decision to continue to treat GCU as a for-profit institution for Title IV purposes, GCU received this notice. The FTC made clear at that time that receipt of the notice itself did not reflect any assessment as to whether GCU has engaged in deceptive or unfair conduct.</w:t>
      </w:r>
    </w:p>
    <w:p>
      <w:pPr>
        <w:spacing w:after="0" w:line="93" w:lineRule="exact"/>
        <w:rPr>
          <w:sz w:val="20"/>
          <w:szCs w:val="20"/>
          <w:color w:val="auto"/>
        </w:rPr>
      </w:pPr>
    </w:p>
    <w:p>
      <w:pPr>
        <w:jc w:val="both"/>
        <w:ind w:right="580" w:firstLine="720"/>
        <w:spacing w:after="0" w:line="259" w:lineRule="auto"/>
        <w:rPr>
          <w:sz w:val="20"/>
          <w:szCs w:val="20"/>
          <w:color w:val="auto"/>
        </w:rPr>
      </w:pPr>
      <w:r>
        <w:rPr>
          <w:rFonts w:ascii="Times New Roman" w:cs="Times New Roman" w:eastAsia="Times New Roman" w:hAnsi="Times New Roman"/>
          <w:sz w:val="20"/>
          <w:szCs w:val="20"/>
          <w:color w:val="auto"/>
        </w:rPr>
        <w:t>If ED or another regulator determines that statements made by us or on our behalf are in violation of the regulations, we could be subject to sanctions and other liability, which could have a material adverse effect on our business.</w:t>
      </w:r>
    </w:p>
    <w:p>
      <w:pPr>
        <w:spacing w:after="0" w:line="65"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Coordinated actions by certain federal agencies</w:t>
      </w:r>
      <w:r>
        <w:rPr>
          <w:rFonts w:ascii="Times New Roman" w:cs="Times New Roman" w:eastAsia="Times New Roman" w:hAnsi="Times New Roman"/>
          <w:sz w:val="20"/>
          <w:szCs w:val="20"/>
          <w:color w:val="auto"/>
        </w:rPr>
        <w:t>. The Transaction was approved by GCU’s board of trustees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based on its conclusion that it would be in the best interest of GCU’s students, faculty and staff for GCU to operate under the non-profit status that it previously held prior to 2004. Prior to the closing of the Transaction, the IRS, HLC and the State of Arizona approved GCU’s non-profit designation. However, in November 2019, in connection with its approval of the Transaction without conditions, ED informed GCU that GCU does not satisfy ED’s definition of a non-profit entity and, as a result, that ED will continue to treat GCU as a proprietary institution for purposes of its continued participation in Title IV programs. Upon receipt of this determination, GCU and GCE entered into ongoing discussions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720"/>
          </w:cols>
          <w:pgMar w:left="1260" w:top="1246" w:right="1260" w:bottom="722" w:gutter="0" w:footer="0" w:header="0"/>
        </w:sectPr>
      </w:pPr>
    </w:p>
    <w:bookmarkStart w:id="26" w:name="page27"/>
    <w:bookmarkEnd w:id="26"/>
    <w:p>
      <w:pPr>
        <w:ind w:right="20"/>
        <w:spacing w:after="0" w:line="244" w:lineRule="auto"/>
        <w:rPr>
          <w:sz w:val="20"/>
          <w:szCs w:val="20"/>
          <w:color w:val="auto"/>
        </w:rPr>
      </w:pPr>
      <w:r>
        <w:rPr>
          <w:rFonts w:ascii="Times New Roman" w:cs="Times New Roman" w:eastAsia="Times New Roman" w:hAnsi="Times New Roman"/>
          <w:sz w:val="20"/>
          <w:szCs w:val="20"/>
          <w:color w:val="auto"/>
        </w:rPr>
        <w:t>and negotiations that were then provided by GCU to ED regarding proposed changes to the services agreement between GCU and GCE and providing ED, upon request, with an updated transfer pricing study demonstrating that the revenue sharing arrangement reflected in the services agreement reflected fair market value for the services we provide. Despite the ongoing discussions and negotiations, ED again denied GCU’s non-profit status in January 2021. Thereafter, in order to pursue all available avenues for recourse on this matter, GCU opted to file a lawsuit against the ED, alleging that its 2019 and 2021 decisions overstepped its authority. While ED’s decision to continue to treat GCU as a for-profit institution was upheld by the federal district court in Arizona, in November 2024, the United States Court of Appeals for the Ninth Circuit unanimously held that ED had failed to apply the correct legal standards in reviewing GCU’s application and it reversed the district court’s decision and remanded with instructions to set aside ED’s decision and to remand to ED for further proceedings.</w:t>
      </w:r>
    </w:p>
    <w:p>
      <w:pPr>
        <w:spacing w:after="0" w:line="8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In October 2021, at the same time that the FTC issued the notice to the 70 for-profit schools as mentioned above, the FTC issued a public statement indicating that it would coordinate efforts with ED and the VA to investigate for-profit universities in furtherance of the notice. Since the FTC’s statement, ED, the VA and the FTC have initiated multiple actions against GCU, including audits, compliance reviews, civil investigative demands, fines and lawsuits, and the FTC has initiated civil investigative demands and a lawsuit against us, that allege, among other things, misrepresentations made in connection with marketing activities, including statements made related to GCU’s non-profit status.</w:t>
      </w:r>
    </w:p>
    <w:p>
      <w:pPr>
        <w:spacing w:after="0" w:line="80"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These actions appear to have been coordinated in the manner described in the 2021 FTC statement. These actions, or any future actions by ED, FTC or any other federal or state government agencies or accrediting bodies with oversight over us or GCU, if ultimately resolved adversely to us or GCU, could result in monetary penalties and liabilities, further impact GCU’s non-profit status, and/or cause reputational harm. See </w:t>
      </w:r>
      <w:r>
        <w:rPr>
          <w:rFonts w:ascii="Times New Roman" w:cs="Times New Roman" w:eastAsia="Times New Roman" w:hAnsi="Times New Roman"/>
          <w:sz w:val="20"/>
          <w:szCs w:val="20"/>
          <w:i w:val="1"/>
          <w:iCs w:val="1"/>
          <w:color w:val="auto"/>
        </w:rPr>
        <w:t>Part I, Item 3. Legal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Proceedings </w:t>
      </w:r>
      <w:r>
        <w:rPr>
          <w:rFonts w:ascii="Times New Roman" w:cs="Times New Roman" w:eastAsia="Times New Roman" w:hAnsi="Times New Roman"/>
          <w:sz w:val="20"/>
          <w:szCs w:val="20"/>
          <w:color w:val="auto"/>
        </w:rPr>
        <w:t>for a discussion of certain litigation matters to which we are a party.</w:t>
      </w:r>
    </w:p>
    <w:p>
      <w:pPr>
        <w:spacing w:after="0" w:line="77"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Negotiated rulemaking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ED periodically issues new regulations and guidance that can have an adverse effect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our partner institutions. ED has changed its regulations, and may make other changes in the future, in a manner which could require us to incur additional costs in connection with providing the services that we provide our university partners affect their ability to remain eligible to participate in the Title IV programs, impose restrictions on their participation in the Title IV programs, affect the rate at which students enroll in our partners’ programs, or otherwise have a significant impact on our business and results of operations. We cannot predict with certainty the ultimate combined impact of the regulatory changes which have occurred in recent years, nor can we predict the effect of future legislative or regulatory action by federal, state or other agencies regulating our operations or those of our university partners, how any resulting regulations will be interpreted or whether we and our university partner institutions will be able to comply with these requirements in the future. Any such actions by legislative or regulatory bodies that affect our operations or those of our university partners could have a material adverse effect on our business and that of university partner institutions.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Standards that May Restrict Institutional Expansion or Other Changes</w:t>
      </w:r>
    </w:p>
    <w:p>
      <w:pPr>
        <w:spacing w:after="0" w:line="123"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Many actions that our university partners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86"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GCU, because it is currently certified to participate in the Title IV programs on a provisional basis, is required to obtain ED approval for new programs, which requirement could impede GCU’s ability to introduce new programs and slow its growth.</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00"/>
          </w:cols>
          <w:pgMar w:left="1260" w:top="1246" w:right="1280" w:bottom="722" w:gutter="0" w:footer="0" w:header="0"/>
        </w:sectPr>
      </w:pPr>
    </w:p>
    <w:bookmarkStart w:id="27" w:name="page28"/>
    <w:bookmarkEnd w:id="27"/>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20"/>
          <w:szCs w:val="20"/>
          <w:b w:val="1"/>
          <w:bCs w:val="1"/>
          <w:i w:val="1"/>
          <w:iCs w:val="1"/>
          <w:color w:val="auto"/>
        </w:rPr>
        <w:t>Risk Factors</w:t>
      </w:r>
    </w:p>
    <w:p>
      <w:pPr>
        <w:spacing w:after="0" w:line="24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There are many factors that affect our business, financial condition, operating results, and cash flows as well as the market price for our securities. The following is a description of important factors that may cause our actual results of operations in future periods to differ materially from those currently expected or discussed in forward-looking statements set forth in this Annual Report. Additional risks and uncertainties not presently known to us or that we may currently deem immaterial also may impair our business operations. Forward-looking statements and such risks, uncertainties and other factors speak only as of the date of this Annual Report, and we expressly disclaim any obligation or undertaking to update or revise any forward-looking statement contained herein, to reflect any change in our expectations with regard thereto, or any other change in events, conditions or circumstances on which any such statement is based, except to the extent otherwise required by law. See “Forward-Looking Statements.” These risk factors should be read in conjunction with other information set forth in this Annual Report, including Item 7, Management’s Discussion and Analysis of Financial Condition and Results of Operations, and Item 8, Consolidated Financial Statements and Supplementary Data, including the related Notes to Consolidated Financial Statements.</w:t>
      </w:r>
    </w:p>
    <w:p>
      <w:pPr>
        <w:spacing w:after="0" w:line="84" w:lineRule="exact"/>
        <w:rPr>
          <w:sz w:val="20"/>
          <w:szCs w:val="20"/>
          <w:color w:val="auto"/>
        </w:rPr>
      </w:pPr>
    </w:p>
    <w:p>
      <w:pPr>
        <w:jc w:val="both"/>
        <w:ind w:right="80" w:firstLine="720"/>
        <w:spacing w:after="0" w:line="259" w:lineRule="auto"/>
        <w:rPr>
          <w:sz w:val="20"/>
          <w:szCs w:val="20"/>
          <w:color w:val="auto"/>
        </w:rPr>
      </w:pPr>
      <w:r>
        <w:rPr>
          <w:rFonts w:ascii="Times New Roman" w:cs="Times New Roman" w:eastAsia="Times New Roman" w:hAnsi="Times New Roman"/>
          <w:sz w:val="20"/>
          <w:szCs w:val="20"/>
          <w:color w:val="auto"/>
        </w:rPr>
        <w:t>Although we currently provide services to 22 university partners across the United States, GCU is, and will for the foreseeable future remain, our most significant university partner. Accordingly, the risk factors set forth below also include risks attributable to GCU’s operations, which could materially affect us.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12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The following is a summary of the material risk factors that could adversely affect our business, financial condition, and operating results:</w:t>
      </w:r>
    </w:p>
    <w:p>
      <w:pPr>
        <w:spacing w:after="0" w:line="61" w:lineRule="exact"/>
        <w:rPr>
          <w:sz w:val="20"/>
          <w:szCs w:val="20"/>
          <w:color w:val="auto"/>
        </w:rPr>
      </w:pPr>
    </w:p>
    <w:p>
      <w:pPr>
        <w:ind w:left="720" w:right="220" w:hanging="353"/>
        <w:spacing w:after="0" w:line="250"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We earn a large percentage of our revenue through our contractual relationship as a service provider to GCU, and a decline in GCU’s enrollment could significantly reduce our revenue and impact our overall financial performance.</w:t>
      </w:r>
    </w:p>
    <w:p>
      <w:pPr>
        <w:spacing w:after="0" w:line="90" w:lineRule="exact"/>
        <w:rPr>
          <w:rFonts w:ascii="Symbol" w:cs="Symbol" w:eastAsia="Symbol" w:hAnsi="Symbol"/>
          <w:sz w:val="20"/>
          <w:szCs w:val="20"/>
          <w:color w:val="auto"/>
        </w:rPr>
      </w:pPr>
    </w:p>
    <w:p>
      <w:pPr>
        <w:ind w:left="720" w:right="40" w:hanging="353"/>
        <w:spacing w:after="0" w:line="262"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GCU’s board of trustees and management have fiduciary and other duties that require them to focus on the best interests of GCU and, over time, those interests could diverge from those of GCE.</w:t>
      </w:r>
    </w:p>
    <w:p>
      <w:pPr>
        <w:spacing w:after="0" w:line="75" w:lineRule="exact"/>
        <w:rPr>
          <w:rFonts w:ascii="Symbol" w:cs="Symbol" w:eastAsia="Symbol" w:hAnsi="Symbol"/>
          <w:sz w:val="20"/>
          <w:szCs w:val="20"/>
          <w:color w:val="auto"/>
        </w:rPr>
      </w:pPr>
    </w:p>
    <w:p>
      <w:pPr>
        <w:ind w:left="720" w:hanging="353"/>
        <w:spacing w:after="0"/>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Our Chief Executive Officer’s role as President of GCU may adversely affect his ability to run GCE.</w:t>
      </w:r>
    </w:p>
    <w:p>
      <w:pPr>
        <w:spacing w:after="0" w:line="119" w:lineRule="exact"/>
        <w:rPr>
          <w:rFonts w:ascii="Symbol" w:cs="Symbol" w:eastAsia="Symbol" w:hAnsi="Symbol"/>
          <w:sz w:val="20"/>
          <w:szCs w:val="20"/>
          <w:color w:val="auto"/>
        </w:rPr>
      </w:pPr>
    </w:p>
    <w:p>
      <w:pPr>
        <w:jc w:val="both"/>
        <w:ind w:left="720" w:right="580" w:hanging="353"/>
        <w:spacing w:after="0" w:line="250"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determined to have paid improper incentive compensation to our covered employees, or tuition sharing arrangements are deemed to violate the incentive compensation regulations, our business will be impaired.</w:t>
      </w:r>
    </w:p>
    <w:p>
      <w:pPr>
        <w:spacing w:after="0" w:line="90" w:lineRule="exact"/>
        <w:rPr>
          <w:rFonts w:ascii="Symbol" w:cs="Symbol" w:eastAsia="Symbol" w:hAnsi="Symbol"/>
          <w:sz w:val="20"/>
          <w:szCs w:val="20"/>
          <w:color w:val="auto"/>
        </w:rPr>
      </w:pPr>
    </w:p>
    <w:p>
      <w:pPr>
        <w:ind w:left="720" w:hanging="353"/>
        <w:spacing w:after="0"/>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Our success depends, in part, on our ability to recruit new students to enroll with our university partners.</w:t>
      </w:r>
    </w:p>
    <w:p>
      <w:pPr>
        <w:spacing w:after="0" w:line="118" w:lineRule="exact"/>
        <w:rPr>
          <w:rFonts w:ascii="Symbol" w:cs="Symbol" w:eastAsia="Symbol" w:hAnsi="Symbol"/>
          <w:sz w:val="20"/>
          <w:szCs w:val="20"/>
          <w:color w:val="auto"/>
        </w:rPr>
      </w:pPr>
    </w:p>
    <w:p>
      <w:pPr>
        <w:ind w:left="720" w:right="240" w:hanging="353"/>
        <w:spacing w:after="0" w:line="251"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87" w:lineRule="exact"/>
        <w:rPr>
          <w:rFonts w:ascii="Symbol" w:cs="Symbol" w:eastAsia="Symbol" w:hAnsi="Symbol"/>
          <w:sz w:val="20"/>
          <w:szCs w:val="20"/>
          <w:color w:val="auto"/>
        </w:rPr>
      </w:pPr>
    </w:p>
    <w:p>
      <w:pPr>
        <w:ind w:left="720" w:right="40" w:hanging="353"/>
        <w:spacing w:after="0" w:line="262"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We face competition from established and other emerging companies, which could divert university partners to our competitors, result in pricing pressure and significantly reduce our revenue.</w:t>
      </w:r>
    </w:p>
    <w:p>
      <w:pPr>
        <w:spacing w:after="0" w:line="75" w:lineRule="exact"/>
        <w:rPr>
          <w:rFonts w:ascii="Symbol" w:cs="Symbol" w:eastAsia="Symbol" w:hAnsi="Symbol"/>
          <w:sz w:val="20"/>
          <w:szCs w:val="20"/>
          <w:color w:val="auto"/>
        </w:rPr>
      </w:pPr>
    </w:p>
    <w:p>
      <w:pPr>
        <w:ind w:left="720" w:right="180" w:hanging="353"/>
        <w:spacing w:after="0" w:line="251"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87" w:lineRule="exact"/>
        <w:rPr>
          <w:rFonts w:ascii="Symbol" w:cs="Symbol" w:eastAsia="Symbol" w:hAnsi="Symbol"/>
          <w:sz w:val="20"/>
          <w:szCs w:val="20"/>
          <w:color w:val="auto"/>
        </w:rPr>
      </w:pPr>
    </w:p>
    <w:p>
      <w:pPr>
        <w:ind w:left="720" w:right="160" w:hanging="353"/>
        <w:spacing w:after="0" w:line="262"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required to comply with The Family Educational Rights and Privacy Act, or FERPA, and failure to do so could harm our reputation and negatively affect our business.</w:t>
      </w:r>
    </w:p>
    <w:p>
      <w:pPr>
        <w:spacing w:after="0" w:line="75" w:lineRule="exact"/>
        <w:rPr>
          <w:rFonts w:ascii="Symbol" w:cs="Symbol" w:eastAsia="Symbol" w:hAnsi="Symbol"/>
          <w:sz w:val="20"/>
          <w:szCs w:val="20"/>
          <w:color w:val="auto"/>
        </w:rPr>
      </w:pPr>
    </w:p>
    <w:p>
      <w:pPr>
        <w:ind w:left="720" w:right="500" w:hanging="353"/>
        <w:spacing w:after="0" w:line="262"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Capacity constraints, system disruptions, or security breaches in our online computer networks and phone systems could have a material adverse effect on our ability to attract and retain students.</w:t>
      </w:r>
    </w:p>
    <w:p>
      <w:pPr>
        <w:spacing w:after="0" w:line="76" w:lineRule="exact"/>
        <w:rPr>
          <w:rFonts w:ascii="Symbol" w:cs="Symbol" w:eastAsia="Symbol" w:hAnsi="Symbol"/>
          <w:sz w:val="20"/>
          <w:szCs w:val="20"/>
          <w:color w:val="auto"/>
        </w:rPr>
      </w:pPr>
    </w:p>
    <w:p>
      <w:pPr>
        <w:ind w:left="720" w:right="300" w:hanging="353"/>
        <w:spacing w:after="0" w:line="262"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have difficulty integrating future acquisitions, which would reduce the anticipated benefits of those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680"/>
          </w:cols>
          <w:pgMar w:left="1260" w:top="1243" w:right="1300" w:bottom="722" w:gutter="0" w:footer="0" w:header="0"/>
        </w:sectPr>
      </w:pPr>
    </w:p>
    <w:bookmarkStart w:id="28" w:name="page29"/>
    <w:bookmarkEnd w:id="28"/>
    <w:p>
      <w:pPr>
        <w:ind w:left="720" w:right="80" w:hanging="353"/>
        <w:spacing w:after="0" w:line="251"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88" w:lineRule="exact"/>
        <w:rPr>
          <w:rFonts w:ascii="Symbol" w:cs="Symbol" w:eastAsia="Symbol" w:hAnsi="Symbol"/>
          <w:sz w:val="20"/>
          <w:szCs w:val="20"/>
          <w:color w:val="auto"/>
        </w:rPr>
      </w:pPr>
    </w:p>
    <w:p>
      <w:pPr>
        <w:ind w:left="720" w:hanging="353"/>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Rulemaking by ED could materially and adversely affect our business.</w:t>
      </w:r>
    </w:p>
    <w:p>
      <w:pPr>
        <w:spacing w:after="0" w:line="118" w:lineRule="exact"/>
        <w:rPr>
          <w:rFonts w:ascii="Symbol" w:cs="Symbol" w:eastAsia="Symbol" w:hAnsi="Symbol"/>
          <w:sz w:val="20"/>
          <w:szCs w:val="20"/>
          <w:color w:val="auto"/>
        </w:rPr>
      </w:pPr>
    </w:p>
    <w:p>
      <w:pPr>
        <w:ind w:left="720" w:hanging="353"/>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Recently published regulations could materially and adversely affect our business.</w:t>
      </w:r>
    </w:p>
    <w:p>
      <w:pPr>
        <w:spacing w:after="0" w:line="119" w:lineRule="exact"/>
        <w:rPr>
          <w:rFonts w:ascii="Symbol" w:cs="Symbol" w:eastAsia="Symbol" w:hAnsi="Symbol"/>
          <w:sz w:val="20"/>
          <w:szCs w:val="20"/>
          <w:color w:val="auto"/>
        </w:rPr>
      </w:pPr>
    </w:p>
    <w:p>
      <w:pPr>
        <w:ind w:left="720" w:right="60" w:hanging="353"/>
        <w:spacing w:after="0" w:line="247"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91" w:lineRule="exact"/>
        <w:rPr>
          <w:rFonts w:ascii="Symbol" w:cs="Symbol" w:eastAsia="Symbol" w:hAnsi="Symbol"/>
          <w:sz w:val="20"/>
          <w:szCs w:val="20"/>
          <w:color w:val="auto"/>
        </w:rPr>
      </w:pPr>
    </w:p>
    <w:p>
      <w:pPr>
        <w:ind w:left="720" w:hanging="353"/>
        <w:spacing w:after="0" w:line="251"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A university partner institution could lose the ability to participate in the Title IV programs if it fails to maintain its institutional accreditation, and our university partners’ student enrollments could decline if a university partner institution fails to maintain any of its accreditations or approvals.</w:t>
      </w:r>
    </w:p>
    <w:p>
      <w:pPr>
        <w:spacing w:after="0" w:line="87" w:lineRule="exact"/>
        <w:rPr>
          <w:rFonts w:ascii="Symbol" w:cs="Symbol" w:eastAsia="Symbol" w:hAnsi="Symbol"/>
          <w:sz w:val="20"/>
          <w:szCs w:val="20"/>
          <w:color w:val="auto"/>
        </w:rPr>
      </w:pPr>
    </w:p>
    <w:p>
      <w:pPr>
        <w:ind w:left="720" w:right="380" w:hanging="353"/>
        <w:spacing w:after="0" w:line="262"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A university partner institution may lose eligibility to participate in the Title IV programs if its student loan default rates are too high.</w:t>
      </w:r>
    </w:p>
    <w:p>
      <w:pPr>
        <w:spacing w:after="0" w:line="75" w:lineRule="exact"/>
        <w:rPr>
          <w:rFonts w:ascii="Symbol" w:cs="Symbol" w:eastAsia="Symbol" w:hAnsi="Symbol"/>
          <w:sz w:val="20"/>
          <w:szCs w:val="20"/>
          <w:color w:val="auto"/>
        </w:rPr>
      </w:pPr>
    </w:p>
    <w:p>
      <w:pPr>
        <w:ind w:left="720" w:right="220" w:hanging="353"/>
        <w:spacing w:after="0" w:line="262"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A finding by ED or other regulators that we or our university partner institutions misrepresented the nature of our partner institutions’ educational programs could materially and adversely affect our business.</w:t>
      </w:r>
    </w:p>
    <w:p>
      <w:pPr>
        <w:spacing w:after="0" w:line="76" w:lineRule="exact"/>
        <w:rPr>
          <w:rFonts w:ascii="Symbol" w:cs="Symbol" w:eastAsia="Symbol" w:hAnsi="Symbol"/>
          <w:sz w:val="20"/>
          <w:szCs w:val="20"/>
          <w:color w:val="auto"/>
        </w:rPr>
      </w:pPr>
    </w:p>
    <w:p>
      <w:pPr>
        <w:ind w:left="720" w:right="180" w:hanging="353"/>
        <w:spacing w:after="0" w:line="247"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91" w:lineRule="exact"/>
        <w:rPr>
          <w:rFonts w:ascii="Symbol" w:cs="Symbol" w:eastAsia="Symbol" w:hAnsi="Symbol"/>
          <w:sz w:val="20"/>
          <w:szCs w:val="20"/>
          <w:color w:val="auto"/>
        </w:rPr>
      </w:pPr>
    </w:p>
    <w:p>
      <w:pPr>
        <w:ind w:left="720" w:right="180" w:hanging="353"/>
        <w:spacing w:after="0" w:line="262"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If our university partner institutions do not maintain state authorization, they may not operate or participate in the Title IV programs.</w:t>
      </w:r>
    </w:p>
    <w:p>
      <w:pPr>
        <w:spacing w:after="0" w:line="75" w:lineRule="exact"/>
        <w:rPr>
          <w:rFonts w:ascii="Symbol" w:cs="Symbol" w:eastAsia="Symbol" w:hAnsi="Symbol"/>
          <w:sz w:val="20"/>
          <w:szCs w:val="20"/>
          <w:color w:val="auto"/>
        </w:rPr>
      </w:pPr>
    </w:p>
    <w:p>
      <w:pPr>
        <w:ind w:left="720" w:right="100" w:hanging="353"/>
        <w:spacing w:after="0" w:line="251"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87" w:lineRule="exact"/>
        <w:rPr>
          <w:rFonts w:ascii="Symbol" w:cs="Symbol" w:eastAsia="Symbol" w:hAnsi="Symbol"/>
          <w:sz w:val="20"/>
          <w:szCs w:val="20"/>
          <w:color w:val="auto"/>
        </w:rPr>
      </w:pPr>
    </w:p>
    <w:p>
      <w:pPr>
        <w:ind w:left="720" w:right="40" w:hanging="353"/>
        <w:spacing w:after="0" w:line="251"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 with GCU</w:t>
      </w:r>
    </w:p>
    <w:p>
      <w:pPr>
        <w:spacing w:after="0" w:line="12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earn a large percentage of our revenue through our contractual relationship as a service provider to GCU, and a decline in GCU’s enrollment could significantly reduce our revenue and impact our overall financial performance.</w:t>
      </w:r>
    </w:p>
    <w:p>
      <w:pPr>
        <w:spacing w:after="0" w:line="47"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We expect the revenue derived from our Master Services Agreement with GCU to account for a large percentage of our revenue for the foreseeable future. Any decline in reputation or changes in GCU policies that adversely affect its student enrollment and its overall financial and operating results, including as a result of adverse government actions taken against GCU, could materially impact us. Furthermore, GCU has the right to terminate the Master Services Agreement after July 1, 2025 upon at least eighteen (18) months prior written notice, and, upon the termination or expiration of the Master Services Agreement, GCU is not required to continue using us as the provider of the services thereunder. If GCU were to terminate or not renew its relationship with us, or if its enrollment were to materially decline for any reason, it could negatively affect our reputation and materially adversely impact our revenue and operating results.</w:t>
      </w:r>
    </w:p>
    <w:p>
      <w:pPr>
        <w:spacing w:after="0" w:line="86"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GCU’s board of trustees and management have fiduciary and other duties that require them to focus on the best interests of GCU and, over time, those interests could diverge from those of GCE.</w:t>
      </w:r>
    </w:p>
    <w:p>
      <w:pPr>
        <w:spacing w:after="0" w:line="4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We believe that our relationship with GCU is and will remain strong. However, GCU has an independent board of trustees that, along with its management, have fiduciary and other duties that require them to focus on the best interests of GCU. Over time, and for various reasons, those interests could diverge from the interests of GCE. Should those interests diverge in a meaningful way, it could lead to changes in the relationship that would be adverse to us.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00"/>
          </w:cols>
          <w:pgMar w:left="1260" w:top="1261" w:right="1280" w:bottom="722"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i w:val="1"/>
          <w:iCs w:val="1"/>
          <w:color w:val="auto"/>
        </w:rPr>
        <w:t>Our Chief Executive Officer’s role as President of GCU may adversely affect his ability to run GCE</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Mr. Brian E. Mueller has served as the Chief Executive Officer of GCE since 2008, the Chairman of the Board of Directors since 2017 and the President of GCU since 2012. In connection with the Transaction, the Board of Directors of GCE and the board of trustees of GCU each independently determined that Mr. Mueller should retain those roles.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Accordingly, Mr. Mueller serves as the Chairman of the Board of Directors and Chief Executive Officer of GCE and as the President of GCU, although he is prohibited from serving on the board of trustees of GCU. In continuing to retain Mr. Mueller’s services, our Board of Directors and the board of trustees of GCU each recognize that Mr. Mueller’s dual role could raise conflict of interest issues. In this regard, at the time of the Transaction, GCU adopted governance provisions that prohibit Mr. Mueller from serving on the board of trustees of GCU. In addition, we and GCU also jointly imposed a structure, through GCU’s governance documents and through express provisions of the Master Services Agreement, which prevent Mr. Mueller from participating in day-to-day management of, or negotiations between GCE and GCU relating to, the Master Services Agreement. While we believe that these safeguards have worked well to date, and that Mr. Mueller’s role with GCE continues to be in the best interests of GCE and is stockholders, we remain alert to conflict issues on an ongoing basis. Any such conflicts, as well as any adverse impact that Mr. Mueller’s dual capacity could have on his ability to devote time, attention, and effort to GCE, could be detrimental to our business.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Risks Related to Our Business</w:t>
      </w:r>
    </w:p>
    <w:p>
      <w:pPr>
        <w:spacing w:after="0" w:line="123"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4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 xml:space="preserve">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Since we are involved in recruiting and admissions activities, on behalf of our university partners, under current regulations, we are prohibited from offering our “covered employees,” who are generally those GCE employees involved with or responsible for recruiting or admissions activities on behalf of our university partners,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 If it were determined that any of our compensation practices violated the incentive compensation law, we could experience an adverse outcome in pending litigation and be subject to substantial monetary liabilities, fines, and other sanctions, any of which could have a material adverse effect on our business, prospects, financial condition and results of operations and could adversely affect our stock price. </w:t>
      </w:r>
      <w:r>
        <w:rPr>
          <w:rFonts w:ascii="Times New Roman" w:cs="Times New Roman" w:eastAsia="Times New Roman" w:hAnsi="Times New Roman"/>
          <w:sz w:val="20"/>
          <w:szCs w:val="20"/>
          <w:i w:val="1"/>
          <w:iCs w:val="1"/>
          <w:color w:val="auto"/>
        </w:rPr>
        <w:t>See Part 1, Item 3 – Litigation</w:t>
      </w:r>
      <w:r>
        <w:rPr>
          <w:rFonts w:ascii="Times New Roman" w:cs="Times New Roman" w:eastAsia="Times New Roman" w:hAnsi="Times New Roman"/>
          <w:sz w:val="20"/>
          <w:szCs w:val="20"/>
          <w:color w:val="auto"/>
        </w:rPr>
        <w:t xml:space="preserve"> for a discussion of certain litigation matters to which we are a party.</w:t>
      </w:r>
    </w:p>
    <w:p>
      <w:pPr>
        <w:spacing w:after="0" w:line="9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addition, the incentive compensation rule raises a question as to whether companies like ours, as an entity, are prohibited from entering into tuition revenue-sharing arrangements with university partners.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to a third-party service provider based on the amount of tuition generated by an institution to violate the incentive compensation ban if the payment compensates an “unaffiliated third party” that provides a set of “bundled services” that includes recruitment services, such as those we provide. Example 2 - B in the DCL is described as a “possible business model” developed “with the statutory mandate in mind.” Example 2 - B describes the following as a possible business model:</w:t>
      </w:r>
    </w:p>
    <w:p>
      <w:pPr>
        <w:spacing w:after="0" w:line="86" w:lineRule="exact"/>
        <w:rPr>
          <w:sz w:val="20"/>
          <w:szCs w:val="20"/>
          <w:color w:val="auto"/>
        </w:rPr>
      </w:pPr>
    </w:p>
    <w:p>
      <w:pPr>
        <w:ind w:left="720" w:right="40"/>
        <w:spacing w:after="0" w:line="247" w:lineRule="auto"/>
        <w:rPr>
          <w:sz w:val="20"/>
          <w:szCs w:val="20"/>
          <w:color w:val="auto"/>
        </w:rPr>
      </w:pPr>
      <w:r>
        <w:rPr>
          <w:rFonts w:ascii="Times New Roman" w:cs="Times New Roman" w:eastAsia="Times New Roman" w:hAnsi="Times New Roman"/>
          <w:sz w:val="20"/>
          <w:szCs w:val="20"/>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00"/>
          </w:cols>
          <w:pgMar w:left="1260" w:top="1247" w:right="1280" w:bottom="722" w:gutter="0" w:footer="0" w:header="0"/>
        </w:sectPr>
      </w:pPr>
    </w:p>
    <w:bookmarkStart w:id="30" w:name="page31"/>
    <w:bookmarkEnd w:id="30"/>
    <w:p>
      <w:pPr>
        <w:ind w:left="720" w:right="40"/>
        <w:spacing w:after="0" w:line="278" w:lineRule="auto"/>
        <w:rPr>
          <w:sz w:val="20"/>
          <w:szCs w:val="20"/>
          <w:color w:val="auto"/>
        </w:rPr>
      </w:pPr>
      <w:r>
        <w:rPr>
          <w:rFonts w:ascii="Times New Roman" w:cs="Times New Roman" w:eastAsia="Times New Roman" w:hAnsi="Times New Roman"/>
          <w:sz w:val="20"/>
          <w:szCs w:val="20"/>
          <w:color w:val="auto"/>
        </w:rPr>
        <w:t>payments to its employees, and the institution does not pay the entity separately for student recruitment services provided by the entity.”</w:t>
      </w:r>
    </w:p>
    <w:p>
      <w:pPr>
        <w:spacing w:after="0" w:line="48" w:lineRule="exact"/>
        <w:rPr>
          <w:sz w:val="20"/>
          <w:szCs w:val="20"/>
          <w:color w:val="auto"/>
        </w:rPr>
      </w:pPr>
    </w:p>
    <w:p>
      <w:pPr>
        <w:ind w:right="320" w:firstLine="720"/>
        <w:spacing w:after="0" w:line="270" w:lineRule="auto"/>
        <w:rPr>
          <w:sz w:val="20"/>
          <w:szCs w:val="20"/>
          <w:color w:val="auto"/>
        </w:rPr>
      </w:pPr>
      <w:r>
        <w:rPr>
          <w:rFonts w:ascii="Times New Roman" w:cs="Times New Roman" w:eastAsia="Times New Roman" w:hAnsi="Times New Roman"/>
          <w:sz w:val="19"/>
          <w:szCs w:val="19"/>
          <w:color w:val="auto"/>
        </w:rPr>
        <w:t>The DCL guidance indicates that an arrangement that complies with Example 2 - B will be deemed to be in compliance with the incentive compensation provisions of the HEA and ED’s regulations. Our business model and contractual arrangements with our university partners closely follow Example 2 - B in the DCL. In addition, we assure that none of our “covered employees” is paid any bonus or other incentive compensation in violation of the rule.</w:t>
      </w:r>
    </w:p>
    <w:p>
      <w:pPr>
        <w:spacing w:after="0" w:line="5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 in ways that could be detrimental to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success depends, in part, on our ability to recruit new students to enroll with our university partners.</w:t>
      </w:r>
    </w:p>
    <w:p>
      <w:pPr>
        <w:spacing w:after="0" w:line="11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Building awareness of our university partner institutions, and the programs they offer, is critical to our ability to attract prospective students to those institutions. It is also critical to our success that we convert prospective students to enrolled students in a cost-effective manner and that these enrolled students remain active in the programs of our university partner institutions. The tightness of the job market has historically had an impact on our ability to successfully recruit new students especially for students considering re- careering into a different field. Historically the percentage of students we recruited who were re-careering was low but with the increase in university partners and off-campus classroom and laboratory sites and the growth in new online licensure programs by GCU, the number of students we recruit who are re-careering is growing. Therefore, changes in the job market will impact our ability to recruit students. Some of the other factors that could prevent us from successfully recruiting, enrolling, and retaining students in those programs include:</w:t>
      </w:r>
    </w:p>
    <w:p>
      <w:pPr>
        <w:spacing w:after="0" w:line="95" w:lineRule="exact"/>
        <w:rPr>
          <w:sz w:val="20"/>
          <w:szCs w:val="20"/>
          <w:color w:val="auto"/>
        </w:rPr>
      </w:pPr>
    </w:p>
    <w:p>
      <w:pPr>
        <w:ind w:left="1080" w:right="280" w:hanging="353"/>
        <w:spacing w:after="0" w:line="251"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reduced availability of, or higher interest rates and other costs associated with, Title IV loan funds or other sources of financial aid;</w:t>
      </w:r>
    </w:p>
    <w:p>
      <w:pPr>
        <w:ind w:left="1080" w:hanging="353"/>
        <w:spacing w:after="0"/>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emergence of more successful competitors;</w:t>
      </w:r>
    </w:p>
    <w:p>
      <w:pPr>
        <w:ind w:left="1080" w:right="340" w:hanging="353"/>
        <w:spacing w:after="0" w:line="239"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factors related to our marketing, including the costs and effectiveness of Internet advertising and broad-based branding campaigns and recruiting efforts;</w:t>
      </w:r>
    </w:p>
    <w:p>
      <w:pPr>
        <w:ind w:left="1080" w:hanging="353"/>
        <w:spacing w:after="0"/>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problems with our online systems;</w:t>
      </w:r>
    </w:p>
    <w:p>
      <w:pPr>
        <w:ind w:left="1080" w:hanging="353"/>
        <w:spacing w:after="0" w:line="238"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of our university partner institutions to maintain institutional and specialized accreditations;</w:t>
      </w:r>
    </w:p>
    <w:p>
      <w:pPr>
        <w:ind w:left="1080" w:right="420" w:hanging="353"/>
        <w:spacing w:after="0" w:line="239"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requirements of the education agencies that regulate our university partner institutions which could restrict their initiation of new programs and modification of existing programs;</w:t>
      </w:r>
    </w:p>
    <w:p>
      <w:pPr>
        <w:ind w:left="1080" w:right="20" w:hanging="353"/>
        <w:spacing w:after="0"/>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requirements of the education agencies that regulate our university partner institutions which restrict the ways schools can compensate persons involved in their recruiting activities;</w:t>
      </w:r>
    </w:p>
    <w:p>
      <w:pPr>
        <w:ind w:left="1080" w:right="160" w:hanging="353"/>
        <w:spacing w:after="0" w:line="239"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increased regulation of online education, including in states in which our university partner institutions do not have a physical presence;</w:t>
      </w:r>
    </w:p>
    <w:p>
      <w:pPr>
        <w:ind w:left="1080" w:right="420" w:hanging="353"/>
        <w:spacing w:after="0" w:line="239"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that may be imposed on graduates of online programs that seek certification or licensure in certain states;</w:t>
      </w:r>
    </w:p>
    <w:p>
      <w:pPr>
        <w:ind w:left="1080" w:hanging="353"/>
        <w:spacing w:after="0"/>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student dissatisfaction with our services and programs;</w:t>
      </w:r>
    </w:p>
    <w:p>
      <w:pPr>
        <w:ind w:left="1080" w:right="840" w:hanging="353"/>
        <w:spacing w:after="0" w:line="239"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lack of employment opportunities for graduates of our university partners in fields related to their educational programs:</w:t>
      </w:r>
    </w:p>
    <w:p>
      <w:pPr>
        <w:ind w:left="1080" w:right="80" w:hanging="353"/>
        <w:spacing w:after="0" w:line="239"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damage to our reputation, or to the reputations of our university partners or other adverse effects as a result of negative publicity in the media, in industry or governmental reports, or otherwise, affecting us or other companies in the post-secondary education sector;</w:t>
      </w:r>
    </w:p>
    <w:p>
      <w:pPr>
        <w:spacing w:after="0" w:line="2" w:lineRule="exact"/>
        <w:rPr>
          <w:rFonts w:ascii="Symbol" w:cs="Symbol" w:eastAsia="Symbol" w:hAnsi="Symbol"/>
          <w:sz w:val="20"/>
          <w:szCs w:val="20"/>
          <w:color w:val="auto"/>
        </w:rPr>
      </w:pPr>
    </w:p>
    <w:p>
      <w:pPr>
        <w:ind w:left="1080" w:hanging="353"/>
        <w:spacing w:after="0"/>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price reductions by competitors that we are unwilling or unable to match;</w:t>
      </w:r>
    </w:p>
    <w:p>
      <w:pPr>
        <w:ind w:left="1080" w:hanging="353"/>
        <w:spacing w:after="0" w:line="238" w:lineRule="auto"/>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a decline in the acceptance of online education; and</w:t>
      </w:r>
    </w:p>
    <w:p>
      <w:pPr>
        <w:ind w:left="1080" w:right="200" w:hanging="353"/>
        <w:spacing w:after="0"/>
        <w:tabs>
          <w:tab w:leader="none" w:pos="10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a decrease in the perceived or actual economic benefits that students derive from the programs offered by any university partner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720"/>
          </w:cols>
          <w:pgMar w:left="1260" w:top="1246" w:right="1260" w:bottom="722" w:gutter="0" w:footer="0" w:header="0"/>
        </w:sectPr>
      </w:pPr>
    </w:p>
    <w:bookmarkStart w:id="31" w:name="page32"/>
    <w:bookmarkEnd w:id="31"/>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If we are unable to continue to develop awareness of the programs of our university partners, and to provide services to successfully recruit, enroll, and retain students on their behalf, enrollments at our university partners would suffer and our ability to increase revenues and maintain profitability would be significantly impaired.</w:t>
      </w:r>
    </w:p>
    <w:p>
      <w:pPr>
        <w:spacing w:after="0" w:line="6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Macroeconomic conditions and aversion to debt could adversely affect the ability of our university partner institutions to recruit new students and adversely affect our business.</w:t>
      </w:r>
    </w:p>
    <w:p>
      <w:pPr>
        <w:spacing w:after="0" w:line="4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Enrollment in our university partner institutions is affected by changes in economic conditions. Affordability concerns associated with increased living expenses, relocation expenses and the availability of jobs for students attending classes have made it more challenging for our university partner institutions to attract and retain students. Additionally, adverse market conditions could negatively impact the ability of borrowers to borrow the necessary student loans at an acceptable interest rate, which could lead to a decrease in student enrollment in certain cases. If our university partner institutions are unable to attract and maintain students due to unfavorable macroeconomic conditions it could adversely affect our financial condition and results of operations.</w:t>
      </w:r>
    </w:p>
    <w:p>
      <w:pPr>
        <w:spacing w:after="0" w:line="7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failure to keep pace with changing market needs and technology could harm our ability to meet the needs of our university partner institutions.</w:t>
      </w:r>
    </w:p>
    <w:p>
      <w:pPr>
        <w:spacing w:after="0" w:line="48"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university partners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also could fail to respond in a timely manner to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8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65"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Based on industry analyses, enrollment growth in degree-granting, post-secondary institutions is slowing and the number of high school graduates that are eligible to enroll in degree-granting, post-secondary institutions is expected to continue to decrease over the next few years. In order to maintain current growth rates, we will need to attract a larger percentage of students in existing markets to our university partner institutions and work with our university partner institutions to create new academic programs to attract those students. In addition, if job growth in the fields related to our university partners’ core disciplines is weaker than expected, as a result of any regional or national economic downturn or otherwise, fewer students may seek the types of degrees that our university partners offer. Our failure to attract new students for our university partners, or the decisions by prospective students to seek degrees in disciplines not offered by our university partners, would have an adverse impact on our future growth.</w:t>
      </w:r>
    </w:p>
    <w:p>
      <w:pPr>
        <w:spacing w:after="0" w:line="8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48"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We expect existing competitors and new entrants to the educational services market to revise and improve their business models constantly in response to challenges from competing businesses, including ours.</w:t>
      </w:r>
    </w:p>
    <w:p>
      <w:pPr>
        <w:spacing w:after="0" w:line="47"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Our primary competitors have historically included EmbanetCompass (formerly owned by Pearson) and Wiley Education Services.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solutions in-house, rather than pay for our solutions.</w:t>
      </w:r>
    </w:p>
    <w:p>
      <w:pPr>
        <w:spacing w:after="0" w:line="77"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Increased competition may result in changes in the revenue share percentage we are able to negotiate to receive from a university partner. The competitive landscape may also result in longer and more complex sales cycles with prospective university partners, which would negatively affect our ability to add additional university partners and thus our ability to grow our business.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720"/>
          </w:cols>
          <w:pgMar w:left="1260" w:top="1246" w:right="1260" w:bottom="722" w:gutter="0" w:footer="0" w:header="0"/>
        </w:sectPr>
      </w:pPr>
    </w:p>
    <w:bookmarkStart w:id="32" w:name="page33"/>
    <w:bookmarkEnd w:id="32"/>
    <w:p>
      <w:pPr>
        <w:ind w:right="120" w:firstLine="720"/>
        <w:spacing w:after="0" w:line="278" w:lineRule="auto"/>
        <w:rPr>
          <w:sz w:val="20"/>
          <w:szCs w:val="20"/>
          <w:color w:val="auto"/>
        </w:rPr>
      </w:pPr>
      <w:r>
        <w:rPr>
          <w:rFonts w:ascii="Times New Roman" w:cs="Times New Roman" w:eastAsia="Times New Roman" w:hAnsi="Times New Roman"/>
          <w:sz w:val="20"/>
          <w:szCs w:val="20"/>
          <w:color w:val="auto"/>
        </w:rPr>
        <w:t>A number of competitive factors could cause us to lose potential university partner opportunities or force us to offer our solutions on less favorable economic terms, including:</w:t>
      </w:r>
    </w:p>
    <w:p>
      <w:pPr>
        <w:spacing w:after="0" w:line="62" w:lineRule="exact"/>
        <w:rPr>
          <w:sz w:val="20"/>
          <w:szCs w:val="20"/>
          <w:color w:val="auto"/>
        </w:rPr>
      </w:pPr>
    </w:p>
    <w:p>
      <w:pPr>
        <w:ind w:left="1080" w:hanging="353"/>
        <w:spacing w:after="0" w:line="250" w:lineRule="auto"/>
        <w:tabs>
          <w:tab w:leader="none" w:pos="10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competitors may develop service offerings that our potential university partners find to be more compelling than ours;</w:t>
      </w:r>
    </w:p>
    <w:p>
      <w:pPr>
        <w:ind w:left="1080" w:hanging="353"/>
        <w:spacing w:after="0" w:line="239" w:lineRule="auto"/>
        <w:tabs>
          <w:tab w:leader="none" w:pos="10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spacing w:after="0" w:line="2" w:lineRule="exact"/>
        <w:rPr>
          <w:rFonts w:ascii="Symbol" w:cs="Symbol" w:eastAsia="Symbol" w:hAnsi="Symbol"/>
          <w:sz w:val="20"/>
          <w:szCs w:val="20"/>
          <w:color w:val="auto"/>
        </w:rPr>
      </w:pPr>
    </w:p>
    <w:p>
      <w:pPr>
        <w:ind w:left="1080" w:right="160" w:hanging="353"/>
        <w:spacing w:after="0" w:line="239" w:lineRule="auto"/>
        <w:tabs>
          <w:tab w:leader="none" w:pos="10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88"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7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Artificial intelligence is an emerging area of technology that has and may further impact various aspects of our business operations and that of our university partners, and we may not be successful in our artificial intelligence initiatives, which could adversely affect our business, financial condition and/or operating results.</w:t>
      </w:r>
    </w:p>
    <w:p>
      <w:pPr>
        <w:spacing w:after="0" w:line="65"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We have made, and expect to continue making, investments in the integration of artificial intelligence (“AI”) into our platforms, products, and services. However, AI presents various risks, challenges, and potential unintended consequences that could disrupt our ability to effectively integrate and leverage these technologies. The process of refining and expanding AI-driven offerings may involve significant costs, and there can be no assurance that our efforts will ultimately succeed.</w:t>
      </w:r>
    </w:p>
    <w:p>
      <w:pPr>
        <w:spacing w:after="0" w:line="77"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color w:val="auto"/>
        </w:rPr>
        <w:t>Additionally, competitors may develop more effective or efficient AI solutions, potentially undermining our competitive position. The regulatory environment surrounding AI is still in development, and new laws or regulations could emerge that require substantial adjustments to our business practices. These changes could impose unexpected costs or operational disruptions, and the full scope and impact of such regulatory developments remain uncertain. AI technologies also carry the risk of generating content that is factually incorrect or infringing on third- party intellectual property rights. If we suffer adverse consequences due to any of these factors, it could in turn have a material adverse effect on our reputation, financial performance, and operations.</w:t>
      </w:r>
    </w:p>
    <w:p>
      <w:pPr>
        <w:spacing w:after="0" w:line="8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9"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78"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680"/>
          </w:cols>
          <w:pgMar w:left="1260" w:top="1246" w:right="1300" w:bottom="722" w:gutter="0" w:footer="0" w:header="0"/>
        </w:sectPr>
      </w:pPr>
    </w:p>
    <w:bookmarkStart w:id="33" w:name="page34"/>
    <w:bookmarkEnd w:id="33"/>
    <w:p>
      <w:pPr>
        <w:spacing w:after="0" w:line="242" w:lineRule="auto"/>
        <w:rPr>
          <w:sz w:val="20"/>
          <w:szCs w:val="20"/>
          <w:color w:val="auto"/>
        </w:rPr>
      </w:pPr>
      <w:r>
        <w:rPr>
          <w:rFonts w:ascii="Times New Roman" w:cs="Times New Roman" w:eastAsia="Times New Roman" w:hAnsi="Times New Roman"/>
          <w:sz w:val="20"/>
          <w:szCs w:val="20"/>
          <w:color w:val="auto"/>
        </w:rPr>
        <w:t>controls, which could result in a breach of student or employee data and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there are similar bills that have been passed or are pending in a number of other states, as well. These state laws represent a trend toward stronger privacy protections and greater data transparency in the United States. Currently, federal law legislates privacy on an industry-by-industry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including the Gramm-Leach -Bliley Act’s Safeguards Rule, could result in the imposition of fines against us. Moreover, ED has published extensive requirements for the protection of student data and has indicated such requirements may be strengthened in the future.</w:t>
      </w:r>
    </w:p>
    <w:p>
      <w:pPr>
        <w:spacing w:after="0" w:line="89"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Additionally, university personnel or students, or our employees or independent contractors, could use our online learning platform to store or process regulated personal information without our knowledge. In the event that our systems experience a data security incident, or an individual or entity accesses information without, or in excess of, proper authorization, we could be subject to data security incident notification laws, which may require prompt remediation and notification to individuals. If we are unaware of the data and information stored on our systems, we may be unable to appropriately comply with all legal obligations, and we may be exposed to governmental enforcement or prosecution actions, private litigation, fines and penalties or adverse publicity that could harm our reputation and business.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85"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comply with The Family Educational Rights and Privacy Act, or FERPA, and failure to do so could harm our reputation and negatively affect our business.</w:t>
      </w:r>
    </w:p>
    <w:p>
      <w:pPr>
        <w:spacing w:after="0" w:line="4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our contract with one or more of our university partners and could harm our reputation. Further, in the event that we disclose student information in violation of FERPA, ED could require a university partner to suspend our access to their student information for at least five years, which would significantly and adversely impact our ability to provide our contracted services.</w:t>
      </w:r>
    </w:p>
    <w:p>
      <w:pPr>
        <w:spacing w:after="0" w:line="8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47"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performance and reliability of the infrastructure of our computer networks and phone systems, including the online programs of our university partners, is critical to our operations, our reputation and our ability to attract and 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 and services and result in a loss of potential or existing students of our university partner institutions. Additionally, our operations are vulnerable to interruption or malfunction due to events beyond our control, including natural disasters and network and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00"/>
          </w:cols>
          <w:pgMar w:left="1260" w:top="1246" w:right="1280" w:bottom="722" w:gutter="0" w:footer="0" w:header="0"/>
        </w:sectPr>
      </w:pPr>
    </w:p>
    <w:bookmarkStart w:id="34" w:name="page35"/>
    <w:bookmarkEnd w:id="34"/>
    <w:p>
      <w:pPr>
        <w:spacing w:after="0" w:line="247" w:lineRule="auto"/>
        <w:rPr>
          <w:sz w:val="20"/>
          <w:szCs w:val="20"/>
          <w:color w:val="auto"/>
        </w:rPr>
      </w:pPr>
      <w:r>
        <w:rPr>
          <w:rFonts w:ascii="Times New Roman" w:cs="Times New Roman" w:eastAsia="Times New Roman" w:hAnsi="Times New Roman"/>
          <w:sz w:val="20"/>
          <w:szCs w:val="20"/>
          <w:color w:val="auto"/>
        </w:rPr>
        <w:t>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pacing w:after="0" w:line="80"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have difficulty integrating future acquisitions, which would reduce the anticipated benefits of those transactions.</w:t>
      </w:r>
    </w:p>
    <w:p>
      <w:pPr>
        <w:spacing w:after="0" w:line="48"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We intend to continually evaluate potential acquisitions of complementary businesses, products, services and technologies, including those that are significant in size and scope. The risks we may encounter in acquisitions include:</w:t>
      </w:r>
    </w:p>
    <w:p>
      <w:pPr>
        <w:spacing w:after="0" w:line="61" w:lineRule="exact"/>
        <w:rPr>
          <w:sz w:val="20"/>
          <w:szCs w:val="20"/>
          <w:color w:val="auto"/>
        </w:rPr>
      </w:pPr>
    </w:p>
    <w:p>
      <w:pPr>
        <w:ind w:left="1080" w:right="200" w:hanging="353"/>
        <w:spacing w:after="0" w:line="251" w:lineRule="auto"/>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incur significant debt to finance a future acquisition and our business does not perform as expected, we may have difficulty complying with debt covenants;</w:t>
      </w:r>
    </w:p>
    <w:p>
      <w:pPr>
        <w:ind w:left="1080" w:hanging="353"/>
        <w:spacing w:after="0" w:line="238" w:lineRule="auto"/>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use our stock to make a future acquisition, it will dilute existing stockholders;</w:t>
      </w:r>
    </w:p>
    <w:p>
      <w:pPr>
        <w:ind w:left="1080" w:hanging="353"/>
        <w:spacing w:after="0"/>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have difficulty integrating the operations and personnel of any acquired company;</w:t>
      </w:r>
    </w:p>
    <w:p>
      <w:pPr>
        <w:ind w:left="1080" w:right="280" w:hanging="353"/>
        <w:spacing w:after="0" w:line="239" w:lineRule="auto"/>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face the challenges and additional investments involved with integrating new products, services and technologies into our sales and marketing process associated with any acquired business;</w:t>
      </w:r>
    </w:p>
    <w:p>
      <w:pPr>
        <w:ind w:left="1080" w:hanging="353"/>
        <w:spacing w:after="0"/>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our ongoing business may be disrupted by transition and integration issues with any acquired business;</w:t>
      </w:r>
    </w:p>
    <w:p>
      <w:pPr>
        <w:ind w:left="1080" w:right="100" w:hanging="353"/>
        <w:spacing w:after="0" w:line="239" w:lineRule="auto"/>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and complexity of integrating the internal information technology infrastructure of each acquired business with ours may be greater than expected and may require additional capital investments;</w:t>
      </w:r>
    </w:p>
    <w:p>
      <w:pPr>
        <w:ind w:left="1080" w:hanging="353"/>
        <w:spacing w:after="0"/>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unable to achieve the financial and strategic goals for any acquired businesses;</w:t>
      </w:r>
    </w:p>
    <w:p>
      <w:pPr>
        <w:ind w:left="1080" w:right="860" w:hanging="353"/>
        <w:spacing w:after="0" w:line="239" w:lineRule="auto"/>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have difficulty in maintaining controls, procedures and policies during the transition and integration period following a future acquisition;</w:t>
      </w:r>
    </w:p>
    <w:p>
      <w:pPr>
        <w:ind w:left="1080" w:hanging="353"/>
        <w:spacing w:after="0" w:line="238" w:lineRule="auto"/>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relationships with existing university partners could be adversely affected following an acquisition; and</w:t>
      </w:r>
    </w:p>
    <w:p>
      <w:pPr>
        <w:ind w:left="1080" w:hanging="353"/>
        <w:spacing w:after="0"/>
        <w:tabs>
          <w:tab w:leader="none" w:pos="10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as successor we may be subject to certain liabilities of our acquisition targets.</w:t>
      </w:r>
    </w:p>
    <w:p>
      <w:pPr>
        <w:spacing w:after="0" w:line="84"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Our failure to effectively integrate any future acquisition would materially limit the benefit of such transaction, including potential synergies or sales growth opportunities, in the time frame anticipated.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Extensive Regulation of the Higher Education Industry</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68"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university partners, and any future university partners, are regulated by other state education agencies and additional specialized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including our primary university partner. In some cases, these enforcement actions have resulted in material sanctions, loss of Title IV eligibility, or closure in</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00"/>
          </w:cols>
          <w:pgMar w:left="1260" w:top="1246" w:right="1280" w:bottom="722" w:gutter="0" w:footer="0" w:header="0"/>
        </w:sectPr>
      </w:pPr>
    </w:p>
    <w:bookmarkStart w:id="35" w:name="page36"/>
    <w:bookmarkEnd w:id="35"/>
    <w:p>
      <w:pPr>
        <w:ind w:right="20"/>
        <w:spacing w:after="0" w:line="278" w:lineRule="auto"/>
        <w:rPr>
          <w:sz w:val="20"/>
          <w:szCs w:val="20"/>
          <w:color w:val="auto"/>
        </w:rPr>
      </w:pPr>
      <w:r>
        <w:rPr>
          <w:rFonts w:ascii="Times New Roman" w:cs="Times New Roman" w:eastAsia="Times New Roman" w:hAnsi="Times New Roman"/>
          <w:sz w:val="20"/>
          <w:szCs w:val="20"/>
          <w:color w:val="auto"/>
        </w:rPr>
        <w:t>schools. We cannot predict with certainty how all of these regulatory requirements will be applied, or whether we will be able to comply with all of the applicable requirements in the future.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Rulemaking by ED could materially and adversely affect our business.</w:t>
      </w:r>
    </w:p>
    <w:p>
      <w:pPr>
        <w:spacing w:after="0" w:line="11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Over the past few years, ED has regularly promulgated new regulations and guidance that impact our university partners and our business directly. These and other regulations and guidance documents, including those discussed above under “Regulation of our Education Services Business,”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 providers, could further negatively impact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published regulations could materially and adversely affect our business.</w:t>
      </w:r>
    </w:p>
    <w:p>
      <w:pPr>
        <w:spacing w:after="0" w:line="120"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auto"/>
        </w:rPr>
        <w:t>In addition to other regulations discussed elsewhere (such as the new Gainful Employment regulations), on July 1, 2024 new regulations became effective covering the areas of financial responsibility, administrative capability, certification standards and procedures, and ability to benefit.</w:t>
      </w:r>
    </w:p>
    <w:p>
      <w:pPr>
        <w:spacing w:after="0" w:line="64"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b w:val="1"/>
          <w:bCs w:val="1"/>
          <w:color w:val="auto"/>
        </w:rPr>
        <w:t>Financial Responsibility</w:t>
      </w:r>
      <w:r>
        <w:rPr>
          <w:rFonts w:ascii="Times New Roman" w:cs="Times New Roman" w:eastAsia="Times New Roman" w:hAnsi="Times New Roman"/>
          <w:sz w:val="20"/>
          <w:szCs w:val="20"/>
          <w:color w:val="auto"/>
        </w:rPr>
        <w:t>: The final regulations include an expanded list of mandatory and discretionary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triggering events that could result in ED determining that an institution lacks financial responsibility and must submit to ED a letter of credit or other form of acceptable financial protection and accept other conditions on the institution’s Title IV Program eligibility.</w:t>
      </w:r>
    </w:p>
    <w:p>
      <w:pPr>
        <w:spacing w:after="0" w:line="70" w:lineRule="exact"/>
        <w:rPr>
          <w:sz w:val="20"/>
          <w:szCs w:val="20"/>
          <w:color w:val="auto"/>
        </w:rPr>
      </w:pPr>
    </w:p>
    <w:p>
      <w:pPr>
        <w:ind w:right="240" w:firstLine="720"/>
        <w:spacing w:after="0" w:line="246" w:lineRule="auto"/>
        <w:rPr>
          <w:sz w:val="20"/>
          <w:szCs w:val="20"/>
          <w:color w:val="auto"/>
        </w:rPr>
      </w:pPr>
      <w:r>
        <w:rPr>
          <w:rFonts w:ascii="Times New Roman" w:cs="Times New Roman" w:eastAsia="Times New Roman" w:hAnsi="Times New Roman"/>
          <w:sz w:val="20"/>
          <w:szCs w:val="20"/>
          <w:color w:val="auto"/>
        </w:rPr>
        <w:t>The final regulations, among other things, modify and substantially expand the number of triggers and, as a result, increase the likelihood that ED could impose a financial protection requirement and other conditions on our university partners. The final rules require the institution to notify ED of a triggering event and provide information demonstrating why the event does not warrant the submission of a letter of credit or imposition of other requirements. The final rules state that, if ED requires financial protection as a result of more than one mandatory or discretionary trigger, ED will require separate financial protection for each individual trigger, which could substantially increase the amount of financial protection we and other institutions could be required to provide to ED.</w:t>
      </w:r>
    </w:p>
    <w:p>
      <w:pPr>
        <w:spacing w:after="0" w:line="8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Examples of mandatory triggering events under the final rules include a lawsuit by a federal or state authority or a qui tam lawsuit in which the Federal government has intervened, where the suit has been pending for 120 days as measured under the regulation; an action where ED seeks to recover the cost of adjudicated claims in favor of borrowers under the borrower defense to repayment regulations and the claims would lower the institution’s composite score below 1.0; certain judgments, awards, or settlements in certain lawsuits, mediations, or administrative or arbitration proceedings; certain withdrawals of owner’s equity including by dividend; gainful employment issues; accreditor requirements to submit a teach-out plan for reasons related to financial concerns; certain actions taken against a publicly - traded company or failure to timely file certain annual or quarterly reports; 90/10 Rule issues; cohort default rate issues; contributions and distributions occurring near the fiscal year end that materially impact the composite score; certain defaults or other adverse events under a financing arrangement; or certain financial exigencies or receiverships.</w:t>
      </w:r>
    </w:p>
    <w:p>
      <w:pPr>
        <w:spacing w:after="0" w:line="81"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Examples of discretionary triggering events under the final regulations include certain accrediting agency actions, certain accreditor events, fluctuations in Title IV volume, high annual dropout rates, indicators of significant change in the financial condition of the institution, the formation by ED of a group process to consider borrower defense claims against the institution, the institution’s discontinuation of education programs affecting at least 25 percent of enrolled students receiving Title IV funds, the institution’s closure of locations that enroll more than 25 percent of its students who receive Title IV funds, certain state licensing agency actions, the loss of institutional or program eligibility in another federal educational assistance program, a requirement to disclose in a public filing that the company is under investigation for possible violations of law, or if the institution is cited and faces loss of education assistance funds from another federal agency if it does not comply with agency requirements. The final regulations also established new rules for evaluating financial responsibility during a change in ownership.</w:t>
      </w:r>
    </w:p>
    <w:p>
      <w:pPr>
        <w:spacing w:after="0" w:line="78" w:lineRule="exact"/>
        <w:rPr>
          <w:sz w:val="20"/>
          <w:szCs w:val="20"/>
          <w:color w:val="auto"/>
        </w:rPr>
      </w:pPr>
    </w:p>
    <w:p>
      <w:pPr>
        <w:ind w:right="280" w:firstLine="720"/>
        <w:spacing w:after="0" w:line="250" w:lineRule="auto"/>
        <w:rPr>
          <w:sz w:val="20"/>
          <w:szCs w:val="20"/>
          <w:color w:val="auto"/>
        </w:rPr>
      </w:pPr>
      <w:r>
        <w:rPr>
          <w:rFonts w:ascii="Times New Roman" w:cs="Times New Roman" w:eastAsia="Times New Roman" w:hAnsi="Times New Roman"/>
          <w:sz w:val="20"/>
          <w:szCs w:val="20"/>
          <w:b w:val="1"/>
          <w:bCs w:val="1"/>
          <w:color w:val="auto"/>
        </w:rPr>
        <w:t>Administrative Capability</w:t>
      </w:r>
      <w:r>
        <w:rPr>
          <w:rFonts w:ascii="Times New Roman" w:cs="Times New Roman" w:eastAsia="Times New Roman" w:hAnsi="Times New Roman"/>
          <w:sz w:val="20"/>
          <w:szCs w:val="20"/>
          <w:color w:val="auto"/>
        </w:rPr>
        <w:t>: ED assesses the administrative capability of each institution that participates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Title IV programs under a series of separate standards. Failure to satisfy any of the standards may lead ED to find the institution ineligible to participate in Title IV programs or to place the institution on provisional certification as a condition of its participation. The final rules add more standards related to topics such as the provision of adequate financial aid counseling and career services, ensuring the availability of clinical and externship opportunities,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720"/>
          </w:cols>
          <w:pgMar w:left="1260" w:top="1246" w:right="1260" w:bottom="722" w:gutter="0" w:footer="0" w:header="0"/>
        </w:sectPr>
      </w:pPr>
    </w:p>
    <w:bookmarkStart w:id="36" w:name="page37"/>
    <w:bookmarkEnd w:id="36"/>
    <w:p>
      <w:pPr>
        <w:ind w:right="340"/>
        <w:spacing w:after="0" w:line="259" w:lineRule="auto"/>
        <w:rPr>
          <w:sz w:val="20"/>
          <w:szCs w:val="20"/>
          <w:color w:val="auto"/>
        </w:rPr>
      </w:pPr>
      <w:r>
        <w:rPr>
          <w:rFonts w:ascii="Times New Roman" w:cs="Times New Roman" w:eastAsia="Times New Roman" w:hAnsi="Times New Roman"/>
          <w:sz w:val="20"/>
          <w:szCs w:val="20"/>
          <w:color w:val="auto"/>
        </w:rPr>
        <w:t>disbursement of Title IV funds in a timely manner, compliance with high school diploma requirements, preventing substantial misrepresentations, complying with gainful employment requirements, and avoiding significant negative actions with a federal, state, or accrediting agency.</w:t>
      </w:r>
    </w:p>
    <w:p>
      <w:pPr>
        <w:spacing w:after="0" w:line="61"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b w:val="1"/>
          <w:bCs w:val="1"/>
          <w:color w:val="auto"/>
        </w:rPr>
        <w:t>Certification Regulations</w:t>
      </w:r>
      <w:r>
        <w:rPr>
          <w:rFonts w:ascii="Times New Roman" w:cs="Times New Roman" w:eastAsia="Times New Roman" w:hAnsi="Times New Roman"/>
          <w:sz w:val="20"/>
          <w:szCs w:val="20"/>
          <w:color w:val="auto"/>
        </w:rPr>
        <w:t>: The final regulations expanded the grounds for placing institutions on provisional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certification, expanded the types of conditions ED may impose on provisionally certified institutions, and expanded the number of requirements contained in the institution’s program participation agreement with ED (including, among other requirements, an obligation to comply with all state laws related to closure). The final regulations, allow ED to place institutions on provisional certification if, among other reasons, the institution does not meet financial responsibility factors or administrative capability standards, if the institution is required by ED to submit a letter of credit as a result of a mandatory or discretionary triggering event, or if ED deems the institution to be at risk of closure.</w:t>
      </w:r>
    </w:p>
    <w:p>
      <w:pPr>
        <w:spacing w:after="0" w:line="7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An institution that is provisionally certified receives fewer due process rights than those received by other institutions in the event ED takes certain adverse actions against the institution, is required to obtain prior ED approvals of new campuses and educational programs and may be subject to heightened scrutiny by ED. Provisional certification makes it easier for ED to revoke or decline to renew an institution’s Title IV eligibility without undergoing a formal administrative appeal process. The regulations also expand the conditions to which institutions must agree as part of their participation in the Title IV programs.</w:t>
      </w:r>
    </w:p>
    <w:p>
      <w:pPr>
        <w:spacing w:after="0" w:line="8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These final regulations also allow ED to determine whether to certify or impose conditions on an institution based on consideration of factors including, for example, the institution’s withdrawal rate, the amounts the institution spent on recruiting activities, advertising, and other pre-enrollment activities, and the passage rate for licensure exams for programs that are designed to meet the educational requirements for a professional license required for employment in an occupation.</w:t>
      </w:r>
    </w:p>
    <w:p>
      <w:pPr>
        <w:spacing w:after="0" w:line="77"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These final regulations expand the types of conditions ED can impose on provisionally certified institutions including, for example, restrictions on the addition of new programs or locations; restrictions on the rate of growth or new enrollment of students or of Title IV volume; restrictions on the institution providing a teach-out on behalf of another institution; restrictions on the acquisition of another participating institution (including financial protection requirements); additional reporting requirements; limitations on entering into certain written arrangements with institutions or entities for providing part of an educational program, requirements to submit marketing and recruiting materials to ED for approval (if the institution is alleged or found to have engaged in substantial misrepresentations to students, engaged in aggressive recruiting practices, or violated incentive compensation rules); reporting requirements for institutions that received a government formal inquiry such as a subpoena related to its marketing or recruitment or its federal financial aid, and other potential conditions imposed by ED.</w:t>
      </w:r>
    </w:p>
    <w:p>
      <w:pPr>
        <w:spacing w:after="0" w:line="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Additionally, in January 2025, ED published another set of regulations. The regulations include:</w:t>
      </w:r>
    </w:p>
    <w:p>
      <w:pPr>
        <w:spacing w:after="0" w:line="134" w:lineRule="exact"/>
        <w:rPr>
          <w:sz w:val="20"/>
          <w:szCs w:val="20"/>
          <w:color w:val="auto"/>
        </w:rPr>
      </w:pPr>
    </w:p>
    <w:p>
      <w:pPr>
        <w:ind w:left="1080" w:right="280" w:hanging="353"/>
        <w:spacing w:after="0" w:line="245" w:lineRule="auto"/>
        <w:tabs>
          <w:tab w:leader="none" w:pos="10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A new definition of “distance education course” which provides that a course is considered a distance education course if all instruction occurs exclusively through distance education methods, as defined in existing regulations. This designation applies even if the course includes in-person, non-instructional activities sch as orientation, testing or academic support services;</w:t>
      </w:r>
    </w:p>
    <w:p>
      <w:pPr>
        <w:spacing w:after="0" w:line="2" w:lineRule="exact"/>
        <w:rPr>
          <w:rFonts w:ascii="Symbol" w:cs="Symbol" w:eastAsia="Symbol" w:hAnsi="Symbol"/>
          <w:sz w:val="20"/>
          <w:szCs w:val="20"/>
          <w:color w:val="auto"/>
        </w:rPr>
      </w:pPr>
    </w:p>
    <w:p>
      <w:pPr>
        <w:ind w:left="1080" w:right="1060" w:hanging="353"/>
        <w:spacing w:after="0" w:line="239" w:lineRule="auto"/>
        <w:tabs>
          <w:tab w:leader="none" w:pos="10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Technical changes to the TRIO programs that focus on providing services to individuals from disadvantaged backgrounds;</w:t>
      </w:r>
    </w:p>
    <w:p>
      <w:pPr>
        <w:ind w:left="1080" w:hanging="353"/>
        <w:spacing w:after="0"/>
        <w:tabs>
          <w:tab w:leader="none" w:pos="10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Revisions to the return to Title IV process;</w:t>
      </w:r>
    </w:p>
    <w:p>
      <w:pPr>
        <w:ind w:left="1080" w:right="20" w:hanging="353"/>
        <w:spacing w:after="0" w:line="239" w:lineRule="auto"/>
        <w:tabs>
          <w:tab w:leader="none" w:pos="10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A requirement that an institution is required to document a student’s withdrawal date within 14 days of the last date of attendance;</w:t>
      </w:r>
    </w:p>
    <w:p>
      <w:pPr>
        <w:spacing w:after="0" w:line="1" w:lineRule="exact"/>
        <w:rPr>
          <w:rFonts w:ascii="Symbol" w:cs="Symbol" w:eastAsia="Symbol" w:hAnsi="Symbol"/>
          <w:sz w:val="20"/>
          <w:szCs w:val="20"/>
          <w:color w:val="auto"/>
        </w:rPr>
      </w:pPr>
    </w:p>
    <w:p>
      <w:pPr>
        <w:ind w:left="1080" w:right="320" w:hanging="353"/>
        <w:spacing w:after="0"/>
        <w:tabs>
          <w:tab w:leader="none" w:pos="10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Clarification regarding the academic progressions of students returning from a leave of absence from a clock-hour/non-term credit hour, subscription-based, and eligible prison education programs;</w:t>
      </w:r>
    </w:p>
    <w:p>
      <w:pPr>
        <w:ind w:left="1080" w:hanging="353"/>
        <w:spacing w:after="0" w:line="238" w:lineRule="auto"/>
        <w:tabs>
          <w:tab w:leader="none" w:pos="10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Clarification related to programs offered in modules; and</w:t>
      </w:r>
    </w:p>
    <w:p>
      <w:pPr>
        <w:ind w:left="1080" w:hanging="353"/>
        <w:spacing w:after="0"/>
        <w:tabs>
          <w:tab w:leader="none" w:pos="10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A requirement that institutions report student enrollment in distance education or correspondence courses.</w:t>
      </w:r>
    </w:p>
    <w:p>
      <w:pPr>
        <w:spacing w:after="0" w:line="82"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color w:val="auto"/>
        </w:rPr>
        <w:t>These changes are effective July 1, 2026, except for the reporting requirements related to distance education and correspondence courses, which take effect on July 1, 2027.</w:t>
      </w:r>
    </w:p>
    <w:p>
      <w:pPr>
        <w:spacing w:after="0" w:line="48" w:lineRule="exact"/>
        <w:rPr>
          <w:sz w:val="20"/>
          <w:szCs w:val="20"/>
          <w:color w:val="auto"/>
        </w:rPr>
      </w:pPr>
    </w:p>
    <w:p>
      <w:pPr>
        <w:ind w:right="380" w:firstLine="720"/>
        <w:spacing w:after="0" w:line="258" w:lineRule="auto"/>
        <w:rPr>
          <w:sz w:val="20"/>
          <w:szCs w:val="20"/>
          <w:color w:val="auto"/>
        </w:rPr>
      </w:pPr>
      <w:r>
        <w:rPr>
          <w:rFonts w:ascii="Times New Roman" w:cs="Times New Roman" w:eastAsia="Times New Roman" w:hAnsi="Times New Roman"/>
          <w:sz w:val="20"/>
          <w:szCs w:val="20"/>
          <w:color w:val="auto"/>
        </w:rPr>
        <w:t>We are still reviewing the final regulations and cannot predict the ultimate impact of the final regulations discussed above, but the final regulations do impose a broad range of additional requirements on institutions, which increases the possibility that our university partners could be subject to additional reporting requirements, potential</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640"/>
          </w:cols>
          <w:pgMar w:left="1260" w:top="1246" w:right="1340" w:bottom="722" w:gutter="0" w:footer="0" w:header="0"/>
        </w:sectPr>
      </w:pPr>
    </w:p>
    <w:bookmarkStart w:id="37" w:name="page38"/>
    <w:bookmarkEnd w:id="37"/>
    <w:p>
      <w:pPr>
        <w:ind w:right="60"/>
        <w:spacing w:after="0" w:line="259" w:lineRule="auto"/>
        <w:rPr>
          <w:sz w:val="20"/>
          <w:szCs w:val="20"/>
          <w:color w:val="auto"/>
        </w:rPr>
      </w:pPr>
      <w:r>
        <w:rPr>
          <w:rFonts w:ascii="Times New Roman" w:cs="Times New Roman" w:eastAsia="Times New Roman" w:hAnsi="Times New Roman"/>
          <w:sz w:val="20"/>
          <w:szCs w:val="20"/>
          <w:color w:val="auto"/>
        </w:rPr>
        <w:t>liabilities and sanctions, and potential loss of Title IV eligibility if our efforts, or the efforts of our university partners, to modify operations to comply with the new regulations are unsuccessful, which could have a significant impact on our business and results of operations.</w:t>
      </w:r>
    </w:p>
    <w:p>
      <w:pPr>
        <w:spacing w:after="0" w:line="6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71"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 Certification can be granted on a full or provisional basis and, in instances where ED is reviewing an application for renewal but does not complete the review by the stated date of expiration, may be continued on a month-to-month basis until the review is complete.</w:t>
      </w:r>
    </w:p>
    <w:p>
      <w:pPr>
        <w:spacing w:after="0" w:line="8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For a school that is certified on a provisional basis, ED may revoke the institution’s certification without advance notice or advance opportunity for the institution to challenge that action. For a school that is certified on a month-to-month basis, ED may allow the institution’s certification to expire at the end of any month without advance notice, and without any formal procedures for review of such action. To our knowledge, such action is very rare and has only occurred upon a determination that an institution is in substantial violation of material Title IV requirements. Our primary university partner, GCU, currently operates under a provisional program participation agreement that expires on June 30, 2026.</w:t>
      </w:r>
    </w:p>
    <w:p>
      <w:pPr>
        <w:spacing w:after="0" w:line="7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There can be no assurance that ED will recertify any university partner institution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or place other restrictions on the institution, or it could delay recertification after any university partners’ program participation agreement expires, in which case our university partner’s certification would continue on a month-to-month basis. Any of these outcomes could have a material adverse effect on our university partners’ enrollments and us.</w:t>
      </w:r>
    </w:p>
    <w:p>
      <w:pPr>
        <w:spacing w:after="0" w:line="8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university partner institution fails to maintain any of its specialized accreditations or approvals.</w:t>
      </w:r>
    </w:p>
    <w:p>
      <w:pPr>
        <w:spacing w:after="0" w:line="65" w:lineRule="exact"/>
        <w:rPr>
          <w:sz w:val="20"/>
          <w:szCs w:val="20"/>
          <w:color w:val="auto"/>
        </w:rPr>
      </w:pPr>
    </w:p>
    <w:p>
      <w:pPr>
        <w:ind w:right="20" w:firstLine="720"/>
        <w:spacing w:after="0" w:line="263" w:lineRule="auto"/>
        <w:rPr>
          <w:sz w:val="20"/>
          <w:szCs w:val="20"/>
          <w:color w:val="auto"/>
        </w:rPr>
      </w:pPr>
      <w:r>
        <w:rPr>
          <w:rFonts w:ascii="Times New Roman" w:cs="Times New Roman" w:eastAsia="Times New Roman" w:hAnsi="Times New Roman"/>
          <w:sz w:val="19"/>
          <w:szCs w:val="19"/>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Some of our other university partners are accredited by HLC while the others are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64"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If any university partner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00"/>
          </w:cols>
          <w:pgMar w:left="1260" w:top="1246" w:right="1280" w:bottom="722" w:gutter="0" w:footer="0" w:header="0"/>
        </w:sectPr>
      </w:pPr>
    </w:p>
    <w:bookmarkStart w:id="38" w:name="page39"/>
    <w:bookmarkEnd w:id="38"/>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university partner institution may lose eligibility to participate in the Title IV programs if its student loan default rates are too high.</w:t>
      </w:r>
    </w:p>
    <w:p>
      <w:pPr>
        <w:spacing w:after="0" w:line="4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full year after such repayment start date. In addition, an institution may lose its eligibility to participate in some or all of the Title IV programs if the default rate of its students exceeds 40% for any single year. While GCU’s cohort default rates, for example,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university partner institutions, we cannot guarantee that all university partner institutions will have a cohort default rate as low as GCU. Having a university partner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pacing w:after="0" w:line="8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68"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university partner institutions or the number of students they enroll, any of which sanctions could have an adverse impact on our business. For example, GCU, calculated its composite score with respect to its fiscal years ending June 30, 2024 and 2023. As of June 30, 2024 and 2023, GCU’s composite score per GCU’s audited financial statements was 1.9 and 1.8, respectively, using the proprietary school calculation. If GCU’s future composite scores do not exceed 1.5, ED could impose sanctions. If any such sanctions were imposed on GCU or one of our other university partners, it could have a negative impact on our ability to conduct our business. In addition, if its composite score dropped low enough, it could cause GCU to be ineligible for participation in NC-SARA, which would require GCU to become authorized in numerous states in which it operates or has students.</w:t>
      </w:r>
    </w:p>
    <w:p>
      <w:pPr>
        <w:spacing w:after="0" w:line="101"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In addition, there are a number of other financial responsibility standards with which institutions must comply, including those discussed above. See “Recently published regulations could materially and adversely affect our business”. The failure to comply with these standards could also result in the imposition of various sanctions, such as the imposition of letters of credit. If any such sanctions were imposed on GCU or one of our other university partners, it could have a negative impact on our ability to conduct our business.</w:t>
      </w:r>
    </w:p>
    <w:p>
      <w:pPr>
        <w:spacing w:after="0" w:line="77"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university partner institutions do not comply with ED’s administrative capability standards, we could suffer harm.</w:t>
      </w:r>
    </w:p>
    <w:p>
      <w:pPr>
        <w:spacing w:after="0" w:line="47"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that the institution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20"/>
          </w:cols>
          <w:pgMar w:left="1260" w:top="1246" w:right="1260" w:bottom="722" w:gutter="0" w:footer="0" w:header="0"/>
        </w:sectPr>
      </w:pPr>
    </w:p>
    <w:bookmarkStart w:id="39" w:name="page40"/>
    <w:bookmarkEnd w:id="39"/>
    <w:p>
      <w:pPr>
        <w:ind w:right="120"/>
        <w:spacing w:after="0" w:line="245" w:lineRule="auto"/>
        <w:rPr>
          <w:sz w:val="20"/>
          <w:szCs w:val="20"/>
          <w:color w:val="auto"/>
        </w:rPr>
      </w:pPr>
      <w:r>
        <w:rPr>
          <w:rFonts w:ascii="Times New Roman" w:cs="Times New Roman" w:eastAsia="Times New Roman" w:hAnsi="Times New Roman"/>
          <w:sz w:val="20"/>
          <w:szCs w:val="20"/>
          <w:color w:val="auto"/>
        </w:rPr>
        <w:t>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These regulations were also recently revised, as discussed above, and there may be additional restrictions or requirements that may create additional hurdles to compliance or otherwise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83"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finding by ED or other regulators that we or our university partner institutions misrepresented the nature of our partner institutions’ educational programs could materially and adversely affect our business.</w:t>
      </w:r>
    </w:p>
    <w:p>
      <w:pPr>
        <w:spacing w:after="0" w:line="47"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on behalf of our university partner institutions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in their conversations with students and prospective students.</w:t>
      </w:r>
    </w:p>
    <w:p>
      <w:pPr>
        <w:spacing w:after="0" w:line="8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 xml:space="preserve">Despite our best efforts, we or our university partners may face complaints from our university partners’ students and prospective students over statements made by us and our agents throughout the conduct of our services that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For example, in October 2023, ED imposed a fine of $ 37 million on GCU (which GCU is appealing) related to alleged misrepresentation by GCU regarding the costs of certain doctorate programs. Similar rules apply under state laws or are incorporated in institutional accreditation standards. The FTC applies similar rules prohibiting any unfair or deceptive marketing practices to the education sector and has pursued litigation against us and GCU related in part to these matters. See </w:t>
      </w:r>
      <w:r>
        <w:rPr>
          <w:rFonts w:ascii="Times New Roman" w:cs="Times New Roman" w:eastAsia="Times New Roman" w:hAnsi="Times New Roman"/>
          <w:sz w:val="20"/>
          <w:szCs w:val="20"/>
          <w:i w:val="1"/>
          <w:iCs w:val="1"/>
          <w:color w:val="auto"/>
        </w:rPr>
        <w:t>Part I, Item 3 – Legal Proceedings – FTC Complaint</w:t>
      </w:r>
      <w:r>
        <w:rPr>
          <w:rFonts w:ascii="Times New Roman" w:cs="Times New Roman" w:eastAsia="Times New Roman" w:hAnsi="Times New Roman"/>
          <w:sz w:val="20"/>
          <w:szCs w:val="20"/>
          <w:color w:val="auto"/>
        </w:rPr>
        <w:t>. If ED or another regulator determines that statements made by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on our university partners’ behalf are in violation of the regulations, we could be subject to sanctions, legal actions, and other liability, which could have a material adverse effect on our business.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68"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9"/>
          <w:szCs w:val="19"/>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 severally liable to ED, along with the relevant university partner, for return of those funds. Further, we could be fined or otherwise sanctioned by ED, which could increase our cost of regulatory compliance and materially adversely affect us.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00"/>
          </w:cols>
          <w:pgMar w:left="1260" w:top="1246" w:right="1280" w:bottom="722" w:gutter="0" w:footer="0" w:header="0"/>
        </w:sectPr>
      </w:pPr>
    </w:p>
    <w:bookmarkStart w:id="40" w:name="page41"/>
    <w:bookmarkEnd w:id="40"/>
    <w:p>
      <w:pPr>
        <w:ind w:right="440"/>
        <w:spacing w:after="0" w:line="278" w:lineRule="auto"/>
        <w:rPr>
          <w:sz w:val="20"/>
          <w:szCs w:val="20"/>
          <w:color w:val="auto"/>
        </w:rPr>
      </w:pPr>
      <w:r>
        <w:rPr>
          <w:rFonts w:ascii="Times New Roman" w:cs="Times New Roman" w:eastAsia="Times New Roman" w:hAnsi="Times New Roman"/>
          <w:sz w:val="20"/>
          <w:szCs w:val="20"/>
          <w:color w:val="auto"/>
        </w:rPr>
        <w:t>Further, a failure to comply with these regulatory requirements could result in termination of our ability to continue providing these services to other university partner institutions, which would materially adversely affect us.</w:t>
      </w:r>
    </w:p>
    <w:p>
      <w:pPr>
        <w:spacing w:after="0" w:line="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7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71"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Any action by Congress that significantly reduces Title IV program funding, whether through across-the-board funding reductions, sequestration or otherwise, or materially impacts the eligibility of our university partner institutions or students to participate in Title IV programs would have a material adverse effect on our university partner institutions’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73"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w:t>
      </w:r>
    </w:p>
    <w:p>
      <w:pPr>
        <w:spacing w:after="0" w:line="78"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university partner institutions do not maintain state authorization, they may not operate or participate in the Title IV programs.</w:t>
      </w:r>
    </w:p>
    <w:p>
      <w:pPr>
        <w:spacing w:after="0" w:line="4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university partner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81" w:lineRule="exact"/>
        <w:rPr>
          <w:sz w:val="20"/>
          <w:szCs w:val="20"/>
          <w:color w:val="auto"/>
        </w:rPr>
      </w:pPr>
    </w:p>
    <w:p>
      <w:pPr>
        <w:ind w:right="220" w:firstLine="720"/>
        <w:spacing w:after="0" w:line="245" w:lineRule="auto"/>
        <w:rPr>
          <w:sz w:val="20"/>
          <w:szCs w:val="20"/>
          <w:color w:val="auto"/>
        </w:rPr>
      </w:pPr>
      <w:r>
        <w:rPr>
          <w:rFonts w:ascii="Times New Roman" w:cs="Times New Roman" w:eastAsia="Times New Roman" w:hAnsi="Times New Roman"/>
          <w:sz w:val="20"/>
          <w:szCs w:val="20"/>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81"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19"/>
          <w:szCs w:val="19"/>
          <w:color w:val="auto"/>
        </w:rPr>
        <w:t>State regulatory requirements for online education have historically varied among the states. To address this issue and to meet new ED requirements many schools have applied and have been approved to be approved institutional participants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00"/>
          </w:cols>
          <w:pgMar w:left="1260" w:top="1246" w:right="1280" w:bottom="722" w:gutter="0" w:footer="0" w:header="0"/>
        </w:sectPr>
      </w:pPr>
    </w:p>
    <w:bookmarkStart w:id="41" w:name="page42"/>
    <w:bookmarkEnd w:id="41"/>
    <w:p>
      <w:pPr>
        <w:ind w:right="260"/>
        <w:spacing w:after="0" w:line="259" w:lineRule="auto"/>
        <w:rPr>
          <w:sz w:val="20"/>
          <w:szCs w:val="20"/>
          <w:color w:val="auto"/>
        </w:rPr>
      </w:pPr>
      <w:r>
        <w:rPr>
          <w:rFonts w:ascii="Times New Roman" w:cs="Times New Roman" w:eastAsia="Times New Roman" w:hAnsi="Times New Roman"/>
          <w:sz w:val="20"/>
          <w:szCs w:val="20"/>
          <w:color w:val="auto"/>
        </w:rPr>
        <w:t>administered by the Western Interstate Commission for Higher Education (referred to as W-SARA). There is a yearly renewal for participating in NC-SARA and AZ-SARA and institutions must agree to meet certain requirements to participate. All states other than California are members of SARA.</w:t>
      </w:r>
    </w:p>
    <w:p>
      <w:pPr>
        <w:spacing w:after="0" w:line="65"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Any state that does not participate in SARA may impose regulatory requirements on out-of-state post-secondary institutions operating within its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non- SARA jurisdiction, or fails to obtain licenses or authorizations when required, it could lose its license or authorization by that jurisdiction or be subject to other sanctions, including restrictions on its activities in, and fines and penalties imposed by, that jurisdiction, as well as fines, penalties, and sanctions imposed by ED. The loss of licensure or authorization in any non-SARA jurisdiction by a university partner institution could prohibit us from recruiting prospective students or offering services to current students in that jurisdiction, which could significantly reduce our university partner’s enrollments.</w:t>
      </w:r>
    </w:p>
    <w:p>
      <w:pPr>
        <w:spacing w:after="0" w:line="82"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As discussed, ED has started a new negotiated rulemaking addressing state authorization which implicates SARA. While no regulations have been published, any regulation could have a material adverse effect on our business.</w:t>
      </w:r>
    </w:p>
    <w:p>
      <w:pPr>
        <w:spacing w:after="0" w:line="7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86"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Furthermore, our university partners must typically maintain a composite score of at least 1.5 to maintain their membership in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74"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68"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19"/>
          <w:szCs w:val="19"/>
          <w:color w:val="auto"/>
        </w:rPr>
        <w:t xml:space="preserve">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In addition, our largest university partner, GCU, has been subject to additional scrutiny. In October 2021, the FTC issued a public statement indicating that it would coordinate efforts with ED and the VA to investigate for-profit universities, a category that at that time included GCU due to ED’s 2019 decision that GCU did not satisfy ED’s definition of a non-profit entity and, as a result, that ED would continue to treat GCU as a proprietary institution for purposes of its continued participation in Title IV programs. In the period following the FTC’s statement, ED, the VA and the FTC initiated multiple actions against GCU, including audits, compliance reviews, civil investigative demands, fines and lawsuits, and the FTC has initiated civil investigative demands and a lawsuit against us, that allege, among other things, misrepresentations made in connection with marketing activities, including statements made related to GCU’s non-profit status. </w:t>
      </w:r>
      <w:r>
        <w:rPr>
          <w:rFonts w:ascii="Times New Roman" w:cs="Times New Roman" w:eastAsia="Times New Roman" w:hAnsi="Times New Roman"/>
          <w:sz w:val="19"/>
          <w:szCs w:val="19"/>
          <w:i w:val="1"/>
          <w:iCs w:val="1"/>
          <w:color w:val="auto"/>
        </w:rPr>
        <w:t>See “– Regulation of Our University Partners - Coordinated action by federal agencies.”</w:t>
      </w:r>
      <w:r>
        <w:rPr>
          <w:rFonts w:ascii="Times New Roman" w:cs="Times New Roman" w:eastAsia="Times New Roman" w:hAnsi="Times New Roman"/>
          <w:sz w:val="19"/>
          <w:szCs w:val="19"/>
          <w:color w:val="auto"/>
        </w:rPr>
        <w:t xml:space="preserve"> These actions, taken as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680"/>
          </w:cols>
          <w:pgMar w:left="1260" w:top="1246" w:right="1300" w:bottom="722" w:gutter="0" w:footer="0" w:header="0"/>
        </w:sectPr>
      </w:pPr>
    </w:p>
    <w:bookmarkStart w:id="42" w:name="page43"/>
    <w:bookmarkEnd w:id="42"/>
    <w:p>
      <w:pPr>
        <w:spacing w:after="0" w:line="243" w:lineRule="auto"/>
        <w:rPr>
          <w:sz w:val="20"/>
          <w:szCs w:val="20"/>
          <w:color w:val="auto"/>
        </w:rPr>
      </w:pPr>
      <w:r>
        <w:rPr>
          <w:rFonts w:ascii="Times New Roman" w:cs="Times New Roman" w:eastAsia="Times New Roman" w:hAnsi="Times New Roman"/>
          <w:sz w:val="20"/>
          <w:szCs w:val="20"/>
          <w:color w:val="auto"/>
        </w:rPr>
        <w:t xml:space="preserve">a whole, appear to be coordinated in the manner described in the 2021 FTC statement. These actions, or any future actions by ED, FTC or any other federal or state government agencies or accrediting bodies with oversight over us or GCU, if ultimately resolved adversely to us or GCU, could result in monetary penalties and liabilities, further impact GCU’s non -profit status, and/or cause reputational harm. At this time, we cannot predict what changes those could be or what effect any of those outcomes could have on our business. Claims and lawsuits, and other regulatory actions, brought or taken against us or our university partners, even if they are without merit, may also result in adverse publicity, negatively affect the market price of our stock, adversely affect student enrollments, and reduce the willingness of third parties to do business with us. Even if we or our university partners adequately address the issues raised by any such proceeding and successfully defend against it, we may have to devote significant financial and management resources to address these issues, which could harm our business. </w:t>
      </w:r>
      <w:r>
        <w:rPr>
          <w:rFonts w:ascii="Times New Roman" w:cs="Times New Roman" w:eastAsia="Times New Roman" w:hAnsi="Times New Roman"/>
          <w:sz w:val="20"/>
          <w:szCs w:val="20"/>
          <w:i w:val="1"/>
          <w:iCs w:val="1"/>
          <w:color w:val="auto"/>
        </w:rPr>
        <w:t>See Part 1, Item 3 – Litigation</w:t>
      </w:r>
      <w:r>
        <w:rPr>
          <w:rFonts w:ascii="Times New Roman" w:cs="Times New Roman" w:eastAsia="Times New Roman" w:hAnsi="Times New Roman"/>
          <w:sz w:val="20"/>
          <w:szCs w:val="20"/>
          <w:color w:val="auto"/>
        </w:rPr>
        <w:t xml:space="preserve"> for a discussion of certain litigation matters to which we are a party.</w:t>
      </w:r>
    </w:p>
    <w:p>
      <w:pPr>
        <w:spacing w:after="0" w:line="89"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2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A “third-party servicer” is any person or entity used by “any eligible institution of higher education to administer, through either manual or automated processing, any aspect of such institution’s student assistance programs.” Third party servicers must comply with a number of requirements. For example, they must conduct and submit to ED compliance audits under 34 C.F.R. § 668.23. In addition, they must comply with the requirements of 34 C.F.R. § 668.25, which requires third-party servicers, in their contracts with institutions, to be contractually obligated to, among other things:</w:t>
      </w:r>
    </w:p>
    <w:p>
      <w:pPr>
        <w:spacing w:after="0" w:line="94" w:lineRule="exact"/>
        <w:rPr>
          <w:sz w:val="20"/>
          <w:szCs w:val="20"/>
          <w:color w:val="auto"/>
        </w:rPr>
      </w:pPr>
    </w:p>
    <w:p>
      <w:pPr>
        <w:ind w:left="1080" w:right="160" w:hanging="353"/>
        <w:spacing w:after="0" w:line="247" w:lineRule="auto"/>
        <w:tabs>
          <w:tab w:leader="none" w:pos="10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Comply with all statutory provisions of or applicable to Title IV of the HEA, including the requirement to use any funds that the servicer administers under any Title IV program and any interest or other earnings thereon solely for the purposes specified in and in accordance with that program;</w:t>
      </w:r>
    </w:p>
    <w:p>
      <w:pPr>
        <w:ind w:left="1080" w:right="40" w:hanging="353"/>
        <w:spacing w:after="0" w:line="239" w:lineRule="auto"/>
        <w:tabs>
          <w:tab w:leader="none" w:pos="10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program or an applicant for Title IV program assistance might have engaged in fraud or other criminal misconduct in connection with his or her application; and</w:t>
      </w:r>
    </w:p>
    <w:p>
      <w:pPr>
        <w:spacing w:after="0" w:line="3" w:lineRule="exact"/>
        <w:rPr>
          <w:rFonts w:ascii="Symbol" w:cs="Symbol" w:eastAsia="Symbol" w:hAnsi="Symbol"/>
          <w:sz w:val="20"/>
          <w:szCs w:val="20"/>
          <w:color w:val="auto"/>
        </w:rPr>
      </w:pPr>
    </w:p>
    <w:p>
      <w:pPr>
        <w:ind w:left="1080" w:right="80" w:hanging="353"/>
        <w:spacing w:after="0" w:line="239" w:lineRule="auto"/>
        <w:tabs>
          <w:tab w:leader="none" w:pos="10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88" w:lineRule="exact"/>
        <w:rPr>
          <w:sz w:val="20"/>
          <w:szCs w:val="20"/>
          <w:color w:val="auto"/>
        </w:rPr>
      </w:pPr>
    </w:p>
    <w:p>
      <w:pPr>
        <w:jc w:val="both"/>
        <w:ind w:right="100" w:firstLine="720"/>
        <w:spacing w:after="0" w:line="258" w:lineRule="auto"/>
        <w:rPr>
          <w:sz w:val="20"/>
          <w:szCs w:val="20"/>
          <w:color w:val="auto"/>
        </w:rPr>
      </w:pPr>
      <w:r>
        <w:rPr>
          <w:rFonts w:ascii="Times New Roman" w:cs="Times New Roman" w:eastAsia="Times New Roman" w:hAnsi="Times New Roman"/>
          <w:sz w:val="20"/>
          <w:szCs w:val="20"/>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w:t>
      </w:r>
    </w:p>
    <w:p>
      <w:pPr>
        <w:spacing w:after="0" w:line="67"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4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process of re-authorization of the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77"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servicers such as us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720"/>
          </w:cols>
          <w:pgMar w:left="1260" w:top="1246" w:right="1260" w:bottom="722" w:gutter="0" w:footer="0" w:header="0"/>
        </w:sectPr>
      </w:pPr>
    </w:p>
    <w:bookmarkStart w:id="43" w:name="page44"/>
    <w:bookmarkEnd w:id="43"/>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partners could compromise our ability to drive revenue through their programs or make our platform less attractive to them. Congress could also enact laws or regulations that require us to modify our practices in ways that could increase our costs.</w:t>
      </w:r>
    </w:p>
    <w:p>
      <w:pPr>
        <w:spacing w:after="0" w:line="83"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Changing requirements related to data privacy may create increased costs and operational difficulties for university partner institutions and, potentially, for GCE.</w:t>
      </w:r>
    </w:p>
    <w:p>
      <w:pPr>
        <w:spacing w:after="0" w:line="4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December 2020, ED announced that it was finalizing a new Campus Cybersecurity Program framework. This proposed multi-year phased implementation would begin with a self-assessment of the National Institute of Standards and Technology Special Publication 800–171 Rev. 2, Controlled Unclassified Information in Nonfederal Systems (NIST 800–171 Rev. 2) readiness and outreach activities. ED specifically said it was “committed to fully advancing and encouraging all postsecondary institutions’ implementation of NIST 800-171 controls.” This announcement was addressed both to institutions of higher education and their third-party servicers. In February 2023, ED issued Electronic Announcement GEN 23-09 stating, among other items “The Department will issue guidance on NIST 800-171 compliance in a future Electronic Announcement, but again encourages institutions to begin incorporating the information security controls required under NIST 800-171 into the written information security program required under GLBA as soon as possible.”</w:t>
      </w:r>
    </w:p>
    <w:p>
      <w:pPr>
        <w:spacing w:after="0" w:line="81" w:lineRule="exact"/>
        <w:rPr>
          <w:sz w:val="20"/>
          <w:szCs w:val="20"/>
          <w:color w:val="auto"/>
        </w:rPr>
      </w:pPr>
    </w:p>
    <w:p>
      <w:pPr>
        <w:jc w:val="both"/>
        <w:ind w:right="520" w:firstLine="720"/>
        <w:spacing w:after="0" w:line="259" w:lineRule="auto"/>
        <w:rPr>
          <w:sz w:val="20"/>
          <w:szCs w:val="20"/>
          <w:color w:val="auto"/>
        </w:rPr>
      </w:pPr>
      <w:r>
        <w:rPr>
          <w:rFonts w:ascii="Times New Roman" w:cs="Times New Roman" w:eastAsia="Times New Roman" w:hAnsi="Times New Roman"/>
          <w:sz w:val="20"/>
          <w:szCs w:val="20"/>
          <w:color w:val="auto"/>
        </w:rPr>
        <w:t>While details related to this announcement are few, it does suggest that ED will be taking a greater role in ensuring universities and their service providers meet NIST standards and are protecting the students and ED data received. Compliance with NIST will likely increase operational cost if required to come into compliance.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General Risks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success depends upon our ability to recruit and retain key personnel.</w:t>
      </w:r>
    </w:p>
    <w:p>
      <w:pPr>
        <w:spacing w:after="0" w:line="12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81" w:lineRule="exact"/>
        <w:rPr>
          <w:sz w:val="20"/>
          <w:szCs w:val="20"/>
          <w:color w:val="auto"/>
        </w:rPr>
      </w:pPr>
    </w:p>
    <w:p>
      <w:pPr>
        <w:ind w:right="8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47"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and the regulations thereunder, will be impaired, perhaps materially. Any such impairment could materially and adversely affect our financial condition, results of operations, and cash flows.</w:t>
      </w:r>
    </w:p>
    <w:p>
      <w:pPr>
        <w:spacing w:after="0" w:line="8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controls, our ability to produce accurate financial statements on a timely basis could be impaired.</w:t>
      </w:r>
    </w:p>
    <w:p>
      <w:pPr>
        <w:spacing w:after="0" w:line="47" w:lineRule="exact"/>
        <w:rPr>
          <w:sz w:val="20"/>
          <w:szCs w:val="20"/>
          <w:color w:val="auto"/>
        </w:rPr>
      </w:pPr>
    </w:p>
    <w:p>
      <w:pPr>
        <w:ind w:right="120" w:firstLine="720"/>
        <w:spacing w:after="0" w:line="263" w:lineRule="auto"/>
        <w:rPr>
          <w:sz w:val="20"/>
          <w:szCs w:val="20"/>
          <w:color w:val="auto"/>
        </w:rPr>
      </w:pPr>
      <w:r>
        <w:rPr>
          <w:rFonts w:ascii="Times New Roman" w:cs="Times New Roman" w:eastAsia="Times New Roman" w:hAnsi="Times New Roman"/>
          <w:sz w:val="19"/>
          <w:szCs w:val="19"/>
          <w:color w:val="auto"/>
        </w:rPr>
        <w:t>We are subject to the reporting requirements of the Securities Exchange Act of 1934, the Sarbanes-Oxley Act and the rules and regulations of The Nasdaq Global Select Market. The Sarbanes- 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10 - K filing for that year, as required by Section 404 of the Sarbanes-Oxley Act. This may require us to incur substantial additional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20"/>
          </w:cols>
          <w:pgMar w:left="1260" w:top="1246" w:right="1260" w:bottom="722" w:gutter="0" w:footer="0" w:header="0"/>
        </w:sectPr>
      </w:pPr>
    </w:p>
    <w:bookmarkStart w:id="44" w:name="page45"/>
    <w:bookmarkEnd w:id="44"/>
    <w:p>
      <w:pPr>
        <w:ind w:right="160"/>
        <w:spacing w:after="0" w:line="247" w:lineRule="auto"/>
        <w:rPr>
          <w:sz w:val="20"/>
          <w:szCs w:val="20"/>
          <w:color w:val="auto"/>
        </w:rPr>
      </w:pPr>
      <w:r>
        <w:rPr>
          <w:rFonts w:ascii="Times New Roman" w:cs="Times New Roman" w:eastAsia="Times New Roman" w:hAnsi="Times New Roman"/>
          <w:sz w:val="20"/>
          <w:szCs w:val="20"/>
          <w:color w:val="auto"/>
        </w:rPr>
        <w:t>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80"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Occurrence of natural or man-made catastrophes could materially and adversely affect our business, financial condition, results of operations and prospects.</w:t>
      </w:r>
    </w:p>
    <w:p>
      <w:pPr>
        <w:spacing w:after="0" w:line="4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Natural events, health epidemics (such as the COVID-19 pandemic), acts of God, terrorist attacks and other acts of violence,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 university partners. Any of these events, their consequences or the costs related to mitigation or remediation could have a material adverse effect on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Owning our Common Stock</w:t>
      </w:r>
    </w:p>
    <w:p>
      <w:pPr>
        <w:spacing w:after="0" w:line="12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4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9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4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activity within the trading market for our common stock depends in part on the research and reports that industry or financial analysts publish about us, our business and the education services sector in which we operate. If analysts cease coverage of us or our sector, we could lose visibility in the market for our stock, which in turn could cause our stock price to decline. In addition, if one or more of the analysts covering us were to downgrade their estimates or evaluations of our stock, the price of our stock could decline.</w:t>
      </w:r>
    </w:p>
    <w:p>
      <w:pPr>
        <w:spacing w:after="0" w:line="77"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4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or to repurchase shares of our common stock. In addition, the terms of our prior credit facility limited, and the terms of any future debt agreements are likely to similarly limit, our ability to pay dividends. As a result, capital appreciation, if any, of our common stock will be your sole source of gain for the foreseeable future. Investors seeking cash dividends should not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00"/>
          </w:cols>
          <w:pgMar w:left="1260" w:top="1246" w:right="1280" w:bottom="722" w:gutter="0" w:footer="0" w:header="0"/>
        </w:sectPr>
      </w:pPr>
    </w:p>
    <w:bookmarkStart w:id="45" w:name="page46"/>
    <w:bookmarkEnd w:id="45"/>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20"/>
          <w:szCs w:val="20"/>
          <w:b w:val="1"/>
          <w:bCs w:val="1"/>
          <w:i w:val="1"/>
          <w:iCs w:val="1"/>
          <w:color w:val="auto"/>
        </w:rPr>
        <w:t>Unresolved Staff Comments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20"/>
          <w:szCs w:val="20"/>
          <w:b w:val="1"/>
          <w:bCs w:val="1"/>
          <w:i w:val="1"/>
          <w:iCs w:val="1"/>
          <w:color w:val="auto"/>
        </w:rPr>
        <w:t>Cybersecurity</w:t>
      </w:r>
    </w:p>
    <w:p>
      <w:pPr>
        <w:spacing w:after="0" w:line="243" w:lineRule="exact"/>
        <w:rPr>
          <w:sz w:val="20"/>
          <w:szCs w:val="20"/>
          <w:color w:val="auto"/>
        </w:rPr>
      </w:pPr>
    </w:p>
    <w:p>
      <w:pPr>
        <w:ind w:right="120" w:firstLine="720"/>
        <w:spacing w:after="0" w:line="242" w:lineRule="auto"/>
        <w:rPr>
          <w:sz w:val="20"/>
          <w:szCs w:val="20"/>
          <w:color w:val="auto"/>
        </w:rPr>
      </w:pPr>
      <w:r>
        <w:rPr>
          <w:rFonts w:ascii="Times New Roman" w:cs="Times New Roman" w:eastAsia="Times New Roman" w:hAnsi="Times New Roman"/>
          <w:sz w:val="20"/>
          <w:szCs w:val="20"/>
          <w:color w:val="auto"/>
        </w:rPr>
        <w:t xml:space="preserve">Like all companies that utilize technology, we are subject to threats of breaches of our technology systems. To mitigate the threat to our business, we take a comprehensive approach to cybersecurity risk management. Our Board of Directors and our management actively oversee our risk management program, including the management of cybersecurity risks. We have established policies, standards, processes and practices for assessing, identifying, and managing material risks from cybersecurity threats, including those discussed in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We have devoted significant financial and personnel resources to implement and maintain security measures to meet regulatory requirements and stakeholder expectations, and we intend to continue to make significant investments to maintain the security of our data and cybersecurity infrastructure. While there can be no guarantee that our policies and procedures will be properly followed in every instance or that those policies and procedures will be effective, we believe that the Company’s sustained investment in people and technologies have contributed to a culture of continuous improvement that has put the Company in a position to protect against potential compromises and we do not believe that risks from prior cybersecurity threats, including as a result of any previous cybersecurity incident, have materially affected our business to date. We can provide no assurance that there will not be incidents in the future or that past or future attacks will not materially affect us, including our business strategy, results of operations, or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Management and Strategy</w:t>
      </w:r>
    </w:p>
    <w:p>
      <w:pPr>
        <w:spacing w:after="0" w:line="123"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At a high level, the key objectives for the Company’s cybersecurity program are to implement and sustain effective security controls to stop intrusion attempts and to maintain and continuously improve its ability to respond to attacks and incidents. Success in achieving these objectives relies upon using quality technology</w:t>
      </w:r>
    </w:p>
    <w:p>
      <w:pPr>
        <w:spacing w:after="0" w:line="2"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0"/>
          <w:szCs w:val="20"/>
          <w:color w:val="auto"/>
        </w:rPr>
        <w:t>solutions, cultivating and maintaining a team of skilled professionals, and improving processes continuously. Our cybersecurity program in particular focuses on the following key areas:</w:t>
      </w:r>
    </w:p>
    <w:p>
      <w:pPr>
        <w:spacing w:after="0" w:line="74" w:lineRule="exact"/>
        <w:rPr>
          <w:sz w:val="20"/>
          <w:szCs w:val="20"/>
          <w:color w:val="auto"/>
        </w:rPr>
      </w:pPr>
    </w:p>
    <w:p>
      <w:pPr>
        <w:ind w:right="220"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Risk Assessment</w:t>
      </w:r>
      <w:r>
        <w:rPr>
          <w:rFonts w:ascii="Times New Roman" w:cs="Times New Roman" w:eastAsia="Times New Roman" w:hAnsi="Times New Roman"/>
          <w:sz w:val="20"/>
          <w:szCs w:val="20"/>
          <w:color w:val="auto"/>
        </w:rPr>
        <w:t>: At least annually, we conduct a cybersecurity risk assessment that takes into account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from internal stakeholders, known information security vulnerabilities, and information from external sources, including reported security incidents that have impacted other companies, industry trends, and evaluations by third parties and consultants. The results of the assessment are used to develop initiatives to enhance our security controls, make recommendations to improve processes, and inform a broader Company-wide risk assessment that are then reported to our Board, Audit Committee and members of management.</w:t>
      </w:r>
    </w:p>
    <w:p>
      <w:pPr>
        <w:spacing w:after="0" w:line="80"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Technical Safeguards</w:t>
      </w:r>
      <w:r>
        <w:rPr>
          <w:rFonts w:ascii="Times New Roman" w:cs="Times New Roman" w:eastAsia="Times New Roman" w:hAnsi="Times New Roman"/>
          <w:sz w:val="20"/>
          <w:szCs w:val="20"/>
          <w:color w:val="auto"/>
        </w:rPr>
        <w:t>: We regularly assess and deploy technical safeguards designed to protect our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systems from cybersecurity threats. Such safeguards are regularly evaluated and improved based on vulnerability assessments, cybersecurity threat intelligence and incident response experience.</w:t>
      </w:r>
    </w:p>
    <w:p>
      <w:pPr>
        <w:spacing w:after="0" w:line="65"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Incident Response and Recovery Planning</w:t>
      </w:r>
      <w:r>
        <w:rPr>
          <w:rFonts w:ascii="Times New Roman" w:cs="Times New Roman" w:eastAsia="Times New Roman" w:hAnsi="Times New Roman"/>
          <w:sz w:val="20"/>
          <w:szCs w:val="20"/>
          <w:color w:val="auto"/>
        </w:rPr>
        <w:t>: We have established comprehensive incident response and recovery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plans that guide our response in the event of a cybersecurity incident. We continuously test and evaluate the effectiveness of those plans.</w:t>
      </w:r>
    </w:p>
    <w:p>
      <w:pPr>
        <w:spacing w:after="0" w:line="6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Vendor Risk Management</w:t>
      </w:r>
      <w:r>
        <w:rPr>
          <w:rFonts w:ascii="Times New Roman" w:cs="Times New Roman" w:eastAsia="Times New Roman" w:hAnsi="Times New Roman"/>
          <w:sz w:val="20"/>
          <w:szCs w:val="20"/>
          <w:color w:val="auto"/>
        </w:rPr>
        <w:t>: We have implemented a robust vendor risk management program, which is designed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identify and mitigate cybersecurity threats associated with our use of third-party service providers. Such providers are subject to security risk assessments at the time of onboarding, contract renewal, and upon detection of an increase in risk profile. We use a variety of inputs in such risk assessments, including information supplied by providers in response to detailed questionnaires and meetings as well as information from third parties. In addition, we require our providers to meet appropriate security requirements, controls and responsibilities and investigate security incidents that have impacted our third-party providers, as appropriate. Contract language, purchasing decisions, and/or technology implementation strategies are frequently adjusted as a result of this process.</w:t>
      </w:r>
    </w:p>
    <w:p>
      <w:pPr>
        <w:spacing w:after="0" w:line="81"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Education and Awareness</w:t>
      </w:r>
      <w:r>
        <w:rPr>
          <w:rFonts w:ascii="Times New Roman" w:cs="Times New Roman" w:eastAsia="Times New Roman" w:hAnsi="Times New Roman"/>
          <w:sz w:val="20"/>
          <w:szCs w:val="20"/>
          <w:color w:val="auto"/>
        </w:rPr>
        <w:t>: Our policies require each of our employees to contribute to our data security efforts.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regularly remind employees of the importance of handling and protecting data, including through annual privacy and security training to enhance employee awareness of how to detect and respond to cybersecurity threats. In this regard, the Company has implemented policies and procedures for all employees including: (i) information security/cybersecurity policies, which are internally available for all employees, (ii) information security/cybersecurity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680"/>
          </w:cols>
          <w:pgMar w:left="1260" w:top="1243" w:right="1300" w:bottom="722" w:gutter="0" w:footer="0" w:header="0"/>
        </w:sectPr>
      </w:pPr>
    </w:p>
    <w:bookmarkStart w:id="46" w:name="page47"/>
    <w:bookmarkEnd w:id="46"/>
    <w:p>
      <w:pPr>
        <w:ind w:right="400"/>
        <w:spacing w:after="0" w:line="259" w:lineRule="auto"/>
        <w:rPr>
          <w:sz w:val="20"/>
          <w:szCs w:val="20"/>
          <w:color w:val="auto"/>
        </w:rPr>
      </w:pPr>
      <w:r>
        <w:rPr>
          <w:rFonts w:ascii="Times New Roman" w:cs="Times New Roman" w:eastAsia="Times New Roman" w:hAnsi="Times New Roman"/>
          <w:sz w:val="20"/>
          <w:szCs w:val="20"/>
          <w:color w:val="auto"/>
        </w:rPr>
        <w:t>awareness training; (iii) a clear escalation process which employees can follow in the event an employee notices something suspicious; and (iv) ensuring that information security/cybersecurity is part of the employee performance evaluation and/or disciplinary process.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Governance Disclosure</w:t>
      </w:r>
    </w:p>
    <w:p>
      <w:pPr>
        <w:spacing w:after="0" w:line="12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Board Oversight</w:t>
      </w:r>
      <w:r>
        <w:rPr>
          <w:rFonts w:ascii="Times New Roman" w:cs="Times New Roman" w:eastAsia="Times New Roman" w:hAnsi="Times New Roman"/>
          <w:sz w:val="20"/>
          <w:szCs w:val="20"/>
          <w:color w:val="auto"/>
        </w:rPr>
        <w:t>: The Board of Directors, in coordination with the Audit Committee of the Board,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responsibility for managing the overall risk strategy for the Company, including cyber security risk. Both the Board of Directors and the Audit Committee receive regular reports from management about the prevention, detection, mitigation, and remediation of cybersecurity incidents, including material security risks and information security vulnerabilities. Our Audit Committee directly oversees our cybersecurity program. The Audit Committee additionally receives regular updates from management on cybersecurity risk resulting from risk assessments, progress of risk reduction initiatives, external auditor feedback, control maturity assessments, and relevant internal and industry cybersecurity incidents.</w:t>
      </w:r>
    </w:p>
    <w:p>
      <w:pPr>
        <w:spacing w:after="0" w:line="8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Management’s Role</w:t>
      </w:r>
      <w:r>
        <w:rPr>
          <w:rFonts w:ascii="Times New Roman" w:cs="Times New Roman" w:eastAsia="Times New Roman" w:hAnsi="Times New Roman"/>
          <w:sz w:val="20"/>
          <w:szCs w:val="20"/>
          <w:color w:val="auto"/>
        </w:rPr>
        <w:t>: The Company employs a dedicated Chief Information Security Officer (“CISO”) who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primary responsibility for assessing and managing material cybersecurity risks. Our CISO reports to the Audit Committee quarterly, to provide updates on any new developments and about the effectiveness of the security program. On behalf of the Audit Committee, the CISO administers a robust risk management program carried out by the Governance, Risk, and Compliance (GRC) team, which is integrated as part of the procurement process when making technology purchases, and also makes recommendations on security policies and procedures, security requirements, and risk mitigation strategies. Our CISO is supported by a highly skilled team of information security professionals, many of whom have advanced certifications and/or graduate degrees relevant to their job requirements. Our team has participated in multiple national and international cyber security exercises, including Cyber Storm, the national training exercise run by the U.S. Department of Homeland Security in conjunction the U.S. Cybersecurity and Infrastructure Security Agency. Our CISO works closely with our Chief Risk Officer to provide risk reporting and ensure security and compliance.</w:t>
      </w:r>
    </w:p>
    <w:p>
      <w:pPr>
        <w:spacing w:after="0" w:line="8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Chief Information Security Officer</w:t>
      </w:r>
      <w:r>
        <w:rPr>
          <w:rFonts w:ascii="Times New Roman" w:cs="Times New Roman" w:eastAsia="Times New Roman" w:hAnsi="Times New Roman"/>
          <w:sz w:val="20"/>
          <w:szCs w:val="20"/>
          <w:color w:val="auto"/>
        </w:rPr>
        <w:t>: Our CISO has led the Company’s security team for more than seven years,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overseeing the implementation of multiple new technologies and processes to help protect the organization. Prior to joining the Company, he served as a Subject Mater Expert for Threat Prevention at a cyber security firm, consulted for local government, held other security and technology roles in higher education, and served in the U.S. Navy. He is also a co-author/contributor for the joint book project, Understanding New Security Threats published by Routledge in 2019, and has published articles and made conference keynote and podcast appearances over the years on cybersecurity topics.</w:t>
      </w:r>
    </w:p>
    <w:p>
      <w:pPr>
        <w:spacing w:after="0" w:line="80" w:lineRule="exact"/>
        <w:rPr>
          <w:sz w:val="20"/>
          <w:szCs w:val="20"/>
          <w:color w:val="auto"/>
        </w:rPr>
      </w:pPr>
    </w:p>
    <w:p>
      <w:pPr>
        <w:ind w:right="740" w:firstLine="720"/>
        <w:spacing w:after="0" w:line="278" w:lineRule="auto"/>
        <w:rPr>
          <w:sz w:val="20"/>
          <w:szCs w:val="20"/>
          <w:color w:val="auto"/>
        </w:rPr>
      </w:pPr>
      <w:r>
        <w:rPr>
          <w:rFonts w:ascii="Times New Roman" w:cs="Times New Roman" w:eastAsia="Times New Roman" w:hAnsi="Times New Roman"/>
          <w:sz w:val="20"/>
          <w:szCs w:val="20"/>
          <w:color w:val="auto"/>
        </w:rPr>
        <w:t xml:space="preserve">For more information regarding the risks we face from cybersecurity threats, please see “Item 1A,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Factors</w:t>
      </w:r>
      <w:r>
        <w:rPr>
          <w:rFonts w:ascii="Times New Roman" w:cs="Times New Roman" w:eastAsia="Times New Roman" w:hAnsi="Times New Roman"/>
          <w:sz w:val="20"/>
          <w:szCs w:val="20"/>
          <w:color w:val="auto"/>
        </w:rPr>
        <w:t>.”</w:t>
      </w:r>
    </w:p>
    <w:p>
      <w:pPr>
        <w:spacing w:after="0" w:line="4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i w:val="1"/>
          <w:iCs w:val="1"/>
          <w:color w:val="auto"/>
        </w:rPr>
        <w:t>Properties</w:t>
      </w:r>
    </w:p>
    <w:p>
      <w:pPr>
        <w:spacing w:after="0" w:line="24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GCE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 especially true in Arizona. GCE’s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weather. GCE’s office building utilizes a rooftop rainwater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GCE’s office building is 60% more energy efficient than a standard office building.</w:t>
      </w:r>
    </w:p>
    <w:p>
      <w:pPr>
        <w:spacing w:after="0" w:line="93"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In addition to its owned facilities, GCE leases 39 off-campus classroom and laboratory sites for use in serving its university partners, four office locations in California, and office space in Indianapolis, Indiana. GCE has commitments to add more off-campus classroom and laboratory sites as of December 31, 2024 that have not yet commenced and plans to add additional off-campus classroom and laboratory sites in Arizona and in other states in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00"/>
          </w:cols>
          <w:pgMar w:left="1260" w:top="1246" w:right="1280" w:bottom="722" w:gutter="0" w:footer="0" w:header="0"/>
        </w:sectPr>
      </w:pPr>
    </w:p>
    <w:bookmarkStart w:id="47" w:name="page48"/>
    <w:bookmarkEnd w:id="47"/>
    <w:p>
      <w:pPr>
        <w:ind w:right="200"/>
        <w:spacing w:after="0" w:line="278" w:lineRule="auto"/>
        <w:rPr>
          <w:sz w:val="20"/>
          <w:szCs w:val="20"/>
          <w:color w:val="auto"/>
        </w:rPr>
      </w:pPr>
      <w:r>
        <w:rPr>
          <w:rFonts w:ascii="Times New Roman" w:cs="Times New Roman" w:eastAsia="Times New Roman" w:hAnsi="Times New Roman"/>
          <w:sz w:val="20"/>
          <w:szCs w:val="20"/>
          <w:color w:val="auto"/>
        </w:rPr>
        <w:t>U.S. to accommodate our growth plans in 2025 and beyond. GCE works to maximize energy efficiency and minimize environmental impact in operating its leased facilities just as it does with its owned properties.</w:t>
      </w:r>
    </w:p>
    <w:p>
      <w:pPr>
        <w:spacing w:after="0" w:line="4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i w:val="1"/>
          <w:iCs w:val="1"/>
          <w:color w:val="auto"/>
        </w:rPr>
        <w:t>Legal Proceedings</w:t>
      </w:r>
    </w:p>
    <w:p>
      <w:pPr>
        <w:spacing w:after="0" w:line="243" w:lineRule="exact"/>
        <w:rPr>
          <w:sz w:val="20"/>
          <w:szCs w:val="20"/>
          <w:color w:val="auto"/>
        </w:rPr>
      </w:pPr>
    </w:p>
    <w:p>
      <w:pPr>
        <w:jc w:val="both"/>
        <w:ind w:right="480" w:firstLine="720"/>
        <w:spacing w:after="0" w:line="259" w:lineRule="auto"/>
        <w:rPr>
          <w:sz w:val="20"/>
          <w:szCs w:val="20"/>
          <w:color w:val="auto"/>
        </w:rPr>
      </w:pPr>
      <w:r>
        <w:rPr>
          <w:rFonts w:ascii="Times New Roman" w:cs="Times New Roman" w:eastAsia="Times New Roman" w:hAnsi="Times New Roman"/>
          <w:sz w:val="20"/>
          <w:szCs w:val="20"/>
          <w:color w:val="auto"/>
        </w:rPr>
        <w:t xml:space="preserve">For information regarding our other material pending legal proceedings, see the sections entitled </w:t>
      </w:r>
      <w:r>
        <w:rPr>
          <w:rFonts w:ascii="Times New Roman" w:cs="Times New Roman" w:eastAsia="Times New Roman" w:hAnsi="Times New Roman"/>
          <w:sz w:val="20"/>
          <w:szCs w:val="20"/>
          <w:i w:val="1"/>
          <w:iCs w:val="1"/>
          <w:color w:val="auto"/>
        </w:rPr>
        <w:t>Pending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Litigation Matters </w:t>
      </w:r>
      <w:r>
        <w:rPr>
          <w:rFonts w:ascii="Times New Roman" w:cs="Times New Roman" w:eastAsia="Times New Roman" w:hAnsi="Times New Roman"/>
          <w:sz w:val="20"/>
          <w:szCs w:val="20"/>
          <w:color w:val="auto"/>
        </w:rPr>
        <w:t>within</w:t>
      </w:r>
      <w:r>
        <w:rPr>
          <w:rFonts w:ascii="Times New Roman" w:cs="Times New Roman" w:eastAsia="Times New Roman" w:hAnsi="Times New Roman"/>
          <w:sz w:val="20"/>
          <w:szCs w:val="20"/>
          <w:i w:val="1"/>
          <w:iCs w:val="1"/>
          <w:color w:val="auto"/>
        </w:rPr>
        <w:t xml:space="preserve"> Note 7 Commitments and Contingencies </w:t>
      </w:r>
      <w:r>
        <w:rPr>
          <w:rFonts w:ascii="Times New Roman" w:cs="Times New Roman" w:eastAsia="Times New Roman" w:hAnsi="Times New Roman"/>
          <w:sz w:val="20"/>
          <w:szCs w:val="20"/>
          <w:color w:val="auto"/>
        </w:rPr>
        <w:t>of our notes to consolidated financial statements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in Part IV, Item 15 of this report, which section is incorporated by reference into this Part I, Item 3.</w:t>
      </w:r>
    </w:p>
    <w:p>
      <w:pPr>
        <w:spacing w:after="0" w:line="6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2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23"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As of December 31, 2024, there were approximately 176 registered holders of record of common stock. A substantially greater number of holders of common stock are “street name” or beneficial holders, whose shares are held of record by banks, brokers and other financial institutions.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currently do not anticipate paying cash dividends on our common stock in the foreseeable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Sales of Unregistered Securities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25"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of Equity Securities by the Issuer and Affiliated Purchasers</w:t>
      </w:r>
    </w:p>
    <w:p>
      <w:pPr>
        <w:spacing w:after="0" w:line="119"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On January 29, 2025, our Board of Directors approved a $200.0 million increase under the Company’s existing stock repurchase program, reflecting an aggregate authorization for share repurchases since the initiation of the program of $2,245.0 million. The current expiration date on the repurchase authorization by the Board of Directors is March 1, 2026.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Since the initial approval of our share repurchase plan, we have repurchased 23,883,357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at an aggregate cost of $1,945.4 billion, which purchases are recorded at cost in the accompanying December 31,</w:t>
      </w:r>
    </w:p>
    <w:p>
      <w:pPr>
        <w:spacing w:after="0"/>
        <w:rPr>
          <w:sz w:val="20"/>
          <w:szCs w:val="20"/>
          <w:color w:val="auto"/>
        </w:rPr>
      </w:pPr>
      <w:r>
        <w:rPr>
          <w:rFonts w:ascii="Times New Roman" w:cs="Times New Roman" w:eastAsia="Times New Roman" w:hAnsi="Times New Roman"/>
          <w:sz w:val="20"/>
          <w:szCs w:val="20"/>
          <w:color w:val="auto"/>
        </w:rPr>
        <w:t>2024 consolidated balance sheet and statement of stockholders’ equity. At December 31, 2024, there remained</w:t>
      </w:r>
    </w:p>
    <w:p>
      <w:pPr>
        <w:spacing w:after="0"/>
        <w:rPr>
          <w:sz w:val="20"/>
          <w:szCs w:val="20"/>
          <w:color w:val="auto"/>
        </w:rPr>
      </w:pPr>
      <w:r>
        <w:rPr>
          <w:rFonts w:ascii="Times New Roman" w:cs="Times New Roman" w:eastAsia="Times New Roman" w:hAnsi="Times New Roman"/>
          <w:sz w:val="20"/>
          <w:szCs w:val="20"/>
          <w:color w:val="auto"/>
        </w:rPr>
        <w:t>$99.6 million available under our current share repurchase authorization (which authorization was increased to $299.6</w:t>
      </w:r>
    </w:p>
    <w:p>
      <w:pPr>
        <w:spacing w:after="0"/>
        <w:rPr>
          <w:sz w:val="20"/>
          <w:szCs w:val="20"/>
          <w:color w:val="auto"/>
        </w:rPr>
      </w:pPr>
      <w:r>
        <w:rPr>
          <w:rFonts w:ascii="Times New Roman" w:cs="Times New Roman" w:eastAsia="Times New Roman" w:hAnsi="Times New Roman"/>
          <w:sz w:val="20"/>
          <w:szCs w:val="20"/>
          <w:color w:val="auto"/>
        </w:rPr>
        <w:t>million in January 2025). During the fourth quarter and the year ended December 31, 2024, GCE repurchased 416,497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00"/>
          </w:cols>
          <w:pgMar w:left="1260" w:top="1246" w:right="1280" w:bottom="722" w:gutter="0" w:footer="0" w:header="0"/>
        </w:sectPr>
      </w:pPr>
    </w:p>
    <w:bookmarkStart w:id="48" w:name="page49"/>
    <w:bookmarkEnd w:id="48"/>
    <w:p>
      <w:pPr>
        <w:ind w:right="880"/>
        <w:spacing w:after="0" w:line="278" w:lineRule="auto"/>
        <w:rPr>
          <w:sz w:val="20"/>
          <w:szCs w:val="20"/>
          <w:color w:val="auto"/>
        </w:rPr>
      </w:pPr>
      <w:r>
        <w:rPr>
          <w:rFonts w:ascii="Times New Roman" w:cs="Times New Roman" w:eastAsia="Times New Roman" w:hAnsi="Times New Roman"/>
          <w:sz w:val="20"/>
          <w:szCs w:val="20"/>
          <w:color w:val="auto"/>
        </w:rPr>
        <w:t>and 1,141,678 shares of common stock, respectively, at an aggregate cost of $64.8 million and $165.4 million, respectively.</w:t>
      </w:r>
    </w:p>
    <w:p>
      <w:pPr>
        <w:spacing w:after="0" w:line="48" w:lineRule="exact"/>
        <w:rPr>
          <w:sz w:val="20"/>
          <w:szCs w:val="20"/>
          <w:color w:val="auto"/>
        </w:rPr>
      </w:pPr>
    </w:p>
    <w:p>
      <w:pPr>
        <w:jc w:val="both"/>
        <w:ind w:right="500" w:firstLine="720"/>
        <w:spacing w:after="0" w:line="258" w:lineRule="auto"/>
        <w:rPr>
          <w:sz w:val="20"/>
          <w:szCs w:val="20"/>
          <w:color w:val="auto"/>
        </w:rPr>
      </w:pPr>
      <w:r>
        <w:rPr>
          <w:rFonts w:ascii="Times New Roman" w:cs="Times New Roman" w:eastAsia="Times New Roman" w:hAnsi="Times New Roman"/>
          <w:sz w:val="20"/>
          <w:szCs w:val="20"/>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Maximum Dollar</w:t>
            </w:r>
          </w:p>
        </w:tc>
      </w:tr>
      <w:tr>
        <w:trPr>
          <w:trHeight w:val="184"/>
        </w:trPr>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gridSpan w:val="2"/>
          </w:tcPr>
          <w:p>
            <w:pPr>
              <w:jc w:val="center"/>
              <w:ind w:left="64"/>
              <w:spacing w:after="0"/>
              <w:rPr>
                <w:sz w:val="20"/>
                <w:szCs w:val="20"/>
                <w:color w:val="auto"/>
              </w:rPr>
            </w:pPr>
            <w:r>
              <w:rPr>
                <w:rFonts w:ascii="Times New Roman" w:cs="Times New Roman" w:eastAsia="Times New Roman" w:hAnsi="Times New Roman"/>
                <w:sz w:val="16"/>
                <w:szCs w:val="16"/>
                <w:b w:val="1"/>
                <w:bCs w:val="1"/>
                <w:color w:val="auto"/>
                <w:w w:val="99"/>
              </w:rPr>
              <w:t>Shares Purchased as</w:t>
            </w:r>
          </w:p>
        </w:tc>
        <w:tc>
          <w:tcPr>
            <w:tcW w:w="1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Value of Shares</w:t>
            </w:r>
          </w:p>
        </w:tc>
      </w:tr>
      <w:tr>
        <w:trPr>
          <w:trHeight w:val="184"/>
        </w:trPr>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That May Yet Be</w:t>
            </w:r>
          </w:p>
        </w:tc>
      </w:tr>
      <w:tr>
        <w:trPr>
          <w:trHeight w:val="185"/>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1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Purchased Under</w:t>
            </w:r>
          </w:p>
        </w:tc>
      </w:tr>
      <w:tr>
        <w:trPr>
          <w:trHeight w:val="203"/>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160" w:type="dxa"/>
            <w:vAlign w:val="bottom"/>
          </w:tcPr>
          <w:p>
            <w:pPr>
              <w:spacing w:after="0"/>
              <w:rPr>
                <w:sz w:val="17"/>
                <w:szCs w:val="17"/>
                <w:color w:val="auto"/>
              </w:rPr>
            </w:pP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the Program</w:t>
            </w:r>
          </w:p>
        </w:tc>
      </w:tr>
      <w:tr>
        <w:trPr>
          <w:trHeight w:val="199"/>
        </w:trPr>
        <w:tc>
          <w:tcPr>
            <w:tcW w:w="45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Share Repurchases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October 1, 2024 – October 31,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117,477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117,477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148,600,000</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November 1, 2024 – November 30,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139,251</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139,251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126,100,000</w:t>
            </w:r>
          </w:p>
        </w:tc>
      </w:tr>
      <w:tr>
        <w:trPr>
          <w:trHeight w:val="225"/>
        </w:trPr>
        <w:tc>
          <w:tcPr>
            <w:tcW w:w="45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December 1, 2024 – December 31, 2024</w:t>
            </w:r>
          </w:p>
        </w:tc>
        <w:tc>
          <w:tcPr>
            <w:tcW w:w="13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159,769</w:t>
            </w:r>
          </w:p>
        </w:tc>
        <w:tc>
          <w:tcPr>
            <w:tcW w:w="280" w:type="dxa"/>
            <w:vAlign w:val="bottom"/>
            <w:gridSpan w:val="2"/>
          </w:tcPr>
          <w:p>
            <w:pPr>
              <w:ind w:left="160"/>
              <w:spacing w:after="0" w:line="226" w:lineRule="exact"/>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165.85</w:t>
            </w:r>
          </w:p>
        </w:tc>
        <w:tc>
          <w:tcPr>
            <w:tcW w:w="15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159,769</w:t>
            </w:r>
          </w:p>
        </w:tc>
        <w:tc>
          <w:tcPr>
            <w:tcW w:w="24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99,600,000</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416,497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416,497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99,600,000</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 Withholdings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October 1, 2024 – October 31, 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November 1, 2024 – November 30, 2024</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6"/>
        </w:trPr>
        <w:tc>
          <w:tcPr>
            <w:tcW w:w="45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December 1, 2024 – December 31, 2024</w:t>
            </w:r>
          </w:p>
        </w:tc>
        <w:tc>
          <w:tcPr>
            <w:tcW w:w="16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4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r>
      <w:tr>
        <w:trPr>
          <w:trHeight w:val="275"/>
        </w:trPr>
        <w:tc>
          <w:tcPr>
            <w:tcW w:w="4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GCE Stock Performance</w:t>
      </w:r>
    </w:p>
    <w:p>
      <w:pPr>
        <w:spacing w:after="0" w:line="12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following graph compares the cumulative total return of our common stock with the cumulative total returns of the S&amp;P 500 Index and our education services peer group of seven companies that includes: Wiley Education Services, Pearson plc, CHEGG, Inc., Laureate Education, Inc., Strategic Education, Inc., Adtalum Global Education, Inc. and Coursera. This chart assumes that an investment of $100 was made in our common stock, in the index, and in the peer group on December 31, 2019 and that all dividends paid (if any) were reinvested, and tracks the relative performance of such investments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20"/>
          </w:cols>
          <w:pgMar w:left="1260" w:top="1246" w:right="1260" w:bottom="722" w:gutter="0" w:footer="0" w:header="0"/>
        </w:sectPr>
      </w:pPr>
    </w:p>
    <w:bookmarkStart w:id="49" w:name="page50"/>
    <w:bookmarkEnd w:id="49"/>
    <w:p>
      <w:pPr>
        <w:jc w:val="center"/>
        <w:spacing w:after="0"/>
        <w:rPr>
          <w:sz w:val="20"/>
          <w:szCs w:val="20"/>
          <w:color w:val="auto"/>
        </w:rPr>
      </w:pPr>
      <w:r>
        <w:rPr>
          <w:rFonts w:ascii="Arial" w:cs="Arial" w:eastAsia="Arial" w:hAnsi="Arial"/>
          <w:sz w:val="24"/>
          <w:szCs w:val="24"/>
          <w:b w:val="1"/>
          <w:bCs w:val="1"/>
          <w:color w:val="auto"/>
        </w:rPr>
        <w:t>COMPARISON OF 5 YEAR CUMULATIVE TOTAL RETURN*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Grand Canyon Education, Inc., the S&amp;P 500 Index,</w:t>
      </w:r>
    </w:p>
    <w:p>
      <w:pPr>
        <w:jc w:val="center"/>
        <w:ind w:right="-59"/>
        <w:spacing w:after="0"/>
        <w:rPr>
          <w:sz w:val="20"/>
          <w:szCs w:val="20"/>
          <w:color w:val="auto"/>
        </w:rPr>
      </w:pPr>
      <w:r>
        <w:rPr>
          <w:rFonts w:ascii="Arial" w:cs="Arial" w:eastAsia="Arial" w:hAnsi="Arial"/>
          <w:sz w:val="18"/>
          <w:szCs w:val="18"/>
          <w:color w:val="auto"/>
        </w:rPr>
        <w:t>and a Peer Group</w:t>
      </w:r>
    </w:p>
    <w:p>
      <w:pPr>
        <w:spacing w:after="0" w:line="200" w:lineRule="exact"/>
        <w:rPr>
          <w:sz w:val="20"/>
          <w:szCs w:val="20"/>
          <w:color w:val="auto"/>
        </w:rPr>
      </w:pPr>
    </w:p>
    <w:p>
      <w:pPr>
        <w:spacing w:after="0" w:line="360"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1180" w:type="dxa"/>
            <w:vAlign w:val="bottom"/>
          </w:tcPr>
          <w:p>
            <w:pPr>
              <w:jc w:val="right"/>
              <w:ind w:right="740"/>
              <w:spacing w:after="0"/>
              <w:rPr>
                <w:sz w:val="20"/>
                <w:szCs w:val="20"/>
                <w:color w:val="auto"/>
              </w:rPr>
            </w:pPr>
            <w:r>
              <w:rPr>
                <w:rFonts w:ascii="Arial" w:cs="Arial" w:eastAsia="Arial" w:hAnsi="Arial"/>
                <w:sz w:val="16"/>
                <w:szCs w:val="16"/>
                <w:b w:val="1"/>
                <w:bCs w:val="1"/>
                <w:color w:val="auto"/>
                <w:w w:val="95"/>
              </w:rPr>
              <w:t>$250</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84"/>
        </w:trPr>
        <w:tc>
          <w:tcPr>
            <w:tcW w:w="1180" w:type="dxa"/>
            <w:vAlign w:val="bottom"/>
          </w:tcPr>
          <w:p>
            <w:pPr>
              <w:jc w:val="right"/>
              <w:ind w:right="740"/>
              <w:spacing w:after="0"/>
              <w:rPr>
                <w:sz w:val="20"/>
                <w:szCs w:val="20"/>
                <w:color w:val="auto"/>
              </w:rPr>
            </w:pPr>
            <w:r>
              <w:rPr>
                <w:rFonts w:ascii="Arial" w:cs="Arial" w:eastAsia="Arial" w:hAnsi="Arial"/>
                <w:sz w:val="16"/>
                <w:szCs w:val="16"/>
                <w:b w:val="1"/>
                <w:bCs w:val="1"/>
                <w:color w:val="auto"/>
                <w:w w:val="95"/>
              </w:rPr>
              <w:t>$200</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84"/>
        </w:trPr>
        <w:tc>
          <w:tcPr>
            <w:tcW w:w="1180" w:type="dxa"/>
            <w:vAlign w:val="bottom"/>
          </w:tcPr>
          <w:p>
            <w:pPr>
              <w:jc w:val="right"/>
              <w:ind w:right="740"/>
              <w:spacing w:after="0"/>
              <w:rPr>
                <w:sz w:val="20"/>
                <w:szCs w:val="20"/>
                <w:color w:val="auto"/>
              </w:rPr>
            </w:pPr>
            <w:r>
              <w:rPr>
                <w:rFonts w:ascii="Arial" w:cs="Arial" w:eastAsia="Arial" w:hAnsi="Arial"/>
                <w:sz w:val="16"/>
                <w:szCs w:val="16"/>
                <w:b w:val="1"/>
                <w:bCs w:val="1"/>
                <w:color w:val="auto"/>
                <w:w w:val="95"/>
              </w:rPr>
              <w:t>$150</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84"/>
        </w:trPr>
        <w:tc>
          <w:tcPr>
            <w:tcW w:w="1180" w:type="dxa"/>
            <w:vAlign w:val="bottom"/>
          </w:tcPr>
          <w:p>
            <w:pPr>
              <w:jc w:val="right"/>
              <w:ind w:right="740"/>
              <w:spacing w:after="0"/>
              <w:rPr>
                <w:sz w:val="20"/>
                <w:szCs w:val="20"/>
                <w:color w:val="auto"/>
              </w:rPr>
            </w:pPr>
            <w:r>
              <w:rPr>
                <w:rFonts w:ascii="Arial" w:cs="Arial" w:eastAsia="Arial" w:hAnsi="Arial"/>
                <w:sz w:val="16"/>
                <w:szCs w:val="16"/>
                <w:b w:val="1"/>
                <w:bCs w:val="1"/>
                <w:color w:val="auto"/>
                <w:w w:val="95"/>
              </w:rPr>
              <w:t>$100</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84"/>
        </w:trPr>
        <w:tc>
          <w:tcPr>
            <w:tcW w:w="1180" w:type="dxa"/>
            <w:vAlign w:val="bottom"/>
          </w:tcPr>
          <w:p>
            <w:pPr>
              <w:jc w:val="right"/>
              <w:ind w:right="740"/>
              <w:spacing w:after="0"/>
              <w:rPr>
                <w:sz w:val="20"/>
                <w:szCs w:val="20"/>
                <w:color w:val="auto"/>
              </w:rPr>
            </w:pPr>
            <w:r>
              <w:rPr>
                <w:rFonts w:ascii="Arial" w:cs="Arial" w:eastAsia="Arial" w:hAnsi="Arial"/>
                <w:sz w:val="16"/>
                <w:szCs w:val="16"/>
                <w:b w:val="1"/>
                <w:bCs w:val="1"/>
                <w:color w:val="auto"/>
              </w:rPr>
              <w:t>$50</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45"/>
        </w:trPr>
        <w:tc>
          <w:tcPr>
            <w:tcW w:w="1180" w:type="dxa"/>
            <w:vAlign w:val="bottom"/>
          </w:tcPr>
          <w:p>
            <w:pPr>
              <w:jc w:val="right"/>
              <w:ind w:right="740"/>
              <w:spacing w:after="0"/>
              <w:rPr>
                <w:sz w:val="20"/>
                <w:szCs w:val="20"/>
                <w:color w:val="auto"/>
              </w:rPr>
            </w:pPr>
            <w:r>
              <w:rPr>
                <w:rFonts w:ascii="Arial" w:cs="Arial" w:eastAsia="Arial" w:hAnsi="Arial"/>
                <w:sz w:val="16"/>
                <w:szCs w:val="16"/>
                <w:b w:val="1"/>
                <w:bCs w:val="1"/>
                <w:color w:val="auto"/>
              </w:rPr>
              <w:t>$0</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1180" w:type="dxa"/>
            <w:vAlign w:val="bottom"/>
          </w:tcPr>
          <w:p>
            <w:pPr>
              <w:jc w:val="right"/>
              <w:ind w:right="400"/>
              <w:spacing w:after="0"/>
              <w:rPr>
                <w:sz w:val="20"/>
                <w:szCs w:val="20"/>
                <w:color w:val="auto"/>
              </w:rPr>
            </w:pPr>
            <w:r>
              <w:rPr>
                <w:rFonts w:ascii="Arial" w:cs="Arial" w:eastAsia="Arial" w:hAnsi="Arial"/>
                <w:sz w:val="16"/>
                <w:szCs w:val="16"/>
                <w:b w:val="1"/>
                <w:bCs w:val="1"/>
                <w:color w:val="auto"/>
              </w:rPr>
              <w:t>12/19</w:t>
            </w:r>
          </w:p>
        </w:tc>
        <w:tc>
          <w:tcPr>
            <w:tcW w:w="1400" w:type="dxa"/>
            <w:vAlign w:val="bottom"/>
          </w:tcPr>
          <w:p>
            <w:pPr>
              <w:jc w:val="right"/>
              <w:ind w:right="420"/>
              <w:spacing w:after="0"/>
              <w:rPr>
                <w:sz w:val="20"/>
                <w:szCs w:val="20"/>
                <w:color w:val="auto"/>
              </w:rPr>
            </w:pPr>
            <w:r>
              <w:rPr>
                <w:rFonts w:ascii="Arial" w:cs="Arial" w:eastAsia="Arial" w:hAnsi="Arial"/>
                <w:sz w:val="16"/>
                <w:szCs w:val="16"/>
                <w:b w:val="1"/>
                <w:bCs w:val="1"/>
                <w:color w:val="auto"/>
              </w:rPr>
              <w:t>12/20</w:t>
            </w:r>
          </w:p>
        </w:tc>
        <w:tc>
          <w:tcPr>
            <w:tcW w:w="1380" w:type="dxa"/>
            <w:vAlign w:val="bottom"/>
          </w:tcPr>
          <w:p>
            <w:pPr>
              <w:jc w:val="right"/>
              <w:ind w:right="420"/>
              <w:spacing w:after="0"/>
              <w:rPr>
                <w:sz w:val="20"/>
                <w:szCs w:val="20"/>
                <w:color w:val="auto"/>
              </w:rPr>
            </w:pPr>
            <w:r>
              <w:rPr>
                <w:rFonts w:ascii="Arial" w:cs="Arial" w:eastAsia="Arial" w:hAnsi="Arial"/>
                <w:sz w:val="16"/>
                <w:szCs w:val="16"/>
                <w:b w:val="1"/>
                <w:bCs w:val="1"/>
                <w:color w:val="auto"/>
              </w:rPr>
              <w:t>12/21</w:t>
            </w:r>
          </w:p>
        </w:tc>
        <w:tc>
          <w:tcPr>
            <w:tcW w:w="1380" w:type="dxa"/>
            <w:vAlign w:val="bottom"/>
          </w:tcPr>
          <w:p>
            <w:pPr>
              <w:jc w:val="right"/>
              <w:ind w:right="420"/>
              <w:spacing w:after="0"/>
              <w:rPr>
                <w:sz w:val="20"/>
                <w:szCs w:val="20"/>
                <w:color w:val="auto"/>
              </w:rPr>
            </w:pPr>
            <w:r>
              <w:rPr>
                <w:rFonts w:ascii="Arial" w:cs="Arial" w:eastAsia="Arial" w:hAnsi="Arial"/>
                <w:sz w:val="16"/>
                <w:szCs w:val="16"/>
                <w:b w:val="1"/>
                <w:bCs w:val="1"/>
                <w:color w:val="auto"/>
              </w:rPr>
              <w:t>12/22</w:t>
            </w:r>
          </w:p>
        </w:tc>
        <w:tc>
          <w:tcPr>
            <w:tcW w:w="1380" w:type="dxa"/>
            <w:vAlign w:val="bottom"/>
          </w:tcPr>
          <w:p>
            <w:pPr>
              <w:jc w:val="right"/>
              <w:ind w:right="420"/>
              <w:spacing w:after="0"/>
              <w:rPr>
                <w:sz w:val="20"/>
                <w:szCs w:val="20"/>
                <w:color w:val="auto"/>
              </w:rPr>
            </w:pPr>
            <w:r>
              <w:rPr>
                <w:rFonts w:ascii="Arial" w:cs="Arial" w:eastAsia="Arial" w:hAnsi="Arial"/>
                <w:sz w:val="16"/>
                <w:szCs w:val="16"/>
                <w:b w:val="1"/>
                <w:bCs w:val="1"/>
                <w:color w:val="auto"/>
              </w:rPr>
              <w:t>12/23</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-2366010</wp:posOffset>
            </wp:positionV>
            <wp:extent cx="4504055" cy="2180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4504055" cy="2180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40"/>
        <w:spacing w:after="0"/>
        <w:rPr>
          <w:sz w:val="20"/>
          <w:szCs w:val="20"/>
          <w:color w:val="auto"/>
        </w:rPr>
      </w:pPr>
      <w:r>
        <w:rPr>
          <w:sz w:val="1"/>
          <w:szCs w:val="1"/>
          <w:color w:val="auto"/>
        </w:rPr>
        <w:drawing>
          <wp:inline distT="0" distB="0" distL="0" distR="0">
            <wp:extent cx="320040" cy="717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320040" cy="71755"/>
                    </a:xfrm>
                    <a:prstGeom prst="rect">
                      <a:avLst/>
                    </a:prstGeom>
                    <a:noFill/>
                    <a:ln>
                      <a:noFill/>
                    </a:ln>
                  </pic:spPr>
                </pic:pic>
              </a:graphicData>
            </a:graphic>
          </wp:inline>
        </w:drawing>
      </w:r>
      <w:r>
        <w:rPr>
          <w:rFonts w:ascii="Arial" w:cs="Arial" w:eastAsia="Arial" w:hAnsi="Arial"/>
          <w:sz w:val="18"/>
          <w:szCs w:val="18"/>
          <w:b w:val="1"/>
          <w:bCs w:val="1"/>
          <w:color w:val="auto"/>
        </w:rPr>
        <w:t xml:space="preserve"> Grand Canyon Education, Inc.        </w:t>
      </w:r>
      <w:r>
        <w:rPr>
          <w:sz w:val="1"/>
          <w:szCs w:val="1"/>
          <w:color w:val="auto"/>
        </w:rPr>
        <w:drawing>
          <wp:inline distT="0" distB="0" distL="0" distR="0">
            <wp:extent cx="320040" cy="1003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320040" cy="100330"/>
                    </a:xfrm>
                    <a:prstGeom prst="rect">
                      <a:avLst/>
                    </a:prstGeom>
                    <a:noFill/>
                    <a:ln>
                      <a:noFill/>
                    </a:ln>
                  </pic:spPr>
                </pic:pic>
              </a:graphicData>
            </a:graphic>
          </wp:inline>
        </w:drawing>
      </w:r>
      <w:r>
        <w:rPr>
          <w:rFonts w:ascii="Arial" w:cs="Arial" w:eastAsia="Arial" w:hAnsi="Arial"/>
          <w:sz w:val="18"/>
          <w:szCs w:val="18"/>
          <w:b w:val="1"/>
          <w:bCs w:val="1"/>
          <w:color w:val="auto"/>
        </w:rPr>
        <w:t xml:space="preserve"> S&amp;P 500        </w:t>
      </w:r>
      <w:r>
        <w:rPr>
          <w:sz w:val="1"/>
          <w:szCs w:val="1"/>
          <w:color w:val="auto"/>
        </w:rPr>
        <w:drawing>
          <wp:inline distT="0" distB="0" distL="0" distR="0">
            <wp:extent cx="320040" cy="1003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320040" cy="100330"/>
                    </a:xfrm>
                    <a:prstGeom prst="rect">
                      <a:avLst/>
                    </a:prstGeom>
                    <a:noFill/>
                    <a:ln>
                      <a:noFill/>
                    </a:ln>
                  </pic:spPr>
                </pic:pic>
              </a:graphicData>
            </a:graphic>
          </wp:inline>
        </w:drawing>
      </w:r>
      <w:r>
        <w:rPr>
          <w:rFonts w:ascii="Arial" w:cs="Arial" w:eastAsia="Arial" w:hAnsi="Arial"/>
          <w:sz w:val="18"/>
          <w:szCs w:val="18"/>
          <w:b w:val="1"/>
          <w:bCs w:val="1"/>
          <w:color w:val="auto"/>
        </w:rPr>
        <w:t xml:space="preserve"> Peer Group</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*$100 invested on 12/31/19 in stock or index, including reinvestment of dividends.</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Fiscal year ending December 31.</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Copyright© 2025 Standard &amp; Poor's, a division of S&amp;P Global.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12/19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12/20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12/21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12/22</w:t>
            </w:r>
          </w:p>
        </w:tc>
        <w:tc>
          <w:tcPr>
            <w:tcW w:w="820" w:type="dxa"/>
            <w:vAlign w:val="bottom"/>
            <w:gridSpan w:val="2"/>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rPr>
              <w:t>12/23</w:t>
            </w:r>
          </w:p>
        </w:tc>
        <w:tc>
          <w:tcPr>
            <w:tcW w:w="840" w:type="dxa"/>
            <w:vAlign w:val="bottom"/>
            <w:gridSpan w:val="2"/>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8"/>
              </w:rPr>
              <w:t>12/24</w:t>
            </w:r>
          </w:p>
        </w:tc>
        <w:tc>
          <w:tcPr>
            <w:tcW w:w="0" w:type="dxa"/>
            <w:vAlign w:val="bottom"/>
          </w:tcPr>
          <w:p>
            <w:pPr>
              <w:spacing w:after="0"/>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66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rPr>
              <w:t>100.00</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rPr>
              <w:t>97.20</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rPr>
              <w:t>89.48</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rPr>
              <w:t>110.30</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rPr>
              <w:t>137.84</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8"/>
              </w:rPr>
              <w:t>171.00</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S&amp;P 500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118.40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152.39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124.79</w:t>
            </w:r>
          </w:p>
        </w:tc>
        <w:tc>
          <w:tcPr>
            <w:tcW w:w="820" w:type="dxa"/>
            <w:vAlign w:val="bottom"/>
            <w:gridSpan w:val="2"/>
          </w:tcPr>
          <w:p>
            <w:pPr>
              <w:jc w:val="center"/>
              <w:ind w:left="47"/>
              <w:spacing w:after="0"/>
              <w:rPr>
                <w:sz w:val="20"/>
                <w:szCs w:val="20"/>
                <w:color w:val="auto"/>
              </w:rPr>
            </w:pPr>
            <w:r>
              <w:rPr>
                <w:rFonts w:ascii="Times New Roman" w:cs="Times New Roman" w:eastAsia="Times New Roman" w:hAnsi="Times New Roman"/>
                <w:sz w:val="20"/>
                <w:szCs w:val="20"/>
                <w:b w:val="1"/>
                <w:bCs w:val="1"/>
                <w:color w:val="auto"/>
              </w:rPr>
              <w:t>157.59</w:t>
            </w:r>
          </w:p>
        </w:tc>
        <w:tc>
          <w:tcPr>
            <w:tcW w:w="840" w:type="dxa"/>
            <w:vAlign w:val="bottom"/>
            <w:gridSpan w:val="2"/>
          </w:tcPr>
          <w:p>
            <w:pPr>
              <w:jc w:val="center"/>
              <w:ind w:left="47"/>
              <w:spacing w:after="0"/>
              <w:rPr>
                <w:sz w:val="20"/>
                <w:szCs w:val="20"/>
                <w:color w:val="auto"/>
              </w:rPr>
            </w:pPr>
            <w:r>
              <w:rPr>
                <w:rFonts w:ascii="Times New Roman" w:cs="Times New Roman" w:eastAsia="Times New Roman" w:hAnsi="Times New Roman"/>
                <w:sz w:val="20"/>
                <w:szCs w:val="20"/>
                <w:b w:val="1"/>
                <w:bCs w:val="1"/>
                <w:color w:val="auto"/>
                <w:w w:val="98"/>
              </w:rPr>
              <w:t>197.02</w:t>
            </w:r>
          </w:p>
        </w:tc>
        <w:tc>
          <w:tcPr>
            <w:tcW w:w="0" w:type="dxa"/>
            <w:vAlign w:val="bottom"/>
          </w:tcPr>
          <w:p>
            <w:pPr>
              <w:spacing w:after="0"/>
              <w:rPr>
                <w:sz w:val="1"/>
                <w:szCs w:val="1"/>
                <w:color w:val="auto"/>
              </w:rPr>
            </w:pPr>
          </w:p>
        </w:tc>
      </w:tr>
      <w:tr>
        <w:trPr>
          <w:trHeight w:val="275"/>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2024 Peer Group</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122.18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92.11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90.83</w:t>
            </w:r>
          </w:p>
        </w:tc>
        <w:tc>
          <w:tcPr>
            <w:tcW w:w="820" w:type="dxa"/>
            <w:vAlign w:val="bottom"/>
            <w:gridSpan w:val="2"/>
          </w:tcPr>
          <w:p>
            <w:pPr>
              <w:jc w:val="center"/>
              <w:ind w:left="47"/>
              <w:spacing w:after="0"/>
              <w:rPr>
                <w:sz w:val="20"/>
                <w:szCs w:val="20"/>
                <w:color w:val="auto"/>
              </w:rPr>
            </w:pPr>
            <w:r>
              <w:rPr>
                <w:rFonts w:ascii="Times New Roman" w:cs="Times New Roman" w:eastAsia="Times New Roman" w:hAnsi="Times New Roman"/>
                <w:sz w:val="20"/>
                <w:szCs w:val="20"/>
                <w:b w:val="1"/>
                <w:bCs w:val="1"/>
                <w:color w:val="auto"/>
              </w:rPr>
              <w:t>100.46</w:t>
            </w:r>
          </w:p>
        </w:tc>
        <w:tc>
          <w:tcPr>
            <w:tcW w:w="840" w:type="dxa"/>
            <w:vAlign w:val="bottom"/>
            <w:gridSpan w:val="2"/>
          </w:tcPr>
          <w:p>
            <w:pPr>
              <w:jc w:val="center"/>
              <w:ind w:left="47"/>
              <w:spacing w:after="0"/>
              <w:rPr>
                <w:sz w:val="20"/>
                <w:szCs w:val="20"/>
                <w:color w:val="auto"/>
              </w:rPr>
            </w:pPr>
            <w:r>
              <w:rPr>
                <w:rFonts w:ascii="Times New Roman" w:cs="Times New Roman" w:eastAsia="Times New Roman" w:hAnsi="Times New Roman"/>
                <w:sz w:val="20"/>
                <w:szCs w:val="20"/>
                <w:b w:val="1"/>
                <w:bCs w:val="1"/>
                <w:color w:val="auto"/>
                <w:w w:val="98"/>
              </w:rPr>
              <w:t>113.82</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0"/>
          <w:szCs w:val="20"/>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68" w:lineRule="exact"/>
        <w:rPr>
          <w:sz w:val="20"/>
          <w:szCs w:val="20"/>
          <w:color w:val="auto"/>
        </w:rPr>
      </w:pPr>
    </w:p>
    <w:p>
      <w:pPr>
        <w:ind w:right="980" w:firstLine="720"/>
        <w:spacing w:after="0" w:line="278" w:lineRule="auto"/>
        <w:rPr>
          <w:sz w:val="20"/>
          <w:szCs w:val="20"/>
          <w:color w:val="auto"/>
        </w:rPr>
      </w:pPr>
      <w:r>
        <w:rPr>
          <w:rFonts w:ascii="Times New Roman" w:cs="Times New Roman" w:eastAsia="Times New Roman" w:hAnsi="Times New Roman"/>
          <w:sz w:val="20"/>
          <w:szCs w:val="20"/>
          <w:color w:val="auto"/>
        </w:rPr>
        <w:t>The stock price performance included in this graph is not necessarily indicative of future stock price performance.</w:t>
      </w:r>
    </w:p>
    <w:p>
      <w:pPr>
        <w:spacing w:after="0" w:line="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20"/>
          </w:cols>
          <w:pgMar w:left="1260" w:top="1389" w:right="1260" w:bottom="722" w:gutter="0" w:footer="0" w:header="0"/>
        </w:sectPr>
      </w:pPr>
    </w:p>
    <w:bookmarkStart w:id="50" w:name="page51"/>
    <w:bookmarkEnd w:id="50"/>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243"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 xml:space="preserve">The following discussion and analysis of our financial condition and results of operations for the years ended December 31, 2024 and 2023 should be read in conjunction with our consolidated financial statements and related notes that appear in Item 8, </w:t>
      </w:r>
      <w:r>
        <w:rPr>
          <w:rFonts w:ascii="Times New Roman" w:cs="Times New Roman" w:eastAsia="Times New Roman" w:hAnsi="Times New Roman"/>
          <w:sz w:val="20"/>
          <w:szCs w:val="20"/>
          <w:i w:val="1"/>
          <w:iCs w:val="1"/>
          <w:color w:val="auto"/>
        </w:rPr>
        <w:t>Consolidated Financial Statements and Supplementary Data</w:t>
      </w:r>
      <w:r>
        <w:rPr>
          <w:rFonts w:ascii="Times New Roman" w:cs="Times New Roman" w:eastAsia="Times New Roman" w:hAnsi="Times New Roman"/>
          <w:sz w:val="20"/>
          <w:szCs w:val="20"/>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10 - K, particularly in </w:t>
      </w:r>
      <w:r>
        <w:rPr>
          <w:rFonts w:ascii="Times New Roman" w:cs="Times New Roman" w:eastAsia="Times New Roman" w:hAnsi="Times New Roman"/>
          <w:sz w:val="20"/>
          <w:szCs w:val="20"/>
          <w:i w:val="1"/>
          <w:iCs w:val="1"/>
          <w:color w:val="auto"/>
        </w:rPr>
        <w:t>Special Note Regarding Forward-Looking Statements</w:t>
      </w:r>
      <w:r>
        <w:rPr>
          <w:rFonts w:ascii="Times New Roman" w:cs="Times New Roman" w:eastAsia="Times New Roman" w:hAnsi="Times New Roman"/>
          <w:sz w:val="20"/>
          <w:szCs w:val="20"/>
          <w:color w:val="auto"/>
        </w:rPr>
        <w:t xml:space="preserve"> and in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123"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ten colleges both online, on ground at its campus in Phoenix, Arizona and at eight off-campus classroom and laboratory sites.</w:t>
      </w:r>
    </w:p>
    <w:p>
      <w:pPr>
        <w:spacing w:after="0" w:line="7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We also provide education services to numerous university partners across the United States.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2024, GCE provides education services to 22 university partners across the United States.</w:t>
      </w:r>
    </w:p>
    <w:p>
      <w:pPr>
        <w:spacing w:after="0" w:line="7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We seek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3"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86"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We believe that the following critical accounting policies involve our more significant judgments and estimates used in the preparation of our consolidated financial statements:</w:t>
      </w:r>
    </w:p>
    <w:p>
      <w:pPr>
        <w:spacing w:after="0" w:line="48"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GCE generates all of its revenue through services agreements with its university partners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(“Services Agreements”), pursuant to which GCE provides integrated technology and academic services, marketing and communication services, and as applicable, certain back office services to its university partners in return for a percentage of tuition and fee revenue.</w:t>
      </w:r>
    </w:p>
    <w:p>
      <w:pPr>
        <w:spacing w:after="0" w:line="7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GCE’s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680"/>
          </w:cols>
          <w:pgMar w:left="1260" w:top="1243" w:right="1300" w:bottom="722" w:gutter="0" w:footer="0" w:header="0"/>
        </w:sectPr>
      </w:pPr>
    </w:p>
    <w:bookmarkStart w:id="51" w:name="page52"/>
    <w:bookmarkEnd w:id="51"/>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GCE considered forming an expectation of the variable consideration to be received over the service life of this one performance obligation. However, since the performance obligation represents a series of distinct services, GCE recognizes the variable consideration that becomes known and billable because these fees relate to the distinct service period in which the fees are earned. GCE meets the criteria in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and exercises the practical expedient to not disclose the aggregate amount of the transaction price allocated to the single performance obligation that is unsatisfied as of the end of the reporting period. GCE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92"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We recognize the amount of taxes payable or refundable for the current year and deferred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assets and 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2024 and 2023, GCE has reserved approximately $14,626 and $13,631, respectively, for uncertain tax positions, including interest and penalties.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For a discussion of the results of operations for fiscal year 2023 vs 2022, see “Item 7. Management’s Discussion and Analysis of Financial Condition and Results of Operations” in our Annual Report on Form 10-K filed with the SEC for the fiscal year ended December 31, 2023 incorporated herein by reference.</w:t>
      </w:r>
    </w:p>
    <w:p>
      <w:pPr>
        <w:spacing w:after="0" w:line="188"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sets forth certain income statement data as a percentage of revenue for each of the periods indicated. Amortization of intangible assets have been excluded from the table below:</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00" w:type="dxa"/>
            <w:vAlign w:val="bottom"/>
          </w:tcPr>
          <w:p>
            <w:pPr>
              <w:spacing w:after="0"/>
              <w:rPr>
                <w:sz w:val="17"/>
                <w:szCs w:val="17"/>
                <w:color w:val="auto"/>
              </w:rPr>
            </w:pPr>
          </w:p>
        </w:tc>
        <w:tc>
          <w:tcPr>
            <w:tcW w:w="20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780" w:type="dxa"/>
            <w:vAlign w:val="bottom"/>
            <w:tcBorders>
              <w:top w:val="single" w:sz="8" w:color="auto"/>
              <w:bottom w:val="single" w:sz="8" w:color="auto"/>
            </w:tcBorders>
          </w:tcPr>
          <w:p>
            <w:pPr>
              <w:jc w:val="right"/>
              <w:ind w:right="147"/>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24"/>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Technology and academic services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0" w:type="dxa"/>
            <w:vAlign w:val="bottom"/>
          </w:tcPr>
          <w:p>
            <w:pPr>
              <w:spacing w:after="0"/>
              <w:rPr>
                <w:sz w:val="1"/>
                <w:szCs w:val="1"/>
                <w:color w:val="auto"/>
              </w:rPr>
            </w:pPr>
          </w:p>
        </w:tc>
      </w:tr>
      <w:tr>
        <w:trPr>
          <w:trHeight w:val="230"/>
        </w:trPr>
        <w:tc>
          <w:tcPr>
            <w:tcW w:w="7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Counseling services and support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Marketing and communication</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Year Ended December 31, 2023</w:t>
      </w:r>
    </w:p>
    <w:p>
      <w:pPr>
        <w:spacing w:after="0" w:line="12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Service revenue</w:t>
      </w:r>
      <w:r>
        <w:rPr>
          <w:rFonts w:ascii="Times New Roman" w:cs="Times New Roman" w:eastAsia="Times New Roman" w:hAnsi="Times New Roman"/>
          <w:sz w:val="20"/>
          <w:szCs w:val="20"/>
          <w:color w:val="auto"/>
        </w:rPr>
        <w:t>. Our service revenue for the year ended December 31, 2024 was $1,033.0 billion, an increase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$72.1 million, or 7.5%, as compared to service revenue of $960.9 million for the year ended December 31, 2023. The increase year over year in service revenue was primarily due to an increase in GCU enrollments to 123,149 at December 31, 2024, an increase of 5.0% over enrollments at December 31, 2023. Partner enrollments totaled 127,155 at December 31, 2024 as compared to 121,250 at December 31, 2023. University partner enrollments at our off-campus classroom</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00"/>
          </w:cols>
          <w:pgMar w:left="1260" w:top="1246" w:right="1280" w:bottom="722" w:gutter="0" w:footer="0" w:header="0"/>
        </w:sectPr>
      </w:pPr>
    </w:p>
    <w:bookmarkStart w:id="52" w:name="page53"/>
    <w:bookmarkEnd w:id="52"/>
    <w:p>
      <w:pPr>
        <w:ind w:right="20"/>
        <w:spacing w:after="0" w:line="242" w:lineRule="auto"/>
        <w:rPr>
          <w:sz w:val="20"/>
          <w:szCs w:val="20"/>
          <w:color w:val="auto"/>
        </w:rPr>
      </w:pPr>
      <w:r>
        <w:rPr>
          <w:rFonts w:ascii="Times New Roman" w:cs="Times New Roman" w:eastAsia="Times New Roman" w:hAnsi="Times New Roman"/>
          <w:sz w:val="20"/>
          <w:szCs w:val="20"/>
          <w:color w:val="auto"/>
        </w:rPr>
        <w:t>and laboratory sites were 4,919, an increase of 9.8% over enrollments at December 31, 2023, which includes 913 and 510 GCU students at December 31, 2024 and 2023, respectively, and an increase in revenue per student year over year. Excluding sites closing in 2024 to new enrollments, total enrollments at our off-campus classroom and laboratory sites increased 14.9% between years. The increase in revenue per student between years is primarily due to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The increase in revenue per student in the year ended December 31, 2024 was also due to the additional day for leap year in 2024 which added additional service revenue of $1.5 million as compared to the prior year and we earned revenue in 2024 with a university partner in which we helped the partner develop an ABSN program under a cost plus arrangement. We will earn limited revenue with this partner going forward.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w:t>
      </w:r>
    </w:p>
    <w:p>
      <w:pPr>
        <w:spacing w:after="0" w:line="94"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auto"/>
        </w:rPr>
        <w:t>Partner enrollments totaled 127,155 at December 31, 2024 as compared to 121,250 at December 31, 2023. Although partner enrollments at our off-campus classroom and laboratory sites returned to year over year growth in 2024, some existing partners continue to experience reduced incoming cohort sizes which has slowed the growth. We believe the growth in the number of ABSN students continues to be negatively impacted by the strong job market as these students have historically been individuals with already completed bachelor’s degrees choosing to re-career into one of these health professions. To address this challenge, we have been working with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Summer and Fall 2024 semesters.</w:t>
      </w:r>
    </w:p>
    <w:p>
      <w:pPr>
        <w:spacing w:after="0" w:line="81"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opened five sites in the year ended December 31, 2023, six sites in the year ended December 31, 2024 and closed one site increasing the total number of these sites to 45 at December 31, 2024, which has also positively impacted the enrollment growth. Enrollments for GCU ground students were 24,552 at December 31, 2024 down from 25,209 at December 31, 2023 due to a small decline in traditional ground students year over year and the continued decline in professional studies students (working adults attending the university’s traditional campus at night), partially offset by an increase in ABSN students between years. GCU online enrollments were 98,597 at December 31, 2024, up from 92,070 at December 31, 2023, an increase of 7.1% between years.</w:t>
      </w:r>
    </w:p>
    <w:p>
      <w:pPr>
        <w:spacing w:after="0" w:line="8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i w:val="1"/>
          <w:iCs w:val="1"/>
          <w:color w:val="auto"/>
        </w:rPr>
        <w:t>Technology and academic services</w:t>
      </w:r>
      <w:r>
        <w:rPr>
          <w:rFonts w:ascii="Times New Roman" w:cs="Times New Roman" w:eastAsia="Times New Roman" w:hAnsi="Times New Roman"/>
          <w:sz w:val="20"/>
          <w:szCs w:val="20"/>
          <w:color w:val="auto"/>
        </w:rPr>
        <w:t>. Our technology and academic services expenses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2024 were $165.1 million, an increase of $10.2 million, or 6.6%, as compared to technology and academic services expenses of $154.9 million for the year ended December 31, 2023. This increase was primarily due to increases in other technology and academic costs and in occupancy and depreciation of $8.3 million and $4.9 million, respectively, partially offset by a decrease in employee compensation and related expenses, including share-based compensation of $3.0 million. The increases in other technology and academic costs and occupancy and depreciation were primarily due to the costs associated with the increased number of off-campus classroom and laboratory sites to support our 22 university partners and their increased enrollment growth as well as an increase in curriculum cost reimbursement to our university partners. The decrease in employee compensation and related expenses is primarily due to decreased faculty reimbursements due to changes in our agreements with certain university partners whereby we no longer reimburse these partners for their faculty costs, partially offset by increased headcount to support our 22 university partners and their increased enrollment growth, tenure-based salary adjustments, benefit costs and the increased number of off-campus classroom and laboratory sites year over year. Our technology and academic services expenses as a percentage of revenue decreased by 0.1% to 16.0% for the year ended December 31, 2024, from 16.1% for the year ended December 31, 2023. This decrease was primarily due to the decreased faculty reimbursements between years partially offset by the growing curriculum cost reimbursement. We anticipate that technology and academic services expenses as a percentage of revenue will increase in the future as we open more off-site classroom and laboratory sites and the growing curriculum cost reimbursements although these increases might be offset by lower faculty reimbursements if more partners choose to adjust their contracts.</w:t>
      </w:r>
    </w:p>
    <w:p>
      <w:pPr>
        <w:spacing w:after="0" w:line="83"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i w:val="1"/>
          <w:iCs w:val="1"/>
          <w:color w:val="auto"/>
        </w:rPr>
        <w:t>Counseling services and support</w:t>
      </w:r>
      <w:r>
        <w:rPr>
          <w:rFonts w:ascii="Times New Roman" w:cs="Times New Roman" w:eastAsia="Times New Roman" w:hAnsi="Times New Roman"/>
          <w:sz w:val="20"/>
          <w:szCs w:val="20"/>
          <w:color w:val="auto"/>
        </w:rPr>
        <w:t>. Our counseling services and support expenses for the year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were $323.5 million, an increase of $21.2 million, or 7.0%, as compared to counseling services and support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1246" w:right="1260" w:bottom="722" w:gutter="0" w:footer="0" w:header="0"/>
        </w:sectPr>
      </w:pPr>
    </w:p>
    <w:bookmarkStart w:id="53" w:name="page54"/>
    <w:bookmarkEnd w:id="53"/>
    <w:p>
      <w:pPr>
        <w:ind w:right="40"/>
        <w:spacing w:after="0" w:line="242" w:lineRule="auto"/>
        <w:rPr>
          <w:sz w:val="20"/>
          <w:szCs w:val="20"/>
          <w:color w:val="auto"/>
        </w:rPr>
      </w:pPr>
      <w:r>
        <w:rPr>
          <w:rFonts w:ascii="Times New Roman" w:cs="Times New Roman" w:eastAsia="Times New Roman" w:hAnsi="Times New Roman"/>
          <w:sz w:val="20"/>
          <w:szCs w:val="20"/>
          <w:color w:val="auto"/>
        </w:rPr>
        <w:t>expenses of $302.3 million for the year ended December 31, 2023. This increase was primarily attributable to increases in employee compensation and related expenses including share-based compensation and benefits, in occupancy and depreciation costs and in other counseling services and support expenses of $18.0 million, $2.9 million and $0.3 million, respectively. The increases in employee compensation including share-based compensation and benefits were primarily due to increased headcount to support our university partners, and their planned increases in enrollment, tenure-based salary adjustments, benefit costs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increase in other counseling services and support expenses is primarily the result of increased travel costs for our 22 university partners. Our counseling services and support expenses as a percentage of revenue decreased 0.2% to 31.3% for the year ended December 31, 2024, from 31.5% for the year ended December 31, 2023 primarily due to our ability to leverage our counseling services and support expenses across an increasing revenue base. We anticipate that counseling services and support expense will increase in the future as we continue to invest to meet our partners’ needs although we might continue to have a decline in these costs as a percentage of revenue.</w:t>
      </w:r>
    </w:p>
    <w:p>
      <w:pPr>
        <w:spacing w:after="0" w:line="9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Marketing and communication</w:t>
      </w:r>
      <w:r>
        <w:rPr>
          <w:rFonts w:ascii="Times New Roman" w:cs="Times New Roman" w:eastAsia="Times New Roman" w:hAnsi="Times New Roman"/>
          <w:sz w:val="20"/>
          <w:szCs w:val="20"/>
          <w:color w:val="auto"/>
        </w:rPr>
        <w:t>. Our marketing and communication expenses for the year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were $212.4 million, an increase of $9.6 million, or 4.7%, as compared to marketing and communication expenses of $202.8 million for the year ended December 31, 2023. This increase was primarily attributable to the increased cost to market our university partners’ programs and to the marketing of new university partners and new locations which resulted in increased advertising of $7.7 million, increased employee compensation, including share-based compensation and benefits of $1.1 million, an increase in other marketing and communication expenses of $0.5 million and an increase in occupancy and depreciation costs of $0.3 million. Our marketing and communication expenses as a percentage of revenue decreased by 0.5% to 20.6% for the year ended December 31, 2024, from 21.1% for the year ended December 31, 2023, primarily due to our ability to leverage our marketing and communication expenses across an increasing revenue base. We anticipate that marketing and communication expenses will increase in the future as we continue to invest to meet our partners’ needs although we might continue to have a decline in these costs as a percentage of revenue.</w:t>
      </w:r>
    </w:p>
    <w:p>
      <w:pPr>
        <w:spacing w:after="0" w:line="8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General and administrative</w:t>
      </w:r>
      <w:r>
        <w:rPr>
          <w:rFonts w:ascii="Times New Roman" w:cs="Times New Roman" w:eastAsia="Times New Roman" w:hAnsi="Times New Roman"/>
          <w:sz w:val="20"/>
          <w:szCs w:val="20"/>
          <w:color w:val="auto"/>
        </w:rPr>
        <w:t>. Our general and administrative expenses for the year ended December 31,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were $46.3 million, an increase of $3.1 million, or 7.1%, as compared to general and administrative expenses of $43.2 million for the year ended December 31, 2023. This increase was primarily attributable to an increase in professional fees including legal costs of $2.2 million, employee compensation, including share-based compensation and benefits of $1.4 million, which includes $1.1 million in severance costs recorded for an executive that resigned June 30, 2024, an increase in contributions in lieu of state income taxes of $ 1.0 million and increases in occupancy and depreciation costs of $0.2 million. These increases were partially offset by a decrease in other administrative expenses of $ 1.7 million primarily due to lower travel costs. Our general and administrative expenses as a percentage of revenue stayed flat at 4.5% for the years ended December 31, 2024 and 2023 due to our ability to leverage our general and administrative expenses across an increasing revenue base partially offset by the severance costs and the increase in professional fees including legal costs. We anticipate that general and administrative expenses will increase in the future and these costs as a percentage of revenue might increase if legal costs continue to rise faster than our revenue growth rate.</w:t>
      </w:r>
    </w:p>
    <w:p>
      <w:pPr>
        <w:spacing w:after="0" w:line="86"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Impairment and other. </w:t>
      </w:r>
      <w:r>
        <w:rPr>
          <w:rFonts w:ascii="Times New Roman" w:cs="Times New Roman" w:eastAsia="Times New Roman" w:hAnsi="Times New Roman"/>
          <w:sz w:val="20"/>
          <w:szCs w:val="20"/>
          <w:color w:val="auto"/>
        </w:rPr>
        <w:t>Impairment and other expenses of $1.9 million for the year ended December 31,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includes the write-off of an internal use software project that the Company had been attempting to develop for its other university partners that has been terminated and costs relating to exiting certain off-campus classroom and laboratory sites.</w:t>
      </w:r>
    </w:p>
    <w:p>
      <w:pPr>
        <w:spacing w:after="0" w:line="71"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Amortization of intangible assets</w:t>
      </w:r>
      <w:r>
        <w:rPr>
          <w:rFonts w:ascii="Times New Roman" w:cs="Times New Roman" w:eastAsia="Times New Roman" w:hAnsi="Times New Roman"/>
          <w:sz w:val="20"/>
          <w:szCs w:val="20"/>
          <w:color w:val="auto"/>
        </w:rPr>
        <w:t>. Amortization of intangible assets for the years ended December 31, 2024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 were $8.4 million for both periods. As a result of the Acquisition, certain identifiable intangible assets were created (primarily customer relationships) that will be amortized over their expected lives.</w:t>
      </w:r>
    </w:p>
    <w:p>
      <w:pPr>
        <w:spacing w:after="0" w:line="68" w:lineRule="exact"/>
        <w:rPr>
          <w:sz w:val="20"/>
          <w:szCs w:val="20"/>
          <w:color w:val="auto"/>
        </w:rPr>
      </w:pPr>
    </w:p>
    <w:p>
      <w:pPr>
        <w:jc w:val="both"/>
        <w:ind w:right="22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Investment interest and other</w:t>
      </w:r>
      <w:r>
        <w:rPr>
          <w:rFonts w:ascii="Times New Roman" w:cs="Times New Roman" w:eastAsia="Times New Roman" w:hAnsi="Times New Roman"/>
          <w:sz w:val="20"/>
          <w:szCs w:val="20"/>
          <w:color w:val="auto"/>
        </w:rPr>
        <w:t>. Investment interest and other for the year ended December 31, 2024 was $15.9</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an increase of $5.4 million, as compared to $10.5 million for the year ended December 31, 2023 due to higher investment balances and higher returns on those balances.</w:t>
      </w:r>
    </w:p>
    <w:p>
      <w:pPr>
        <w:spacing w:after="0" w:line="68" w:lineRule="exact"/>
        <w:rPr>
          <w:sz w:val="20"/>
          <w:szCs w:val="20"/>
          <w:color w:val="auto"/>
        </w:rPr>
      </w:pPr>
    </w:p>
    <w:p>
      <w:pPr>
        <w:jc w:val="both"/>
        <w:ind w:right="120" w:firstLine="720"/>
        <w:spacing w:after="0" w:line="278" w:lineRule="auto"/>
        <w:rPr>
          <w:sz w:val="20"/>
          <w:szCs w:val="20"/>
          <w:color w:val="auto"/>
        </w:rPr>
      </w:pPr>
      <w:r>
        <w:rPr>
          <w:rFonts w:ascii="Times New Roman" w:cs="Times New Roman" w:eastAsia="Times New Roman" w:hAnsi="Times New Roman"/>
          <w:sz w:val="19"/>
          <w:szCs w:val="19"/>
          <w:i w:val="1"/>
          <w:iCs w:val="1"/>
          <w:color w:val="auto"/>
        </w:rPr>
        <w:t>Income tax expense</w:t>
      </w:r>
      <w:r>
        <w:rPr>
          <w:rFonts w:ascii="Times New Roman" w:cs="Times New Roman" w:eastAsia="Times New Roman" w:hAnsi="Times New Roman"/>
          <w:sz w:val="19"/>
          <w:szCs w:val="19"/>
          <w:color w:val="auto"/>
        </w:rPr>
        <w:t>. Income tax expense for the year ended December 31, 2024 was $65.1 million, an increase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$ 10.4 million, or 19.0%, as compared to income tax expense of $54.7 million for the year ended December 31, 2023. Our effective tax rate was 22.3% during the year ended December 31, 2024 compared to 21.1% during the year ended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700"/>
          </w:cols>
          <w:pgMar w:left="1260" w:top="1246" w:right="1280" w:bottom="722" w:gutter="0" w:footer="0" w:header="0"/>
        </w:sectPr>
      </w:pPr>
    </w:p>
    <w:bookmarkStart w:id="54" w:name="page55"/>
    <w:bookmarkEnd w:id="54"/>
    <w:p>
      <w:pPr>
        <w:ind w:right="80"/>
        <w:spacing w:after="0" w:line="246" w:lineRule="auto"/>
        <w:rPr>
          <w:sz w:val="20"/>
          <w:szCs w:val="20"/>
          <w:color w:val="auto"/>
        </w:rPr>
      </w:pPr>
      <w:r>
        <w:rPr>
          <w:rFonts w:ascii="Times New Roman" w:cs="Times New Roman" w:eastAsia="Times New Roman" w:hAnsi="Times New Roman"/>
          <w:sz w:val="20"/>
          <w:szCs w:val="20"/>
          <w:color w:val="auto"/>
        </w:rPr>
        <w:t>December 31, 2023. The effective tax rate increased year over year due to higher state income taxes. This was partially offset by an increase in excess tax benefits of $1.5 million as compared to $0.9 million in the years ended December 31, 2024 and 2023, respectively, and a higher contribution in lieu of state income taxes of $4.5 million in 2024 compared to $3.5 million in 2023.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restricted stock vests in March each year so any benefit or expense will primarily impact the first quarter each year.</w:t>
      </w:r>
    </w:p>
    <w:p>
      <w:pPr>
        <w:spacing w:after="0" w:line="80" w:lineRule="exact"/>
        <w:rPr>
          <w:sz w:val="20"/>
          <w:szCs w:val="20"/>
          <w:color w:val="auto"/>
        </w:rPr>
      </w:pPr>
    </w:p>
    <w:p>
      <w:pPr>
        <w:jc w:val="both"/>
        <w:ind w:right="32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Our net income for the year ended December 31, 2024 was $226.2 million, an increase of $21.2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10.4% as compared to $205.0 million for the year ended December 31, 2023, due to the factors discussed above.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2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service revenue and operating results normally fluctuate as a result of seasonal variations in our business, principally due to changes in our university partners’ enrollment. Our partners’ enrollment varies as a result of new enrollments, graduations, and student attrition. Service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ind w:left="16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gridSpan w:val="2"/>
          </w:tcPr>
          <w:p>
            <w:pPr>
              <w:jc w:val="right"/>
              <w:ind w:right="28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6"/>
        </w:trPr>
        <w:tc>
          <w:tcPr>
            <w:tcW w:w="7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Cash, cash equivalents and investments</w:t>
            </w:r>
          </w:p>
        </w:tc>
        <w:tc>
          <w:tcPr>
            <w:tcW w:w="200" w:type="dxa"/>
            <w:vAlign w:val="bottom"/>
          </w:tcPr>
          <w:p>
            <w:pPr>
              <w:spacing w:after="0"/>
              <w:rPr>
                <w:sz w:val="22"/>
                <w:szCs w:val="22"/>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324,623</w:t>
            </w:r>
          </w:p>
        </w:tc>
        <w:tc>
          <w:tcPr>
            <w:tcW w:w="22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244,506</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20" w:lineRule="exact"/>
        <w:rPr>
          <w:sz w:val="20"/>
          <w:szCs w:val="20"/>
          <w:color w:val="auto"/>
        </w:rPr>
      </w:pPr>
    </w:p>
    <w:p>
      <w:pPr>
        <w:ind w:right="520" w:firstLine="490"/>
        <w:spacing w:after="0" w:line="249" w:lineRule="auto"/>
        <w:rPr>
          <w:sz w:val="20"/>
          <w:szCs w:val="20"/>
          <w:color w:val="auto"/>
        </w:rPr>
      </w:pPr>
      <w:r>
        <w:rPr>
          <w:rFonts w:ascii="Times New Roman" w:cs="Times New Roman" w:eastAsia="Times New Roman" w:hAnsi="Times New Roman"/>
          <w:sz w:val="20"/>
          <w:szCs w:val="20"/>
          <w:color w:val="auto"/>
        </w:rPr>
        <w:t>Our liquidity position, as measured by cash and cash equivalents and investments increased by $80.1 million between December 31, 2023 and December 31, 2024, which was largely attributable to cash flows from operations exceeding share repurchases, investment purchases, net of proceeds and capital expenditures during the year ended December 31, 2024. Our unrestricted cash and cash equivalents and investments were $324.6 million and $244.5 million at December 31, 2024 and 2023, respectively.</w:t>
      </w:r>
    </w:p>
    <w:p>
      <w:pPr>
        <w:spacing w:after="0" w:line="7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gridSpan w:val="2"/>
          </w:tcPr>
          <w:p>
            <w:pPr>
              <w:jc w:val="right"/>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6"/>
        </w:trPr>
        <w:tc>
          <w:tcPr>
            <w:tcW w:w="7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289,958</w:t>
            </w:r>
          </w:p>
        </w:tc>
        <w:tc>
          <w:tcPr>
            <w:tcW w:w="22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243,662</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9"/>
          <w:szCs w:val="19"/>
          <w:color w:val="auto"/>
        </w:rPr>
        <w:t>The increase in cash generated from operating activities between the year ended December 31, 2023 and the year ended December 31, 2024 was primarily due to increased income and changes in working capital balances, primarily accounts payable and accrued liabilities. Accounts payable increased between December 31, 2023 and December 31, 2024 by $9.7 million compared to the decrease between December 31, 2022 and December 31, 2023 of $3.1 million due to the timing of vendor payments. Accrued liabilities increased by $4.3 million between December 31, 2023 and December 31, 2024 whereas it decreased by $ 2.0 million between December 31, 2022 and December 31, 2023 due to timing differences between the last pay period at the end of each fiscal year. We define working capital as the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720"/>
          </w:cols>
          <w:pgMar w:left="1260" w:top="1246" w:right="1260" w:bottom="722" w:gutter="0" w:footer="0" w:header="0"/>
        </w:sectPr>
      </w:pPr>
    </w:p>
    <w:bookmarkStart w:id="55" w:name="page56"/>
    <w:bookmarkEnd w:id="55"/>
    <w:p>
      <w:pPr>
        <w:ind w:right="220"/>
        <w:spacing w:after="0" w:line="278" w:lineRule="auto"/>
        <w:rPr>
          <w:sz w:val="20"/>
          <w:szCs w:val="20"/>
          <w:color w:val="auto"/>
        </w:rPr>
      </w:pPr>
      <w:r>
        <w:rPr>
          <w:rFonts w:ascii="Times New Roman" w:cs="Times New Roman" w:eastAsia="Times New Roman" w:hAnsi="Times New Roman"/>
          <w:sz w:val="20"/>
          <w:szCs w:val="20"/>
          <w:color w:val="auto"/>
        </w:rPr>
        <w:t>assets and liabilities, other than cash, generated through the Company’s primary operating activities. Changes in these balances are included in the changes in assets and liabilities presented in the consolidated statement of cash flows.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7"/>
                <w:szCs w:val="17"/>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320" w:type="dxa"/>
            <w:vAlign w:val="bottom"/>
            <w:gridSpan w:val="2"/>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61,365</w:t>
            </w:r>
          </w:p>
        </w:tc>
        <w:tc>
          <w:tcPr>
            <w:tcW w:w="220" w:type="dxa"/>
            <w:vAlign w:val="bottom"/>
          </w:tcPr>
          <w:p>
            <w:pPr>
              <w:spacing w:after="0"/>
              <w:rPr>
                <w:sz w:val="22"/>
                <w:szCs w:val="22"/>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w w:val="96"/>
              </w:rPr>
              <w:t>(80,472)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880" w:firstLine="720"/>
        <w:spacing w:after="0" w:line="278" w:lineRule="auto"/>
        <w:rPr>
          <w:sz w:val="20"/>
          <w:szCs w:val="20"/>
          <w:color w:val="auto"/>
        </w:rPr>
      </w:pPr>
      <w:r>
        <w:rPr>
          <w:rFonts w:ascii="Times New Roman" w:cs="Times New Roman" w:eastAsia="Times New Roman" w:hAnsi="Times New Roman"/>
          <w:sz w:val="20"/>
          <w:szCs w:val="20"/>
          <w:color w:val="auto"/>
        </w:rPr>
        <w:t>Investing activities provided $61.4 million of cash in the year ended December 31, 2024 compared to consuming $80.5 million in the year ended December 31, 2023.</w:t>
      </w:r>
    </w:p>
    <w:p>
      <w:pPr>
        <w:spacing w:after="0" w:line="47"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Cash provided by or used in investing activities includes net investment activity. In the year ended December 31, 2024, proceeds from the sale of investments, net of purchases of available-for-sale securities were $99.0 million as the Company sold all its investments in the third quarter of 2024 and the proceeds were invested in cash and cash equivalents. In the year ended December 31, 2023, the purchase of available-for-sale securities, net of proceeds from the sale of investments were $35.0 million.</w:t>
      </w:r>
    </w:p>
    <w:p>
      <w:pPr>
        <w:spacing w:after="0" w:line="77"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In the year ended December 31, 2024 and 2023 cash used in investing activities also included capital expenditures totaling $37.2 million and $44.5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7"/>
                <w:szCs w:val="17"/>
                <w:color w:val="auto"/>
              </w:rPr>
            </w:pPr>
          </w:p>
        </w:tc>
        <w:tc>
          <w:tcPr>
            <w:tcW w:w="242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1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29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9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(173,175)</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(137,124)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60" w:firstLine="490"/>
        <w:spacing w:after="0" w:line="278" w:lineRule="auto"/>
        <w:rPr>
          <w:sz w:val="20"/>
          <w:szCs w:val="20"/>
          <w:color w:val="auto"/>
        </w:rPr>
      </w:pPr>
      <w:r>
        <w:rPr>
          <w:rFonts w:ascii="Times New Roman" w:cs="Times New Roman" w:eastAsia="Times New Roman" w:hAnsi="Times New Roman"/>
          <w:sz w:val="20"/>
          <w:szCs w:val="20"/>
          <w:color w:val="auto"/>
        </w:rPr>
        <w:t>Financing activities consumed $173.2 million of cash in the year ended December 31, 2024 compared to $137.1 million in the year ended December 31, 2023.</w:t>
      </w:r>
    </w:p>
    <w:p>
      <w:pPr>
        <w:spacing w:after="0" w:line="4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and 2023, $165.4 million and $130.8 million, respectively was used to purchase treasury stock in accordance with GCE’s share repurchase program. In 2024 and 2023, $7.8 million and $6.3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19"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On January 29, 2025, our Board of Directors increased the authorization under its existing stock repurchase program by $200.0 million, reflecting an aggregate authorization for share repurchases since the initiation of the program of $2,245.0 million. The current expiration date on the repurchase authorization by our Board of Directors is March 1, 2026. Repurchases occur at the Company’s discretion and the Company may modify, suspend or discontinue the repurchase authorization at any time.</w:t>
      </w:r>
    </w:p>
    <w:p>
      <w:pPr>
        <w:spacing w:after="0" w:line="77"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65"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Since 2011, we have repurchased 23.9 million shares of common stock at an aggregate cost of $1,945.4 million, which includes 1,141,678 shares of common stock at an aggregate cost of $165.4 million during the year ended December 31,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24"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 xml:space="preserve">Our contractual obligations primarily consist of capital expenditures primarily for new off-campus classroom and laboratory sites opening and continued spend on computer equipment, software licenses, internal software development and furniture and equipment to support our increasing employee headcount. See </w:t>
      </w:r>
      <w:r>
        <w:rPr>
          <w:rFonts w:ascii="Times New Roman" w:cs="Times New Roman" w:eastAsia="Times New Roman" w:hAnsi="Times New Roman"/>
          <w:sz w:val="20"/>
          <w:szCs w:val="20"/>
          <w:i w:val="1"/>
          <w:iCs w:val="1"/>
          <w:color w:val="auto"/>
        </w:rPr>
        <w:t>Note 6 - Leases</w:t>
      </w:r>
      <w:r>
        <w:rPr>
          <w:rFonts w:ascii="Times New Roman" w:cs="Times New Roman" w:eastAsia="Times New Roman" w:hAnsi="Times New Roman"/>
          <w:sz w:val="20"/>
          <w:szCs w:val="20"/>
          <w:color w:val="auto"/>
        </w:rPr>
        <w:t>, in Item 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720"/>
          </w:cols>
          <w:pgMar w:left="1260" w:top="1246" w:right="1260" w:bottom="722" w:gutter="0" w:footer="0" w:header="0"/>
        </w:sectPr>
      </w:pPr>
    </w:p>
    <w:bookmarkStart w:id="56" w:name="page57"/>
    <w:bookmarkEnd w:id="56"/>
    <w:p>
      <w:pPr>
        <w:ind w:right="48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Consolidated Financial Statements and Supplementary Data. </w:t>
      </w:r>
      <w:r>
        <w:rPr>
          <w:rFonts w:ascii="Times New Roman" w:cs="Times New Roman" w:eastAsia="Times New Roman" w:hAnsi="Times New Roman"/>
          <w:sz w:val="20"/>
          <w:szCs w:val="20"/>
          <w:color w:val="auto"/>
        </w:rPr>
        <w:t>There are no other material contractual obligations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commitments for the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23" w:lineRule="exact"/>
        <w:rPr>
          <w:sz w:val="20"/>
          <w:szCs w:val="20"/>
          <w:color w:val="auto"/>
        </w:rPr>
      </w:pPr>
    </w:p>
    <w:p>
      <w:pPr>
        <w:ind w:right="320" w:firstLine="720"/>
        <w:spacing w:after="0" w:line="259" w:lineRule="auto"/>
        <w:rPr>
          <w:sz w:val="20"/>
          <w:szCs w:val="20"/>
          <w:color w:val="auto"/>
        </w:rPr>
      </w:pPr>
      <w:r>
        <w:rPr>
          <w:rFonts w:ascii="Times New Roman" w:cs="Times New Roman" w:eastAsia="Times New Roman" w:hAnsi="Times New Roman"/>
          <w:sz w:val="20"/>
          <w:szCs w:val="20"/>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 as of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 (Non-GAAP Financial Measure)</w:t>
      </w:r>
    </w:p>
    <w:p>
      <w:pPr>
        <w:spacing w:after="0" w:line="123"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77" w:lineRule="exact"/>
        <w:rPr>
          <w:sz w:val="20"/>
          <w:szCs w:val="20"/>
          <w:color w:val="auto"/>
        </w:rPr>
      </w:pPr>
    </w:p>
    <w:p>
      <w:pPr>
        <w:ind w:right="460" w:firstLine="360"/>
        <w:spacing w:after="0" w:line="255" w:lineRule="auto"/>
        <w:rPr>
          <w:sz w:val="20"/>
          <w:szCs w:val="20"/>
          <w:color w:val="auto"/>
        </w:rPr>
      </w:pPr>
      <w:r>
        <w:rPr>
          <w:rFonts w:ascii="Times New Roman" w:cs="Times New Roman" w:eastAsia="Times New Roman" w:hAnsi="Times New Roman"/>
          <w:sz w:val="20"/>
          <w:szCs w:val="20"/>
          <w:color w:val="auto"/>
        </w:rPr>
        <w:t>Adjusted EBITDA is defined as net income plus interest expense, less interest income and other gain (loss) recognized on investments, plus income tax expense, plus depreciation and amortization (EBITDA), as adjusted for</w:t>
      </w:r>
    </w:p>
    <w:p>
      <w:pPr>
        <w:ind w:firstLine="7"/>
        <w:spacing w:after="0" w:line="241" w:lineRule="auto"/>
        <w:tabs>
          <w:tab w:leader="none" w:pos="2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a non-GAAP financial measure,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82"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81"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85" w:lineRule="exact"/>
        <w:rPr>
          <w:sz w:val="20"/>
          <w:szCs w:val="20"/>
          <w:color w:val="auto"/>
        </w:rPr>
      </w:pPr>
    </w:p>
    <w:p>
      <w:pPr>
        <w:ind w:left="1080" w:hanging="353"/>
        <w:spacing w:after="0"/>
        <w:tabs>
          <w:tab w:leader="none" w:pos="10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cash expenditures for capital expenditures or contractual commitments;</w:t>
      </w:r>
    </w:p>
    <w:p>
      <w:pPr>
        <w:spacing w:after="0" w:line="21" w:lineRule="exact"/>
        <w:rPr>
          <w:rFonts w:ascii="Symbol" w:cs="Symbol" w:eastAsia="Symbol" w:hAnsi="Symbol"/>
          <w:sz w:val="20"/>
          <w:szCs w:val="20"/>
          <w:color w:val="auto"/>
        </w:rPr>
      </w:pPr>
    </w:p>
    <w:p>
      <w:pPr>
        <w:ind w:left="1080" w:hanging="353"/>
        <w:spacing w:after="0" w:line="238" w:lineRule="auto"/>
        <w:tabs>
          <w:tab w:leader="none" w:pos="10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or cash requirements for, our working capital requirements;</w:t>
      </w:r>
    </w:p>
    <w:p>
      <w:pPr>
        <w:ind w:left="1080" w:hanging="353"/>
        <w:spacing w:after="0"/>
        <w:tabs>
          <w:tab w:leader="none" w:pos="10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interest expense, or the cash required to replace assets that are being depreciated or amortized; and</w:t>
      </w:r>
    </w:p>
    <w:p>
      <w:pPr>
        <w:ind w:left="1080" w:right="560" w:hanging="353"/>
        <w:spacing w:after="0"/>
        <w:tabs>
          <w:tab w:leader="none" w:pos="10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on our reported results of earnings or charges resulting from the items for which we make adjustments to our EBITDA, as described above and set forth in the table below.</w:t>
      </w:r>
    </w:p>
    <w:p>
      <w:pPr>
        <w:spacing w:after="0" w:line="83"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10 - 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720"/>
          </w:cols>
          <w:pgMar w:left="1260" w:top="1246" w:right="1260" w:bottom="722" w:gutter="0" w:footer="0" w:header="0"/>
        </w:sectPr>
      </w:pPr>
    </w:p>
    <w:bookmarkStart w:id="57" w:name="page58"/>
    <w:bookmarkEnd w:id="57"/>
    <w:p>
      <w:pPr>
        <w:ind w:left="720"/>
        <w:spacing w:after="0"/>
        <w:rPr>
          <w:sz w:val="20"/>
          <w:szCs w:val="20"/>
          <w:color w:val="auto"/>
        </w:rPr>
      </w:pPr>
      <w:r>
        <w:rPr>
          <w:rFonts w:ascii="Times New Roman" w:cs="Times New Roman" w:eastAsia="Times New Roman" w:hAnsi="Times New Roman"/>
          <w:sz w:val="20"/>
          <w:szCs w:val="20"/>
          <w:color w:val="auto"/>
        </w:rPr>
        <w:t>The following table reconciles net income to Adjusted EBITDA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226,234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2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204,985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Plus: interest expense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Less: investment interest and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(10,452)</w:t>
            </w:r>
          </w:p>
        </w:tc>
        <w:tc>
          <w:tcPr>
            <w:tcW w:w="0" w:type="dxa"/>
            <w:vAlign w:val="bottom"/>
          </w:tcPr>
          <w:p>
            <w:pPr>
              <w:spacing w:after="0"/>
              <w:rPr>
                <w:sz w:val="1"/>
                <w:szCs w:val="1"/>
                <w:color w:val="auto"/>
              </w:rPr>
            </w:pPr>
          </w:p>
        </w:tc>
      </w:tr>
      <w:tr>
        <w:trPr>
          <w:trHeight w:val="232"/>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Plus: income tax expense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65,081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54,690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Plus: amortization of intangible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Plus: depreciation and amortization</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28,135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23,554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0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EBITDA</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311,953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281,229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080" w:type="dxa"/>
            <w:vAlign w:val="bottom"/>
          </w:tcPr>
          <w:p>
            <w:pPr>
              <w:spacing w:after="0" w:line="201" w:lineRule="exact"/>
              <w:rPr>
                <w:sz w:val="20"/>
                <w:szCs w:val="20"/>
                <w:color w:val="auto"/>
              </w:rPr>
            </w:pPr>
            <w:r>
              <w:rPr>
                <w:rFonts w:ascii="Times New Roman" w:cs="Times New Roman" w:eastAsia="Times New Roman" w:hAnsi="Times New Roman"/>
                <w:sz w:val="19"/>
                <w:szCs w:val="19"/>
                <w:color w:val="auto"/>
              </w:rPr>
              <w:t>Plus: contributions in lieu of state income taxes</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4,500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3,500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80" w:type="dxa"/>
            <w:vAlign w:val="bottom"/>
          </w:tcPr>
          <w:p>
            <w:pPr>
              <w:spacing w:after="0" w:line="232" w:lineRule="exact"/>
              <w:rPr>
                <w:sz w:val="20"/>
                <w:szCs w:val="20"/>
                <w:color w:val="auto"/>
              </w:rPr>
            </w:pPr>
            <w:r>
              <w:rPr>
                <w:rFonts w:ascii="Times New Roman" w:cs="Times New Roman" w:eastAsia="Times New Roman" w:hAnsi="Times New Roman"/>
                <w:sz w:val="20"/>
                <w:szCs w:val="20"/>
                <w:color w:val="auto"/>
              </w:rPr>
              <w:t>Plus: share-based compensation</w:t>
            </w:r>
            <w:r>
              <w:rPr>
                <w:rFonts w:ascii="Times New Roman" w:cs="Times New Roman" w:eastAsia="Times New Roman" w:hAnsi="Times New Roman"/>
                <w:sz w:val="25"/>
                <w:szCs w:val="25"/>
                <w:color w:val="auto"/>
                <w:vertAlign w:val="superscript"/>
              </w:rPr>
              <w:t>(b)</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Plus: litigation and regulatory costs</w:t>
            </w:r>
            <w:r>
              <w:rPr>
                <w:rFonts w:ascii="Times New Roman" w:cs="Times New Roman" w:eastAsia="Times New Roman" w:hAnsi="Times New Roman"/>
                <w:sz w:val="25"/>
                <w:szCs w:val="25"/>
                <w:color w:val="auto"/>
                <w:vertAlign w:val="superscript"/>
              </w:rPr>
              <w:t>(c)</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80" w:type="dxa"/>
            <w:vAlign w:val="bottom"/>
          </w:tcPr>
          <w:p>
            <w:pPr>
              <w:spacing w:after="0" w:line="232" w:lineRule="exact"/>
              <w:rPr>
                <w:sz w:val="20"/>
                <w:szCs w:val="20"/>
                <w:color w:val="auto"/>
              </w:rPr>
            </w:pPr>
            <w:r>
              <w:rPr>
                <w:rFonts w:ascii="Times New Roman" w:cs="Times New Roman" w:eastAsia="Times New Roman" w:hAnsi="Times New Roman"/>
                <w:sz w:val="20"/>
                <w:szCs w:val="20"/>
                <w:color w:val="auto"/>
              </w:rPr>
              <w:t>Plus: impairment and other</w:t>
            </w:r>
            <w:r>
              <w:rPr>
                <w:rFonts w:ascii="Times New Roman" w:cs="Times New Roman" w:eastAsia="Times New Roman" w:hAnsi="Times New Roman"/>
                <w:sz w:val="25"/>
                <w:szCs w:val="25"/>
                <w:color w:val="auto"/>
                <w:vertAlign w:val="superscript"/>
              </w:rPr>
              <w:t>(d)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Plus: loss on fixed asset disposal</w:t>
            </w:r>
            <w:r>
              <w:rPr>
                <w:rFonts w:ascii="Times New Roman" w:cs="Times New Roman" w:eastAsia="Times New Roman" w:hAnsi="Times New Roman"/>
                <w:sz w:val="25"/>
                <w:szCs w:val="25"/>
                <w:color w:val="auto"/>
                <w:vertAlign w:val="superscript"/>
              </w:rPr>
              <w:t>(e)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80" w:type="dxa"/>
            <w:vAlign w:val="bottom"/>
          </w:tcPr>
          <w:p>
            <w:pPr>
              <w:spacing w:after="0" w:line="251" w:lineRule="exact"/>
              <w:rPr>
                <w:sz w:val="20"/>
                <w:szCs w:val="20"/>
                <w:color w:val="auto"/>
              </w:rPr>
            </w:pPr>
            <w:r>
              <w:rPr>
                <w:rFonts w:ascii="Times New Roman" w:cs="Times New Roman" w:eastAsia="Times New Roman" w:hAnsi="Times New Roman"/>
                <w:sz w:val="20"/>
                <w:szCs w:val="20"/>
                <w:color w:val="auto"/>
              </w:rPr>
              <w:t>Plus: severance costs</w:t>
            </w:r>
            <w:r>
              <w:rPr>
                <w:rFonts w:ascii="Times New Roman" w:cs="Times New Roman" w:eastAsia="Times New Roman" w:hAnsi="Times New Roman"/>
                <w:sz w:val="25"/>
                <w:szCs w:val="25"/>
                <w:color w:val="auto"/>
                <w:vertAlign w:val="superscript"/>
              </w:rPr>
              <w:t>(f)</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7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Adjusted EBITDA</w:t>
            </w: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340,013</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302,302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ind w:left="720" w:hanging="353"/>
        <w:spacing w:after="0" w:line="244"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22.3% and 21.1% for the years ended December 31, 2024 and 2023, respectively. Had these contributions not been made, our effective tax rate would have been 23.5% and 22.1% for 2024 and 2023, respectively. Such contributions are viewed by our management to be made in lieu of payments of state income taxes and are therefore excluded from evaluation of our core operating performance.</w:t>
      </w:r>
    </w:p>
    <w:p>
      <w:pPr>
        <w:ind w:left="720" w:hanging="353"/>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share-based compensation expense.</w:t>
      </w:r>
    </w:p>
    <w:p>
      <w:pPr>
        <w:ind w:left="720" w:hanging="353"/>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primarily regulatory litigation.</w:t>
      </w:r>
    </w:p>
    <w:p>
      <w:pPr>
        <w:ind w:left="720" w:right="120" w:hanging="353"/>
        <w:spacing w:after="0" w:line="239"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primarily the write-off of an internal use software project and costs related to exiting from off-campus classroom and laboratory sites.</w:t>
      </w:r>
    </w:p>
    <w:p>
      <w:pPr>
        <w:spacing w:after="0" w:line="1"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 loss on fixed asset disposals.</w:t>
      </w:r>
    </w:p>
    <w:p>
      <w:pPr>
        <w:ind w:left="720" w:hanging="353"/>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severance costs related to an executive that resigned effective June 30,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19"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color w:val="auto"/>
        </w:rPr>
        <w:t xml:space="preserve">See </w:t>
      </w:r>
      <w:r>
        <w:rPr>
          <w:rFonts w:ascii="Times New Roman" w:cs="Times New Roman" w:eastAsia="Times New Roman" w:hAnsi="Times New Roman"/>
          <w:sz w:val="20"/>
          <w:szCs w:val="20"/>
          <w:i w:val="1"/>
          <w:iCs w:val="1"/>
          <w:color w:val="auto"/>
        </w:rPr>
        <w:t>Note 2 - Summary of Significant Accounting Policies</w:t>
      </w:r>
      <w:r>
        <w:rPr>
          <w:rFonts w:ascii="Times New Roman" w:cs="Times New Roman" w:eastAsia="Times New Roman" w:hAnsi="Times New Roman"/>
          <w:sz w:val="20"/>
          <w:szCs w:val="20"/>
          <w:color w:val="auto"/>
        </w:rPr>
        <w:t xml:space="preserve">, in Item 8, </w:t>
      </w:r>
      <w:r>
        <w:rPr>
          <w:rFonts w:ascii="Times New Roman" w:cs="Times New Roman" w:eastAsia="Times New Roman" w:hAnsi="Times New Roman"/>
          <w:sz w:val="20"/>
          <w:szCs w:val="20"/>
          <w:i w:val="1"/>
          <w:iCs w:val="1"/>
          <w:color w:val="auto"/>
        </w:rPr>
        <w:t>Consolidated 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Supplementary Data.</w:t>
      </w:r>
    </w:p>
    <w:p>
      <w:pPr>
        <w:spacing w:after="0" w:line="4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20"/>
          <w:szCs w:val="20"/>
          <w:b w:val="1"/>
          <w:bCs w:val="1"/>
          <w:i w:val="1"/>
          <w:iCs w:val="1"/>
          <w:color w:val="auto"/>
        </w:rPr>
        <w:t>Quantitative and Qualitative Disclosures about Market Risk</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Market risk</w:t>
      </w:r>
      <w:r>
        <w:rPr>
          <w:rFonts w:ascii="Times New Roman" w:cs="Times New Roman" w:eastAsia="Times New Roman" w:hAnsi="Times New Roman"/>
          <w:sz w:val="20"/>
          <w:szCs w:val="20"/>
          <w:b w:val="1"/>
          <w:bCs w:val="1"/>
          <w:color w:val="auto"/>
        </w:rPr>
        <w:t>.</w:t>
      </w:r>
    </w:p>
    <w:p>
      <w:pPr>
        <w:spacing w:after="0" w:line="124"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2024, we have no derivative financial instruments or derivative commodity instruments. Although we do not currently have any investments, we have historically, and may in the future invest cash in excess of current operating requirements in short term certificates of deposit and money market instruments, municipal bond portfolios, or municipal mutual funds at multiple financial institutions.</w:t>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r>
        <w:rPr>
          <w:rFonts w:ascii="Times New Roman" w:cs="Times New Roman" w:eastAsia="Times New Roman" w:hAnsi="Times New Roman"/>
          <w:sz w:val="20"/>
          <w:szCs w:val="20"/>
          <w:b w:val="1"/>
          <w:bCs w:val="1"/>
          <w:color w:val="auto"/>
        </w:rPr>
        <w:t>.</w:t>
      </w:r>
    </w:p>
    <w:p>
      <w:pPr>
        <w:spacing w:after="0" w:line="123"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2024, we do not currently have any investments, and therefore a 10% increase or decrease in interest rates would not have a material impact on our future earnings, fair values, or cash flows.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720"/>
          </w:cols>
          <w:pgMar w:left="1260" w:top="1246" w:right="1260" w:bottom="722"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6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56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Consolidated Financial Statements and Supplementary Data</w:t>
            </w:r>
          </w:p>
        </w:tc>
        <w:tc>
          <w:tcPr>
            <w:tcW w:w="380" w:type="dxa"/>
            <w:vAlign w:val="bottom"/>
          </w:tcPr>
          <w:p>
            <w:pPr>
              <w:spacing w:after="0"/>
              <w:rPr>
                <w:sz w:val="23"/>
                <w:szCs w:val="23"/>
                <w:color w:val="auto"/>
              </w:rPr>
            </w:pPr>
          </w:p>
        </w:tc>
      </w:tr>
      <w:tr>
        <w:trPr>
          <w:trHeight w:val="397"/>
        </w:trPr>
        <w:tc>
          <w:tcPr>
            <w:tcW w:w="7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7"/>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(KPMG LLP, Phoenix, Arizona, Auditor Firm: 185)</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460"/>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461"/>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Income Statements for the years ended December 31, 2024, 2023 and 2022</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460"/>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2024, 2023 and 2022</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460"/>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2024, 2023 and 2022</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461"/>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2023 and 2022</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460"/>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720"/>
          </w:cols>
          <w:pgMar w:left="1260" w:top="1246" w:right="1260" w:bottom="722" w:gutter="0" w:footer="0" w:header="0"/>
        </w:sectPr>
      </w:pPr>
    </w:p>
    <w:bookmarkStart w:id="59" w:name="page60"/>
    <w:bookmarkEnd w:id="59"/>
    <w:p>
      <w:pPr>
        <w:ind w:left="23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 Canyon Education,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Grand Canyon Education, Inc. and subsidiaries (the Company) as of December 31, 2024 and 2023, the related consolidated statements of income,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and our report dated February 19, 2025 expressed an unqualified opinion on the effectiveness of the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1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Evaluation of the sufficiency of audit evidence over service revenue</w:t>
      </w:r>
    </w:p>
    <w:p>
      <w:pPr>
        <w:spacing w:after="0" w:line="109" w:lineRule="exact"/>
        <w:rPr>
          <w:sz w:val="20"/>
          <w:szCs w:val="20"/>
          <w:color w:val="auto"/>
        </w:rPr>
      </w:pPr>
    </w:p>
    <w:p>
      <w:pPr>
        <w:ind w:left="720"/>
        <w:spacing w:after="0" w:line="263"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660"/>
          </w:cols>
          <w:pgMar w:left="1260" w:top="1243" w:right="1320" w:bottom="722" w:gutter="0" w:footer="0" w:header="0"/>
        </w:sectPr>
      </w:pPr>
    </w:p>
    <w:bookmarkStart w:id="60" w:name="page61"/>
    <w:bookmarkEnd w:id="60"/>
    <w:p>
      <w:pPr>
        <w:ind w:left="720" w:right="260"/>
        <w:spacing w:after="0" w:line="288" w:lineRule="auto"/>
        <w:rPr>
          <w:sz w:val="20"/>
          <w:szCs w:val="20"/>
          <w:color w:val="auto"/>
        </w:rPr>
      </w:pPr>
      <w:r>
        <w:rPr>
          <w:rFonts w:ascii="Times New Roman" w:cs="Times New Roman" w:eastAsia="Times New Roman" w:hAnsi="Times New Roman"/>
          <w:sz w:val="20"/>
          <w:szCs w:val="20"/>
          <w:color w:val="auto"/>
        </w:rPr>
        <w:t>on the respective University Partner’s reporting processes and the services provided. The Company recorded $1,033 million of service revenue for the year ended December 31, 2024.</w:t>
      </w:r>
    </w:p>
    <w:p>
      <w:pPr>
        <w:spacing w:after="0" w:line="128" w:lineRule="exact"/>
        <w:rPr>
          <w:sz w:val="20"/>
          <w:szCs w:val="20"/>
          <w:color w:val="auto"/>
        </w:rPr>
      </w:pPr>
    </w:p>
    <w:p>
      <w:pPr>
        <w:ind w:left="720" w:right="80"/>
        <w:spacing w:after="0" w:line="260" w:lineRule="auto"/>
        <w:rPr>
          <w:sz w:val="20"/>
          <w:szCs w:val="20"/>
          <w:color w:val="auto"/>
        </w:rPr>
      </w:pPr>
      <w:r>
        <w:rPr>
          <w:rFonts w:ascii="Times New Roman" w:cs="Times New Roman" w:eastAsia="Times New Roman" w:hAnsi="Times New Roman"/>
          <w:sz w:val="20"/>
          <w:szCs w:val="20"/>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144" w:lineRule="exact"/>
        <w:rPr>
          <w:sz w:val="20"/>
          <w:szCs w:val="20"/>
          <w:color w:val="auto"/>
        </w:rPr>
      </w:pPr>
    </w:p>
    <w:p>
      <w:pPr>
        <w:ind w:left="720"/>
        <w:spacing w:after="0" w:line="246"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applied auditor judgment to determine the nature and extent of procedures to be performed over tuition and fee information of the University Partners. We evaluated the design and tested the operating effectiveness of certain internal controls related to service revenue. This included controls related to the accurate recording of amounts dependent on University Partners’ tuition and fee revenue information. For a sample of transactions, we compared the amounts recognized as service revenue for consistency with underlying documentation, including contracts with University Partners and student enrollment documentation.</w:t>
      </w:r>
    </w:p>
    <w:p>
      <w:pPr>
        <w:spacing w:after="0" w:line="100" w:lineRule="exact"/>
        <w:rPr>
          <w:sz w:val="20"/>
          <w:szCs w:val="20"/>
          <w:color w:val="auto"/>
        </w:rPr>
      </w:pPr>
    </w:p>
    <w:p>
      <w:pPr>
        <w:ind w:left="720" w:right="460"/>
        <w:spacing w:after="0" w:line="254" w:lineRule="auto"/>
        <w:rPr>
          <w:sz w:val="20"/>
          <w:szCs w:val="20"/>
          <w:color w:val="auto"/>
        </w:rPr>
      </w:pPr>
      <w:r>
        <w:rPr>
          <w:rFonts w:ascii="Times New Roman" w:cs="Times New Roman" w:eastAsia="Times New Roman" w:hAnsi="Times New Roman"/>
          <w:sz w:val="20"/>
          <w:szCs w:val="20"/>
          <w:color w:val="auto"/>
        </w:rPr>
        <w:t>We evaluated the sufficiency of audit evidence obtained by assessing the results of procedures performed, including the nature of such evidence.</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/s/ KPMG LLP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Phoenix, Arizona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680"/>
          </w:cols>
          <w:pgMar w:left="1260" w:top="1257" w:right="1300" w:bottom="722" w:gutter="0" w:footer="0" w:header="0"/>
        </w:sectPr>
      </w:pPr>
    </w:p>
    <w:bookmarkStart w:id="61" w:name="page62"/>
    <w:bookmarkEnd w:id="61"/>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80"/>
        </w:trPr>
        <w:tc>
          <w:tcPr>
            <w:tcW w:w="6860" w:type="dxa"/>
            <w:vAlign w:val="bottom"/>
          </w:tcPr>
          <w:p>
            <w:pPr>
              <w:ind w:left="30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146,475</w:t>
            </w:r>
          </w:p>
        </w:tc>
        <w:tc>
          <w:tcPr>
            <w:tcW w:w="0" w:type="dxa"/>
            <w:vAlign w:val="bottom"/>
          </w:tcPr>
          <w:p>
            <w:pPr>
              <w:spacing w:after="0"/>
              <w:rPr>
                <w:sz w:val="1"/>
                <w:szCs w:val="1"/>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98,031</w:t>
            </w: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Accounts receivable, net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78,811</w:t>
            </w:r>
          </w:p>
        </w:tc>
        <w:tc>
          <w:tcPr>
            <w:tcW w:w="0" w:type="dxa"/>
            <w:vAlign w:val="bottom"/>
          </w:tcPr>
          <w:p>
            <w:pPr>
              <w:spacing w:after="0"/>
              <w:rPr>
                <w:sz w:val="1"/>
                <w:szCs w:val="1"/>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Income tax receivable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w:t>
            </w:r>
          </w:p>
        </w:tc>
        <w:tc>
          <w:tcPr>
            <w:tcW w:w="0" w:type="dxa"/>
            <w:vAlign w:val="bottom"/>
          </w:tcPr>
          <w:p>
            <w:pPr>
              <w:spacing w:after="0"/>
              <w:rPr>
                <w:sz w:val="1"/>
                <w:szCs w:val="1"/>
                <w:color w:val="auto"/>
              </w:rPr>
            </w:pPr>
          </w:p>
        </w:tc>
      </w:tr>
      <w:tr>
        <w:trPr>
          <w:trHeight w:val="250"/>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current assets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12,889</w:t>
            </w:r>
          </w:p>
        </w:tc>
        <w:tc>
          <w:tcPr>
            <w:tcW w:w="0" w:type="dxa"/>
            <w:vAlign w:val="bottom"/>
          </w:tcPr>
          <w:p>
            <w:pPr>
              <w:spacing w:after="0"/>
              <w:rPr>
                <w:sz w:val="1"/>
                <w:szCs w:val="1"/>
                <w:color w:val="auto"/>
              </w:rPr>
            </w:pPr>
          </w:p>
        </w:tc>
      </w:tr>
      <w:tr>
        <w:trPr>
          <w:trHeight w:val="201"/>
        </w:trPr>
        <w:tc>
          <w:tcPr>
            <w:tcW w:w="686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Total current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419,976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337,522</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169,699</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92,454</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Amortizable intangible assets, net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168,381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160,766</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1,641</w:t>
            </w:r>
          </w:p>
        </w:tc>
        <w:tc>
          <w:tcPr>
            <w:tcW w:w="0" w:type="dxa"/>
            <w:vAlign w:val="bottom"/>
          </w:tcPr>
          <w:p>
            <w:pPr>
              <w:spacing w:after="0"/>
              <w:rPr>
                <w:sz w:val="1"/>
                <w:szCs w:val="1"/>
                <w:color w:val="auto"/>
              </w:rPr>
            </w:pPr>
          </w:p>
        </w:tc>
      </w:tr>
      <w:tr>
        <w:trPr>
          <w:trHeight w:val="229"/>
        </w:trPr>
        <w:tc>
          <w:tcPr>
            <w:tcW w:w="686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1,018,425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930,463</w:t>
            </w:r>
          </w:p>
        </w:tc>
        <w:tc>
          <w:tcPr>
            <w:tcW w:w="0" w:type="dxa"/>
            <w:vAlign w:val="bottom"/>
          </w:tcPr>
          <w:p>
            <w:pPr>
              <w:spacing w:after="0"/>
              <w:rPr>
                <w:sz w:val="1"/>
                <w:szCs w:val="1"/>
                <w:color w:val="auto"/>
              </w:rPr>
            </w:pPr>
          </w:p>
        </w:tc>
      </w:tr>
      <w:tr>
        <w:trPr>
          <w:trHeight w:val="207"/>
        </w:trPr>
        <w:tc>
          <w:tcPr>
            <w:tcW w:w="6860" w:type="dxa"/>
            <w:vAlign w:val="bottom"/>
          </w:tcPr>
          <w:p>
            <w:pPr>
              <w:ind w:left="1220"/>
              <w:spacing w:after="0" w:line="207"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Accounts payable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17,676</w:t>
            </w: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31,358</w:t>
            </w: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liabilities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26,725</w:t>
            </w:r>
          </w:p>
        </w:tc>
        <w:tc>
          <w:tcPr>
            <w:tcW w:w="0" w:type="dxa"/>
            <w:vAlign w:val="bottom"/>
          </w:tcPr>
          <w:p>
            <w:pPr>
              <w:spacing w:after="0"/>
              <w:rPr>
                <w:sz w:val="1"/>
                <w:szCs w:val="1"/>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Income taxes payable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10,250</w:t>
            </w: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Deferred revenue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portion of lease liability</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11,024</w:t>
            </w:r>
          </w:p>
        </w:tc>
        <w:tc>
          <w:tcPr>
            <w:tcW w:w="0" w:type="dxa"/>
            <w:vAlign w:val="bottom"/>
          </w:tcPr>
          <w:p>
            <w:pPr>
              <w:spacing w:after="0"/>
              <w:rPr>
                <w:sz w:val="1"/>
                <w:szCs w:val="1"/>
                <w:color w:val="auto"/>
              </w:rPr>
            </w:pPr>
          </w:p>
        </w:tc>
      </w:tr>
      <w:tr>
        <w:trPr>
          <w:trHeight w:val="201"/>
        </w:trPr>
        <w:tc>
          <w:tcPr>
            <w:tcW w:w="686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110,966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97,033</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taxes, noncurrent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26,749</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liability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 less current portion</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95,635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88,257</w:t>
            </w:r>
          </w:p>
        </w:tc>
        <w:tc>
          <w:tcPr>
            <w:tcW w:w="0" w:type="dxa"/>
            <w:vAlign w:val="bottom"/>
          </w:tcPr>
          <w:p>
            <w:pPr>
              <w:spacing w:after="0"/>
              <w:rPr>
                <w:sz w:val="1"/>
                <w:szCs w:val="1"/>
                <w:color w:val="auto"/>
              </w:rPr>
            </w:pPr>
          </w:p>
        </w:tc>
      </w:tr>
      <w:tr>
        <w:trPr>
          <w:trHeight w:val="220"/>
        </w:trPr>
        <w:tc>
          <w:tcPr>
            <w:tcW w:w="686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liabilities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234,572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212,449</w:t>
            </w:r>
          </w:p>
        </w:tc>
        <w:tc>
          <w:tcPr>
            <w:tcW w:w="0" w:type="dxa"/>
            <w:vAlign w:val="bottom"/>
          </w:tcPr>
          <w:p>
            <w:pPr>
              <w:spacing w:after="0"/>
              <w:rPr>
                <w:sz w:val="1"/>
                <w:szCs w:val="1"/>
                <w:color w:val="auto"/>
              </w:rPr>
            </w:pPr>
          </w:p>
        </w:tc>
      </w:tr>
      <w:tr>
        <w:trPr>
          <w:trHeight w:val="195"/>
        </w:trPr>
        <w:tc>
          <w:tcPr>
            <w:tcW w:w="6860" w:type="dxa"/>
            <w:vAlign w:val="bottom"/>
          </w:tcPr>
          <w:p>
            <w:pPr>
              <w:spacing w:after="0" w:line="195" w:lineRule="exact"/>
              <w:rPr>
                <w:sz w:val="20"/>
                <w:szCs w:val="20"/>
                <w:color w:val="auto"/>
              </w:rPr>
            </w:pPr>
            <w:r>
              <w:rPr>
                <w:rFonts w:ascii="Times New Roman" w:cs="Times New Roman" w:eastAsia="Times New Roman" w:hAnsi="Times New Roman"/>
                <w:sz w:val="20"/>
                <w:szCs w:val="20"/>
                <w:color w:val="auto"/>
              </w:rPr>
              <w:t>Commitments and contingencies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 $0.01 par value, 10,000 shares authorized; 0 shares issued and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 and December 31, 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$0.01 par value, 100,000 shares authorized; 54,090 and 53,970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shares issued and 28,858 and 29,953 shares outstanding at December 31, 2024 and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2023, respectively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Treasury stock, at cost, 25,232 and 24,017 shares of common stock at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and December 31, 2023, respectively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(2,024,370)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(1,849,693)</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336,736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322,512</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Retained earnings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2,470,946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2,244,712</w:t>
            </w:r>
          </w:p>
        </w:tc>
        <w:tc>
          <w:tcPr>
            <w:tcW w:w="0" w:type="dxa"/>
            <w:vAlign w:val="bottom"/>
          </w:tcPr>
          <w:p>
            <w:pPr>
              <w:spacing w:after="0"/>
              <w:rPr>
                <w:sz w:val="1"/>
                <w:szCs w:val="1"/>
                <w:color w:val="auto"/>
              </w:rPr>
            </w:pPr>
          </w:p>
        </w:tc>
      </w:tr>
      <w:tr>
        <w:trPr>
          <w:trHeight w:val="220"/>
        </w:trPr>
        <w:tc>
          <w:tcPr>
            <w:tcW w:w="686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783,853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718,014</w:t>
            </w:r>
          </w:p>
        </w:tc>
        <w:tc>
          <w:tcPr>
            <w:tcW w:w="0" w:type="dxa"/>
            <w:vAlign w:val="bottom"/>
          </w:tcPr>
          <w:p>
            <w:pPr>
              <w:spacing w:after="0"/>
              <w:rPr>
                <w:sz w:val="1"/>
                <w:szCs w:val="1"/>
                <w:color w:val="auto"/>
              </w:rPr>
            </w:pPr>
          </w:p>
        </w:tc>
      </w:tr>
      <w:tr>
        <w:trPr>
          <w:trHeight w:val="230"/>
        </w:trPr>
        <w:tc>
          <w:tcPr>
            <w:tcW w:w="686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1,018,425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930,463</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540"/>
          </w:cols>
          <w:pgMar w:left="1260" w:top="1242" w:right="1440" w:bottom="722" w:gutter="0" w:footer="0" w:header="0"/>
        </w:sectPr>
      </w:pPr>
    </w:p>
    <w:bookmarkStart w:id="62" w:name="page63"/>
    <w:bookmarkEnd w:id="6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Consolidated Income Statements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9"/>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2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0"/>
        </w:trPr>
        <w:tc>
          <w:tcPr>
            <w:tcW w:w="622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Service revenue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1,033,002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960,899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911,306</w:t>
            </w:r>
          </w:p>
        </w:tc>
        <w:tc>
          <w:tcPr>
            <w:tcW w:w="0" w:type="dxa"/>
            <w:vAlign w:val="bottom"/>
          </w:tcPr>
          <w:p>
            <w:pPr>
              <w:spacing w:after="0"/>
              <w:rPr>
                <w:sz w:val="1"/>
                <w:szCs w:val="1"/>
                <w:color w:val="auto"/>
              </w:rPr>
            </w:pPr>
          </w:p>
        </w:tc>
      </w:tr>
      <w:tr>
        <w:trPr>
          <w:trHeight w:val="199"/>
        </w:trPr>
        <w:tc>
          <w:tcPr>
            <w:tcW w:w="62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Costs and expenses: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Technology and academic services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150,493</w:t>
            </w:r>
          </w:p>
        </w:tc>
        <w:tc>
          <w:tcPr>
            <w:tcW w:w="0" w:type="dxa"/>
            <w:vAlign w:val="bottom"/>
          </w:tcPr>
          <w:p>
            <w:pPr>
              <w:spacing w:after="0"/>
              <w:rPr>
                <w:sz w:val="1"/>
                <w:szCs w:val="1"/>
                <w:color w:val="auto"/>
              </w:rPr>
            </w:pPr>
          </w:p>
        </w:tc>
      </w:tr>
      <w:tr>
        <w:trPr>
          <w:trHeight w:val="23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Counseling services and support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323,484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302,319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273,313</w:t>
            </w:r>
          </w:p>
        </w:tc>
        <w:tc>
          <w:tcPr>
            <w:tcW w:w="0" w:type="dxa"/>
            <w:vAlign w:val="bottom"/>
          </w:tcPr>
          <w:p>
            <w:pPr>
              <w:spacing w:after="0"/>
              <w:rPr>
                <w:sz w:val="1"/>
                <w:szCs w:val="1"/>
                <w:color w:val="auto"/>
              </w:rPr>
            </w:pPr>
          </w:p>
        </w:tc>
      </w:tr>
      <w:tr>
        <w:trPr>
          <w:trHeight w:val="229"/>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Marketing and communication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212,420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196,090</w:t>
            </w:r>
          </w:p>
        </w:tc>
        <w:tc>
          <w:tcPr>
            <w:tcW w:w="0" w:type="dxa"/>
            <w:vAlign w:val="bottom"/>
          </w:tcPr>
          <w:p>
            <w:pPr>
              <w:spacing w:after="0"/>
              <w:rPr>
                <w:sz w:val="1"/>
                <w:szCs w:val="1"/>
                <w:color w:val="auto"/>
              </w:rPr>
            </w:pPr>
          </w:p>
        </w:tc>
      </w:tr>
      <w:tr>
        <w:trPr>
          <w:trHeight w:val="23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45,491</w:t>
            </w:r>
          </w:p>
        </w:tc>
        <w:tc>
          <w:tcPr>
            <w:tcW w:w="0" w:type="dxa"/>
            <w:vAlign w:val="bottom"/>
          </w:tcPr>
          <w:p>
            <w:pPr>
              <w:spacing w:after="0"/>
              <w:rPr>
                <w:sz w:val="1"/>
                <w:szCs w:val="1"/>
                <w:color w:val="auto"/>
              </w:rPr>
            </w:pPr>
          </w:p>
        </w:tc>
      </w:tr>
      <w:tr>
        <w:trPr>
          <w:trHeight w:val="229"/>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Impairment and other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0" w:type="dxa"/>
            <w:vAlign w:val="bottom"/>
          </w:tcPr>
          <w:p>
            <w:pPr>
              <w:spacing w:after="0"/>
              <w:rPr>
                <w:sz w:val="1"/>
                <w:szCs w:val="1"/>
                <w:color w:val="auto"/>
              </w:rPr>
            </w:pPr>
          </w:p>
        </w:tc>
      </w:tr>
      <w:tr>
        <w:trPr>
          <w:trHeight w:val="220"/>
        </w:trPr>
        <w:tc>
          <w:tcPr>
            <w:tcW w:w="622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costs and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757,603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711,643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673,806</w:t>
            </w:r>
          </w:p>
        </w:tc>
        <w:tc>
          <w:tcPr>
            <w:tcW w:w="0" w:type="dxa"/>
            <w:vAlign w:val="bottom"/>
          </w:tcPr>
          <w:p>
            <w:pPr>
              <w:spacing w:after="0"/>
              <w:rPr>
                <w:sz w:val="1"/>
                <w:szCs w:val="1"/>
                <w:color w:val="auto"/>
              </w:rPr>
            </w:pPr>
          </w:p>
        </w:tc>
      </w:tr>
      <w:tr>
        <w:trPr>
          <w:trHeight w:val="201"/>
        </w:trPr>
        <w:tc>
          <w:tcPr>
            <w:tcW w:w="622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Operating income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275,399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249,256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237,500</w:t>
            </w:r>
          </w:p>
        </w:tc>
        <w:tc>
          <w:tcPr>
            <w:tcW w:w="0" w:type="dxa"/>
            <w:vAlign w:val="bottom"/>
          </w:tcPr>
          <w:p>
            <w:pPr>
              <w:spacing w:after="0"/>
              <w:rPr>
                <w:sz w:val="1"/>
                <w:szCs w:val="1"/>
                <w:color w:val="auto"/>
              </w:rPr>
            </w:pPr>
          </w:p>
        </w:tc>
      </w:tr>
      <w:tr>
        <w:trPr>
          <w:trHeight w:val="23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interest and other</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15,920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2,621</w:t>
            </w:r>
          </w:p>
        </w:tc>
        <w:tc>
          <w:tcPr>
            <w:tcW w:w="0" w:type="dxa"/>
            <w:vAlign w:val="bottom"/>
          </w:tcPr>
          <w:p>
            <w:pPr>
              <w:spacing w:after="0"/>
              <w:rPr>
                <w:sz w:val="1"/>
                <w:szCs w:val="1"/>
                <w:color w:val="auto"/>
              </w:rPr>
            </w:pPr>
          </w:p>
        </w:tc>
      </w:tr>
      <w:tr>
        <w:trPr>
          <w:trHeight w:val="199"/>
        </w:trPr>
        <w:tc>
          <w:tcPr>
            <w:tcW w:w="62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Income before income taxes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291,315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259,675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240,119</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65,081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54,690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55,444</w:t>
            </w:r>
          </w:p>
        </w:tc>
        <w:tc>
          <w:tcPr>
            <w:tcW w:w="0" w:type="dxa"/>
            <w:vAlign w:val="bottom"/>
          </w:tcPr>
          <w:p>
            <w:pPr>
              <w:spacing w:after="0"/>
              <w:rPr>
                <w:sz w:val="1"/>
                <w:szCs w:val="1"/>
                <w:color w:val="auto"/>
              </w:rPr>
            </w:pPr>
          </w:p>
        </w:tc>
      </w:tr>
      <w:tr>
        <w:trPr>
          <w:trHeight w:val="229"/>
        </w:trPr>
        <w:tc>
          <w:tcPr>
            <w:tcW w:w="622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226,234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204,985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184,675</w:t>
            </w:r>
          </w:p>
        </w:tc>
        <w:tc>
          <w:tcPr>
            <w:tcW w:w="0" w:type="dxa"/>
            <w:vAlign w:val="bottom"/>
          </w:tcPr>
          <w:p>
            <w:pPr>
              <w:spacing w:after="0"/>
              <w:rPr>
                <w:sz w:val="1"/>
                <w:szCs w:val="1"/>
                <w:color w:val="auto"/>
              </w:rPr>
            </w:pPr>
          </w:p>
        </w:tc>
      </w:tr>
      <w:tr>
        <w:trPr>
          <w:trHeight w:val="208"/>
        </w:trPr>
        <w:tc>
          <w:tcPr>
            <w:tcW w:w="6220" w:type="dxa"/>
            <w:vAlign w:val="bottom"/>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Earnings per share: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Basic income per share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u w:val="single" w:color="auto"/>
                <w:color w:val="auto"/>
              </w:rPr>
              <w:t>83</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75</w:t>
            </w:r>
          </w:p>
        </w:tc>
        <w:tc>
          <w:tcPr>
            <w:tcW w:w="0" w:type="dxa"/>
            <w:vAlign w:val="bottom"/>
          </w:tcPr>
          <w:p>
            <w:pPr>
              <w:spacing w:after="0"/>
              <w:rPr>
                <w:sz w:val="1"/>
                <w:szCs w:val="1"/>
                <w:color w:val="auto"/>
              </w:rPr>
            </w:pPr>
          </w:p>
        </w:tc>
      </w:tr>
      <w:tr>
        <w:trPr>
          <w:trHeight w:val="228"/>
        </w:trPr>
        <w:tc>
          <w:tcPr>
            <w:tcW w:w="6220" w:type="dxa"/>
            <w:vAlign w:val="bottom"/>
          </w:tcPr>
          <w:p>
            <w:pPr>
              <w:ind w:left="120"/>
              <w:spacing w:after="0" w:line="219" w:lineRule="exact"/>
              <w:rPr>
                <w:sz w:val="20"/>
                <w:szCs w:val="20"/>
                <w:color w:val="auto"/>
              </w:rPr>
            </w:pPr>
            <w:r>
              <w:rPr>
                <w:rFonts w:ascii="Times New Roman" w:cs="Times New Roman" w:eastAsia="Times New Roman" w:hAnsi="Times New Roman"/>
                <w:sz w:val="20"/>
                <w:szCs w:val="20"/>
                <w:b w:val="1"/>
                <w:bCs w:val="1"/>
                <w:color w:val="auto"/>
              </w:rPr>
              <w:t>Diluted income per share</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u w:val="single" w:color="auto"/>
                <w:color w:val="auto"/>
              </w:rPr>
              <w:t>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73</w:t>
            </w:r>
          </w:p>
        </w:tc>
        <w:tc>
          <w:tcPr>
            <w:tcW w:w="0" w:type="dxa"/>
            <w:vAlign w:val="bottom"/>
          </w:tcPr>
          <w:p>
            <w:pPr>
              <w:spacing w:after="0"/>
              <w:rPr>
                <w:sz w:val="1"/>
                <w:szCs w:val="1"/>
                <w:color w:val="auto"/>
              </w:rPr>
            </w:pPr>
          </w:p>
        </w:tc>
      </w:tr>
      <w:tr>
        <w:trPr>
          <w:trHeight w:val="24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Basic weighted average shares outstanding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32,131</w:t>
            </w:r>
          </w:p>
        </w:tc>
        <w:tc>
          <w:tcPr>
            <w:tcW w:w="0" w:type="dxa"/>
            <w:vAlign w:val="bottom"/>
          </w:tcPr>
          <w:p>
            <w:pPr>
              <w:spacing w:after="0"/>
              <w:rPr>
                <w:sz w:val="1"/>
                <w:szCs w:val="1"/>
                <w:color w:val="auto"/>
              </w:rPr>
            </w:pPr>
          </w:p>
        </w:tc>
      </w:tr>
      <w:tr>
        <w:trPr>
          <w:trHeight w:val="242"/>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Diluted weighted average shares outstanding</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29,271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30,147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32,237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540"/>
          </w:cols>
          <w:pgMar w:left="1260" w:top="1242" w:right="1440" w:bottom="722" w:gutter="0" w:footer="0" w:header="0"/>
        </w:sectPr>
      </w:pPr>
    </w:p>
    <w:bookmarkStart w:id="63" w:name="page64"/>
    <w:bookmarkEnd w:id="63"/>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ind w:right="168"/>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gridSpan w:val="3"/>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20" w:type="dxa"/>
            <w:vAlign w:val="bottom"/>
            <w:gridSpan w:val="3"/>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5"/>
        </w:trPr>
        <w:tc>
          <w:tcPr>
            <w:tcW w:w="63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w w:val="94"/>
              </w:rPr>
              <w:t>$ 226,234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w w:val="97"/>
              </w:rPr>
              <w:t>$ 204,985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w w:val="97"/>
              </w:rPr>
              <w:t>$ 184,675</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 net of tax:</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Realized gains on available-for-sale securities, net of taxes of $17 for the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year ended December 31, 2024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gains (losses) on available-for-sale securities, net of taxes of</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$151 and $168 for the years ended December 31, 2023 and 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respectively</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0" w:type="dxa"/>
            <w:vAlign w:val="bottom"/>
          </w:tcPr>
          <w:p>
            <w:pPr>
              <w:spacing w:after="0"/>
              <w:rPr>
                <w:sz w:val="1"/>
                <w:szCs w:val="1"/>
                <w:color w:val="auto"/>
              </w:rPr>
            </w:pPr>
          </w:p>
        </w:tc>
      </w:tr>
      <w:tr>
        <w:trPr>
          <w:trHeight w:val="230"/>
        </w:trPr>
        <w:tc>
          <w:tcPr>
            <w:tcW w:w="632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Comprehensive income</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4"/>
              </w:rPr>
              <w:t>$ 226,291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7"/>
              </w:rPr>
              <w:t>$ 205,461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7"/>
              </w:rPr>
              <w:t>$ 184,142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540"/>
          </w:cols>
          <w:pgMar w:left="1260" w:top="1242" w:right="1440" w:bottom="722"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63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10"/>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5"/>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Treasury Stock</w:t>
            </w:r>
          </w:p>
        </w:tc>
        <w:tc>
          <w:tcPr>
            <w:tcW w:w="160" w:type="dxa"/>
            <w:vAlign w:val="bottom"/>
          </w:tcPr>
          <w:p>
            <w:pPr>
              <w:spacing w:after="0"/>
              <w:rPr>
                <w:sz w:val="19"/>
                <w:szCs w:val="19"/>
                <w:color w:val="auto"/>
              </w:rPr>
            </w:pPr>
          </w:p>
        </w:tc>
        <w:tc>
          <w:tcPr>
            <w:tcW w:w="76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820" w:type="dxa"/>
            <w:vAlign w:val="bottom"/>
            <w:tcBorders>
              <w:top w:val="single" w:sz="8" w:color="auto"/>
            </w:tcBorders>
          </w:tcPr>
          <w:p>
            <w:pPr>
              <w:jc w:val="right"/>
              <w:ind w:right="85"/>
              <w:spacing w:after="0" w:line="176" w:lineRule="exact"/>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
              <w:spacing w:after="0" w:line="176" w:lineRule="exact"/>
              <w:rPr>
                <w:sz w:val="20"/>
                <w:szCs w:val="20"/>
                <w:color w:val="auto"/>
              </w:rPr>
            </w:pPr>
            <w:r>
              <w:rPr>
                <w:rFonts w:ascii="Times New Roman" w:cs="Times New Roman" w:eastAsia="Times New Roman" w:hAnsi="Times New Roman"/>
                <w:sz w:val="16"/>
                <w:szCs w:val="16"/>
                <w:b w:val="1"/>
                <w:bCs w:val="1"/>
                <w:color w:val="auto"/>
                <w:w w:val="95"/>
              </w:rPr>
              <w:t>Par 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jc w:val="right"/>
              <w:ind w:right="86"/>
              <w:spacing w:after="0" w:line="176" w:lineRule="exact"/>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84"/>
              <w:spacing w:after="0" w:line="176" w:lineRule="exact"/>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65"/>
              <w:spacing w:after="0" w:line="176"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5"/>
                <w:szCs w:val="15"/>
                <w:color w:val="auto"/>
              </w:rPr>
            </w:pPr>
          </w:p>
        </w:tc>
        <w:tc>
          <w:tcPr>
            <w:tcW w:w="880" w:type="dxa"/>
            <w:vAlign w:val="bottom"/>
          </w:tcPr>
          <w:p>
            <w:pPr>
              <w:ind w:left="60"/>
              <w:spacing w:after="0" w:line="176"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40"/>
              <w:spacing w:after="0" w:line="176"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7"/>
        </w:trPr>
        <w:tc>
          <w:tcPr>
            <w:tcW w:w="3860" w:type="dxa"/>
            <w:vAlign w:val="bottom"/>
            <w:gridSpan w:val="2"/>
            <w:vMerge w:val="continue"/>
          </w:tcPr>
          <w:p>
            <w:pPr>
              <w:spacing w:after="0"/>
              <w:rPr>
                <w:sz w:val="15"/>
                <w:szCs w:val="15"/>
                <w:color w:val="auto"/>
              </w:rPr>
            </w:pPr>
          </w:p>
        </w:tc>
        <w:tc>
          <w:tcPr>
            <w:tcW w:w="8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rPr>
              <w:t>53,637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rPr>
              <w:t>536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rPr>
              <w:t>15,915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rPr>
              <w:t>(1,107,211)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rPr>
              <w:t>296,670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w w:val="99"/>
              </w:rPr>
              <w:t>1,855,052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20"/>
                <w:szCs w:val="20"/>
                <w:color w:val="auto"/>
                <w:w w:val="99"/>
              </w:rPr>
              <w:t>1,045,047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purchased for treasury</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6,795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(599,587)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(599,587)</w:t>
            </w:r>
          </w:p>
        </w:tc>
        <w:tc>
          <w:tcPr>
            <w:tcW w:w="0" w:type="dxa"/>
            <w:vAlign w:val="bottom"/>
          </w:tcPr>
          <w:p>
            <w:pPr>
              <w:spacing w:after="0"/>
              <w:rPr>
                <w:sz w:val="1"/>
                <w:szCs w:val="1"/>
                <w:color w:val="auto"/>
              </w:rPr>
            </w:pPr>
          </w:p>
        </w:tc>
      </w:tr>
      <w:tr>
        <w:trPr>
          <w:trHeight w:val="232"/>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shares 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(4,625)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22,772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(1,711,423)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309,310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2,039,727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637,619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860" w:type="dxa"/>
            <w:vAlign w:val="bottom"/>
            <w:gridSpan w:val="2"/>
          </w:tcPr>
          <w:p>
            <w:pPr>
              <w:spacing w:after="0" w:line="189" w:lineRule="exact"/>
              <w:rPr>
                <w:sz w:val="20"/>
                <w:szCs w:val="20"/>
                <w:color w:val="auto"/>
              </w:rPr>
            </w:pPr>
            <w:r>
              <w:rPr>
                <w:rFonts w:ascii="Times New Roman" w:cs="Times New Roman" w:eastAsia="Times New Roman" w:hAnsi="Times New Roman"/>
                <w:sz w:val="20"/>
                <w:szCs w:val="20"/>
                <w:color w:val="auto"/>
              </w:rPr>
              <w:t>Comprehensive income</w:t>
            </w:r>
          </w:p>
        </w:tc>
        <w:tc>
          <w:tcPr>
            <w:tcW w:w="82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476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204,985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205,461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purchased for treasury</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1,170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(131,939)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(131,939)</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shares 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7"/>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(6,331)</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13,202</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Balance at December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53,970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24,017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(1,849,693)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322,512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2,244,712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718,014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860" w:type="dxa"/>
            <w:vAlign w:val="bottom"/>
            <w:gridSpan w:val="2"/>
          </w:tcPr>
          <w:p>
            <w:pPr>
              <w:spacing w:after="0" w:line="189" w:lineRule="exact"/>
              <w:rPr>
                <w:sz w:val="20"/>
                <w:szCs w:val="20"/>
                <w:color w:val="auto"/>
              </w:rPr>
            </w:pPr>
            <w:r>
              <w:rPr>
                <w:rFonts w:ascii="Times New Roman" w:cs="Times New Roman" w:eastAsia="Times New Roman" w:hAnsi="Times New Roman"/>
                <w:sz w:val="20"/>
                <w:szCs w:val="20"/>
                <w:color w:val="auto"/>
              </w:rPr>
              <w:t>Comprehensive income</w:t>
            </w:r>
          </w:p>
        </w:tc>
        <w:tc>
          <w:tcPr>
            <w:tcW w:w="82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57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226,234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226,291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purchased for treasury</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1,142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(166,907)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(166,907)</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shares 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7"/>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(7,770)</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14,224</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Balance at December 31, 2024</w:t>
            </w:r>
          </w:p>
        </w:tc>
        <w:tc>
          <w:tcPr>
            <w:tcW w:w="20" w:type="dxa"/>
            <w:vAlign w:val="bottom"/>
            <w:tcBorders>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54,090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25,232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(2,024,370)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336,736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2,470,946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783,853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2">
            <w:col w:w="230" w:space="714"/>
            <w:col w:w="12660"/>
          </w:cols>
          <w:pgMar w:left="1036" w:top="1440" w:right="120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10"/>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65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0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00"/>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56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Cash flows provided by operating activities: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226,234</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204,985</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including impairment and fixed asset disposals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from university partners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(2,604)</w:t>
            </w:r>
          </w:p>
        </w:tc>
        <w:tc>
          <w:tcPr>
            <w:tcW w:w="0" w:type="dxa"/>
            <w:vAlign w:val="bottom"/>
          </w:tcPr>
          <w:p>
            <w:pPr>
              <w:spacing w:after="0"/>
              <w:rPr>
                <w:sz w:val="1"/>
                <w:szCs w:val="1"/>
                <w:color w:val="auto"/>
              </w:rPr>
            </w:pPr>
          </w:p>
        </w:tc>
      </w:tr>
      <w:tr>
        <w:trPr>
          <w:trHeight w:val="184"/>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assets and lease liabilities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(3,894)</w:t>
            </w:r>
          </w:p>
        </w:tc>
        <w:tc>
          <w:tcPr>
            <w:tcW w:w="0" w:type="dxa"/>
            <w:vAlign w:val="bottom"/>
          </w:tcPr>
          <w:p>
            <w:pPr>
              <w:spacing w:after="0"/>
              <w:rPr>
                <w:sz w:val="1"/>
                <w:szCs w:val="1"/>
                <w:color w:val="auto"/>
              </w:rPr>
            </w:pPr>
          </w:p>
        </w:tc>
      </w:tr>
      <w:tr>
        <w:trPr>
          <w:trHeight w:val="184"/>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(1,023)</w:t>
            </w:r>
          </w:p>
        </w:tc>
        <w:tc>
          <w:tcPr>
            <w:tcW w:w="0" w:type="dxa"/>
            <w:vAlign w:val="bottom"/>
          </w:tcPr>
          <w:p>
            <w:pPr>
              <w:spacing w:after="0"/>
              <w:rPr>
                <w:sz w:val="1"/>
                <w:szCs w:val="1"/>
                <w:color w:val="auto"/>
              </w:rPr>
            </w:pPr>
          </w:p>
        </w:tc>
      </w:tr>
      <w:tr>
        <w:trPr>
          <w:trHeight w:val="184"/>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receivable/payable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73"/>
        </w:trPr>
        <w:tc>
          <w:tcPr>
            <w:tcW w:w="656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289,958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243,662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220,819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56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Cash flows provided by (used in) investing activities: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(37,248)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(44,537)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(35,232)</w:t>
            </w:r>
          </w:p>
        </w:tc>
        <w:tc>
          <w:tcPr>
            <w:tcW w:w="0" w:type="dxa"/>
            <w:vAlign w:val="bottom"/>
          </w:tcPr>
          <w:p>
            <w:pPr>
              <w:spacing w:after="0"/>
              <w:rPr>
                <w:sz w:val="1"/>
                <w:szCs w:val="1"/>
                <w:color w:val="auto"/>
              </w:rPr>
            </w:pPr>
          </w:p>
        </w:tc>
      </w:tr>
      <w:tr>
        <w:trPr>
          <w:trHeight w:val="185"/>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of amortizable content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(48,594)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(171,549)</w:t>
            </w:r>
          </w:p>
        </w:tc>
        <w:tc>
          <w:tcPr>
            <w:tcW w:w="0" w:type="dxa"/>
            <w:vAlign w:val="bottom"/>
          </w:tcPr>
          <w:p>
            <w:pPr>
              <w:spacing w:after="0"/>
              <w:rPr>
                <w:sz w:val="1"/>
                <w:szCs w:val="1"/>
                <w:color w:val="auto"/>
              </w:rPr>
            </w:pPr>
          </w:p>
        </w:tc>
      </w:tr>
      <w:tr>
        <w:trPr>
          <w:trHeight w:val="199"/>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or maturity of investments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61,365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(80,472)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(97,139)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56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shares and shares withheld in lieu of income taxes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(173,175)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(137,124)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(604,212)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560" w:type="dxa"/>
            <w:vAlign w:val="bottom"/>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Net increase in cash and cash equivalents and restricted cash</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178,148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26,066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(480,532)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beginning of period</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end of period</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324,623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146,475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120,409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56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6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Cash paid for income taxes</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65,261</w:t>
            </w:r>
          </w:p>
        </w:tc>
        <w:tc>
          <w:tcPr>
            <w:tcW w:w="100" w:type="dxa"/>
            <w:vAlign w:val="bottom"/>
          </w:tcPr>
          <w:p>
            <w:pPr>
              <w:spacing w:after="0"/>
              <w:rPr>
                <w:sz w:val="15"/>
                <w:szCs w:val="15"/>
                <w:color w:val="auto"/>
              </w:rPr>
            </w:pPr>
          </w:p>
        </w:tc>
        <w:tc>
          <w:tcPr>
            <w:tcW w:w="2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59,026</w:t>
            </w:r>
          </w:p>
        </w:tc>
        <w:tc>
          <w:tcPr>
            <w:tcW w:w="100" w:type="dxa"/>
            <w:vAlign w:val="bottom"/>
          </w:tcPr>
          <w:p>
            <w:pPr>
              <w:spacing w:after="0"/>
              <w:rPr>
                <w:sz w:val="15"/>
                <w:szCs w:val="15"/>
                <w:color w:val="auto"/>
              </w:rPr>
            </w:pPr>
          </w:p>
        </w:tc>
        <w:tc>
          <w:tcPr>
            <w:tcW w:w="2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48,573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ROU Asset and Liability recognition</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Excise tax on treasury stock repurchases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720"/>
          </w:cols>
          <w:pgMar w:left="1260" w:top="1242" w:right="1260" w:bottom="722"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1. Nature of Business</w:t>
      </w:r>
    </w:p>
    <w:p>
      <w:pPr>
        <w:spacing w:after="0" w:line="12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on ground at its campus in Phoenix, Arizona and at eight off-site classroom and laboratory sites.</w:t>
      </w:r>
    </w:p>
    <w:p>
      <w:pPr>
        <w:spacing w:after="0" w:line="8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also provide education services to numerous university partners across the United States.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2024, GCE provides education services to 22 university partners across the Unites States.</w:t>
      </w:r>
    </w:p>
    <w:p>
      <w:pPr>
        <w:spacing w:after="0" w:line="79" w:lineRule="exact"/>
        <w:rPr>
          <w:sz w:val="20"/>
          <w:szCs w:val="20"/>
          <w:color w:val="auto"/>
        </w:rPr>
      </w:pPr>
    </w:p>
    <w:p>
      <w:pPr>
        <w:ind w:right="200" w:firstLine="720"/>
        <w:spacing w:after="0" w:line="247" w:lineRule="auto"/>
        <w:rPr>
          <w:sz w:val="20"/>
          <w:szCs w:val="20"/>
          <w:color w:val="auto"/>
        </w:rPr>
      </w:pPr>
      <w:r>
        <w:rPr>
          <w:rFonts w:ascii="Times New Roman" w:cs="Times New Roman" w:eastAsia="Times New Roman" w:hAnsi="Times New Roman"/>
          <w:sz w:val="20"/>
          <w:szCs w:val="20"/>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On July 1, 2018, the Company sold the university to GCU (the “Transaction”). The Company’s wholly owned subsidiaries were historically used to facilitate expansion of the university campus prior to the Transaction.</w:t>
      </w:r>
    </w:p>
    <w:p>
      <w:pPr>
        <w:spacing w:after="0" w:line="76" w:lineRule="exact"/>
        <w:rPr>
          <w:sz w:val="20"/>
          <w:szCs w:val="20"/>
          <w:color w:val="auto"/>
        </w:rPr>
      </w:pPr>
    </w:p>
    <w:p>
      <w:pPr>
        <w:ind w:right="5740" w:firstLine="7"/>
        <w:spacing w:after="0" w:line="367" w:lineRule="auto"/>
        <w:tabs>
          <w:tab w:leader="none" w:pos="199"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Principles of Consolidation</w:t>
      </w:r>
    </w:p>
    <w:p>
      <w:pPr>
        <w:ind w:left="720"/>
        <w:spacing w:after="0"/>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wholly-owned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Intercompany transactions have been eliminated in consolidation.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19"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including the collection of accounts receivables and reserves associated with uncertain tax positions. Actual results could differ from those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11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As of December 31, 2024 the Company had no investments. As of December 31, 2023 the Company considered investments in corporate bonds, agency bonds, treasury bills and commercial paper as available-for-sale securities based on the Company’s intent for the respective securities. Available- for-sale securities are carried at fair value, determined using Level 1 and Level 2 of the hierarchy of valuation inputs, with the use of quoted market prices and inputs other than quoted prices that are observable for the assets. Unrealized investment gains and losses, net of tax, are reported as a separate component of other comprehensive income. Unrealized losses considered to be other-than temporary are recognized currently in earnings. Amortization of premiums, accretion of discounts, interest and dividend income and realized gains and losses are included in interest and other income.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19"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700"/>
          </w:cols>
          <w:pgMar w:left="1260" w:top="1243" w:right="1280" w:bottom="722" w:gutter="0" w:footer="0" w:header="0"/>
          <w:type w:val="continuous"/>
        </w:sectPr>
      </w:pPr>
    </w:p>
    <w:bookmarkStart w:id="67" w:name="page68"/>
    <w:bookmarkEnd w:id="67"/>
    <w:p>
      <w:pPr>
        <w:spacing w:after="0" w:line="253" w:lineRule="auto"/>
        <w:rPr>
          <w:sz w:val="20"/>
          <w:szCs w:val="20"/>
          <w:color w:val="auto"/>
        </w:rPr>
      </w:pPr>
      <w:r>
        <w:rPr>
          <w:rFonts w:ascii="Times New Roman" w:cs="Times New Roman" w:eastAsia="Times New Roman" w:hAnsi="Times New Roman"/>
          <w:sz w:val="20"/>
          <w:szCs w:val="20"/>
          <w:color w:val="auto"/>
        </w:rPr>
        <w:t>depreciated. 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Arrangements with GCU</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 -office services to GCU in return for 60% of GCU’s tuition and fee revenue. Except for identified liabilities assumed by GCU, GCE retained responsibility for all liabilities of the business arising from pre-closing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Internally Developed Technology</w:t>
      </w:r>
    </w:p>
    <w:p>
      <w:pPr>
        <w:spacing w:after="0" w:line="11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Content Development</w:t>
      </w:r>
    </w:p>
    <w:p>
      <w:pPr>
        <w:spacing w:after="0" w:line="12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80" w:lineRule="exact"/>
        <w:rPr>
          <w:sz w:val="20"/>
          <w:szCs w:val="20"/>
          <w:color w:val="auto"/>
        </w:rPr>
      </w:pPr>
    </w:p>
    <w:p>
      <w:pPr>
        <w:ind w:right="200" w:firstLine="720"/>
        <w:spacing w:after="0" w:line="244" w:lineRule="auto"/>
        <w:rPr>
          <w:sz w:val="20"/>
          <w:szCs w:val="20"/>
          <w:color w:val="auto"/>
        </w:rPr>
      </w:pPr>
      <w:r>
        <w:rPr>
          <w:rFonts w:ascii="Times New Roman" w:cs="Times New Roman" w:eastAsia="Times New Roman" w:hAnsi="Times New Roman"/>
          <w:sz w:val="20"/>
          <w:szCs w:val="20"/>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2024 and 2023, $658 and $746, respectively, net of amortization, of deferred content assets are included in other assets in the Company’s consolidated balance sheets and amortization is included in technical and academic services where the costs originated.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119"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The Company evaluates the recoverability of its long -lived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19"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680"/>
          </w:cols>
          <w:pgMar w:left="1260" w:top="1246" w:right="1300" w:bottom="722" w:gutter="0" w:footer="0" w:header="0"/>
          <w:type w:val="continuous"/>
        </w:sectPr>
      </w:pPr>
    </w:p>
    <w:bookmarkStart w:id="68" w:name="page69"/>
    <w:bookmarkEnd w:id="68"/>
    <w:p>
      <w:pPr>
        <w:ind w:right="20"/>
        <w:spacing w:after="0" w:line="246" w:lineRule="auto"/>
        <w:rPr>
          <w:sz w:val="20"/>
          <w:szCs w:val="20"/>
          <w:color w:val="auto"/>
        </w:rPr>
      </w:pPr>
      <w:r>
        <w:rPr>
          <w:rFonts w:ascii="Times New Roman" w:cs="Times New Roman" w:eastAsia="Times New Roman" w:hAnsi="Times New Roman"/>
          <w:sz w:val="20"/>
          <w:szCs w:val="20"/>
          <w:color w:val="auto"/>
        </w:rPr>
        <w:t>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Amortizable Intangible Assets</w:t>
      </w:r>
    </w:p>
    <w:p>
      <w:pPr>
        <w:spacing w:after="0" w:line="1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 Following this assessment, the Company determined that it is more likely than not that its fair value exceeds its carrying amount.</w:t>
      </w:r>
    </w:p>
    <w:p>
      <w:pPr>
        <w:spacing w:after="0" w:line="81"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December 31, 2024.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1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 measures and recognizes compensation expense for share- 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“Board of Directors”). The Company recognizes forfeitures as they occur.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19"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The carrying value of cash and cash equivalents, accounts receivable, accounts payable, accrued compensation and benefits and accrued liabilities approximate their fair value based on the liquidity or the short-term maturities of these instruments.</w:t>
      </w:r>
    </w:p>
    <w:p>
      <w:pPr>
        <w:spacing w:after="0" w:line="65"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of fair value measurements for each level is described below, with Level 1 having the highest priority.</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inputs are quoted prices (unadjusted) in active markets for identical assets or liabilities.</w:t>
      </w:r>
    </w:p>
    <w:p>
      <w:pPr>
        <w:spacing w:after="0" w:line="119" w:lineRule="exact"/>
        <w:rPr>
          <w:sz w:val="20"/>
          <w:szCs w:val="20"/>
          <w:color w:val="auto"/>
        </w:rPr>
      </w:pPr>
    </w:p>
    <w:p>
      <w:pPr>
        <w:ind w:left="720" w:right="80"/>
        <w:spacing w:after="0" w:line="259" w:lineRule="auto"/>
        <w:rPr>
          <w:sz w:val="20"/>
          <w:szCs w:val="20"/>
          <w:color w:val="auto"/>
        </w:rPr>
      </w:pPr>
      <w:r>
        <w:rPr>
          <w:rFonts w:ascii="Times New Roman" w:cs="Times New Roman" w:eastAsia="Times New Roman" w:hAnsi="Times New Roman"/>
          <w:sz w:val="20"/>
          <w:szCs w:val="20"/>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3 – unobservable inputs that are not corroborated by market data.</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700"/>
          </w:cols>
          <w:pgMar w:left="1260" w:top="1246" w:right="1280" w:bottom="722" w:gutter="0" w:footer="0" w:header="0"/>
          <w:type w:val="continuous"/>
        </w:sectPr>
      </w:pPr>
    </w:p>
    <w:bookmarkStart w:id="69" w:name="page70"/>
    <w:bookmarkEnd w:id="69"/>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Investments are comprised of corporate bonds, commercial paper, municipal securities, asset backed securities, municipal bonds, and collateralized mortgage obligations.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9"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71"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 Company applies a more-likely- than-not threshold for financial statement recognition and measurement of an uncertain tax position taken or expected to be taken in a tax return. The Company recognizes interest and penalties related to uncertain tax positions in income tax expense. As of December 31, 2024 and 2023, the Company has reserved approximately $14,626 and $13,631, respectively, for uncertain tax positions, including interest and penalties, which is classified within accrued liabilities on the accompanying consolidated balance sheet.</w:t>
      </w:r>
    </w:p>
    <w:p>
      <w:pPr>
        <w:spacing w:after="0" w:line="77"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and Contingencies</w:t>
      </w:r>
    </w:p>
    <w:p>
      <w:pPr>
        <w:spacing w:after="0" w:line="12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19" w:lineRule="exact"/>
        <w:rPr>
          <w:sz w:val="20"/>
          <w:szCs w:val="20"/>
          <w:color w:val="auto"/>
        </w:rPr>
      </w:pPr>
    </w:p>
    <w:p>
      <w:pPr>
        <w:jc w:val="both"/>
        <w:ind w:right="240" w:firstLine="720"/>
        <w:spacing w:after="0" w:line="253" w:lineRule="auto"/>
        <w:rPr>
          <w:sz w:val="20"/>
          <w:szCs w:val="20"/>
          <w:color w:val="auto"/>
        </w:rPr>
      </w:pPr>
      <w:r>
        <w:rPr>
          <w:rFonts w:ascii="Times New Roman" w:cs="Times New Roman" w:eastAsia="Times New Roman" w:hAnsi="Times New Roman"/>
          <w:sz w:val="20"/>
          <w:szCs w:val="20"/>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71"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700"/>
          </w:cols>
          <w:pgMar w:left="1260" w:top="1246" w:right="1280" w:bottom="722" w:gutter="0" w:footer="0" w:header="0"/>
          <w:type w:val="continuous"/>
        </w:sectPr>
      </w:pPr>
    </w:p>
    <w:bookmarkStart w:id="70" w:name="page71"/>
    <w:bookmarkEnd w:id="70"/>
    <w:p>
      <w:pPr>
        <w:ind w:right="20"/>
        <w:spacing w:after="0" w:line="278" w:lineRule="auto"/>
        <w:rPr>
          <w:sz w:val="20"/>
          <w:szCs w:val="20"/>
          <w:color w:val="auto"/>
        </w:rPr>
      </w:pPr>
      <w:r>
        <w:rPr>
          <w:rFonts w:ascii="Times New Roman" w:cs="Times New Roman" w:eastAsia="Times New Roman" w:hAnsi="Times New Roman"/>
          <w:sz w:val="20"/>
          <w:szCs w:val="20"/>
          <w:color w:val="auto"/>
        </w:rPr>
        <w:t>Agreements and result in a settlement duration of less than one year for all partners. There are no refunds or return rights under the Services Agreements.</w:t>
      </w:r>
    </w:p>
    <w:p>
      <w:pPr>
        <w:spacing w:after="0" w:line="4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2024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spacing w:after="0" w:line="81" w:lineRule="exact"/>
        <w:rPr>
          <w:sz w:val="20"/>
          <w:szCs w:val="20"/>
          <w:color w:val="auto"/>
        </w:rPr>
      </w:pPr>
    </w:p>
    <w:p>
      <w:pPr>
        <w:ind w:right="180" w:firstLine="720"/>
        <w:spacing w:after="0" w:line="245" w:lineRule="auto"/>
        <w:rPr>
          <w:sz w:val="20"/>
          <w:szCs w:val="20"/>
          <w:color w:val="auto"/>
        </w:rPr>
      </w:pPr>
      <w:r>
        <w:rPr>
          <w:rFonts w:ascii="Times New Roman" w:cs="Times New Roman" w:eastAsia="Times New Roman" w:hAnsi="Times New Roman"/>
          <w:sz w:val="20"/>
          <w:szCs w:val="20"/>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$115 and $188 as of December 31, 2024 and 2023,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11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 The Company will continue to actively monitor other factors on expected credit losses.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Academic Services</w:t>
      </w:r>
    </w:p>
    <w:p>
      <w:pPr>
        <w:spacing w:after="0" w:line="11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Counseling Services and Support</w:t>
      </w:r>
    </w:p>
    <w:p>
      <w:pPr>
        <w:spacing w:after="0" w:line="12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and Indianapolis, Indiana locations.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and Communication</w:t>
      </w:r>
    </w:p>
    <w:p>
      <w:pPr>
        <w:spacing w:after="0" w:line="11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700"/>
          </w:cols>
          <w:pgMar w:left="1260" w:top="1246" w:right="1280" w:bottom="722" w:gutter="0" w:footer="0" w:header="0"/>
          <w:type w:val="continuous"/>
        </w:sectPr>
      </w:pPr>
    </w:p>
    <w:bookmarkStart w:id="71" w:name="page72"/>
    <w:bookmarkEnd w:id="71"/>
    <w:p>
      <w:pPr>
        <w:ind w:right="680"/>
        <w:spacing w:after="0" w:line="278" w:lineRule="auto"/>
        <w:rPr>
          <w:sz w:val="20"/>
          <w:szCs w:val="20"/>
          <w:color w:val="auto"/>
        </w:rPr>
      </w:pPr>
      <w:r>
        <w:rPr>
          <w:rFonts w:ascii="Times New Roman" w:cs="Times New Roman" w:eastAsia="Times New Roman" w:hAnsi="Times New Roman"/>
          <w:sz w:val="20"/>
          <w:szCs w:val="20"/>
          <w:color w:val="auto"/>
        </w:rPr>
        <w:t>occupancy costs attributable to the provision of these services, primarily at the Company’s Phoenix, Arizona and Indianapolis, Indiana locations. Advertising costs are expensed as incurred.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19"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and other</w:t>
      </w:r>
    </w:p>
    <w:p>
      <w:pPr>
        <w:spacing w:after="0" w:line="120" w:lineRule="exact"/>
        <w:rPr>
          <w:sz w:val="20"/>
          <w:szCs w:val="20"/>
          <w:color w:val="auto"/>
        </w:rPr>
      </w:pPr>
    </w:p>
    <w:p>
      <w:pPr>
        <w:ind w:right="560" w:firstLine="720"/>
        <w:spacing w:after="0" w:line="258" w:lineRule="auto"/>
        <w:rPr>
          <w:sz w:val="20"/>
          <w:szCs w:val="20"/>
          <w:color w:val="auto"/>
        </w:rPr>
      </w:pPr>
      <w:r>
        <w:rPr>
          <w:rFonts w:ascii="Times New Roman" w:cs="Times New Roman" w:eastAsia="Times New Roman" w:hAnsi="Times New Roman"/>
          <w:sz w:val="20"/>
          <w:szCs w:val="20"/>
          <w:color w:val="auto"/>
        </w:rPr>
        <w:t>Impairment and other primarily includes the write-off of an internal use software project that has been terminated that it had been attempting to develop for its other university partners and costs relating to exiting from certain off-campus classroom and laboratory sites.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Insurance/Self-Insurance</w:t>
      </w:r>
    </w:p>
    <w:p>
      <w:pPr>
        <w:spacing w:after="0" w:line="11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Company uses a combination of insurance and self -insurance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1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2024 and 2023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December 31, 2024 and December 31, 2023, the Company had $323,124 and $145,474, respectively, in excess of the FDIC insured limit. The Company is also subject to credit risk for its accounts receivable balance. The Company has not experienced any losses on accounts receivables since July 1, 2018, the date the Company transitioned to an education service company. To manage accounts receivable risk, the Company maintains an allowance for doubtful accounts, if needed. Our dependence on our most significant university partner, with 88.9% and 87.8% of total service revenue for the years ended December 31, 2024 and 2023, respectively, subjects us to the risk that declines in our customer’s operations would result in a sustained reduction in service revenue for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spacing w:after="0" w:line="73"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720"/>
          </w:cols>
          <w:pgMar w:left="1260" w:top="1246" w:right="1260" w:bottom="722" w:gutter="0" w:footer="0" w:header="0"/>
          <w:type w:val="continuous"/>
        </w:sectPr>
      </w:pPr>
    </w:p>
    <w:bookmarkStart w:id="72" w:name="page73"/>
    <w:bookmarkEnd w:id="72"/>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2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In November 2023, the FASB issued Accounting Standards Update (“ASU”) No. 2023-07, “Segment Reporting (Topic 280): Improvements to Reportable Segment Disclosure,” effective for fiscal years beginning after December 15, 2023, with early adoption permitted. This ASU adds disclosure requirements for segment expense information and clarifies that single reportable segment entities are subject to Topic 280 in its entirety. The Company adopted this standard effective January 1, 2024 and the adoption of this guidance did not have a material impact on the Company’s financial condition, results of operations or statements of cash flows.</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spacing w:after="0" w:line="8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2027 and in the first quarter of fiscal 2028 for interim reporting. Retrospective application is permitted. The Company does not expect the adoption of this guidance to have a material impact on the Company’s financial condition, results of operations or statements of cash flows.</w:t>
      </w:r>
    </w:p>
    <w:p>
      <w:pPr>
        <w:spacing w:after="0" w:line="8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Company has determined that no other recent accounting pronouncements apply to its operations or could otherwise have a material impact on its consolidated financial statements.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Investments</w:t>
      </w:r>
    </w:p>
    <w:p>
      <w:pPr>
        <w:spacing w:after="0" w:line="124" w:lineRule="exact"/>
        <w:rPr>
          <w:sz w:val="20"/>
          <w:szCs w:val="20"/>
          <w:color w:val="auto"/>
        </w:rPr>
      </w:pPr>
    </w:p>
    <w:p>
      <w:pPr>
        <w:jc w:val="both"/>
        <w:ind w:right="10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and 2023, the Company had investments of $0 and $98,031, respectively, classified as available-for sale securities. The Company sold all its investments in the third quarter of 2024 and the proceeds were invested in cash and cash equivalents.</w:t>
      </w:r>
    </w:p>
    <w:p>
      <w:pPr>
        <w:spacing w:after="0" w:line="68"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2024, the net realized gains were $57 and for the years ended December 31, 2023 and 2022, unrealized gains and losses were $476 and $533, respectively, net of taxes. Available-for-sale securities are carried at fair value on the consolidated balance 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720"/>
          </w:cols>
          <w:pgMar w:left="1260" w:top="1246" w:right="1260" w:bottom="722"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4. Property and Equipment</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p>
      <w:pPr>
        <w:spacing w:after="0" w:line="37" w:lineRule="exact"/>
        <w:rPr>
          <w:sz w:val="20"/>
          <w:szCs w:val="20"/>
          <w:color w:val="auto"/>
        </w:rPr>
      </w:pPr>
    </w:p>
    <w:tbl>
      <w:tblPr>
        <w:tblLayout w:type="fixed"/>
        <w:tblInd w:w="980" w:type="dxa"/>
        <w:tblCellMar>
          <w:top w:w="0" w:type="dxa"/>
          <w:left w:w="0" w:type="dxa"/>
          <w:bottom w:w="0" w:type="dxa"/>
          <w:right w:w="0" w:type="dxa"/>
        </w:tblCellMar>
      </w:tblPr>
      <w:tr>
        <w:trPr>
          <w:trHeight w:val="191"/>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Land</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5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5,098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5,098</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Land improvements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2,242</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51,399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51,399</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leasehold improvements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34,210</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141,160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138,950</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26,737</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Internally developed software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71,204</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10,274</w:t>
            </w:r>
          </w:p>
        </w:tc>
        <w:tc>
          <w:tcPr>
            <w:tcW w:w="0" w:type="dxa"/>
            <w:vAlign w:val="bottom"/>
          </w:tcPr>
          <w:p>
            <w:pPr>
              <w:spacing w:after="0"/>
              <w:rPr>
                <w:sz w:val="1"/>
                <w:szCs w:val="1"/>
                <w:color w:val="auto"/>
              </w:rPr>
            </w:pPr>
          </w:p>
        </w:tc>
      </w:tr>
      <w:tr>
        <w:trPr>
          <w:trHeight w:val="199"/>
        </w:trPr>
        <w:tc>
          <w:tcPr>
            <w:tcW w:w="5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372,036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340,114</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(195,213)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(170,415)</w:t>
            </w:r>
          </w:p>
        </w:tc>
        <w:tc>
          <w:tcPr>
            <w:tcW w:w="0" w:type="dxa"/>
            <w:vAlign w:val="bottom"/>
          </w:tcPr>
          <w:p>
            <w:pPr>
              <w:spacing w:after="0"/>
              <w:rPr>
                <w:sz w:val="1"/>
                <w:szCs w:val="1"/>
                <w:color w:val="auto"/>
              </w:rPr>
            </w:pPr>
          </w:p>
        </w:tc>
      </w:tr>
      <w:tr>
        <w:trPr>
          <w:trHeight w:val="230"/>
        </w:trPr>
        <w:tc>
          <w:tcPr>
            <w:tcW w:w="56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176,823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169,699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60" w:firstLine="720"/>
        <w:spacing w:after="0" w:line="278" w:lineRule="auto"/>
        <w:rPr>
          <w:sz w:val="20"/>
          <w:szCs w:val="20"/>
          <w:color w:val="auto"/>
        </w:rPr>
      </w:pPr>
      <w:r>
        <w:rPr>
          <w:rFonts w:ascii="Times New Roman" w:cs="Times New Roman" w:eastAsia="Times New Roman" w:hAnsi="Times New Roman"/>
          <w:sz w:val="20"/>
          <w:szCs w:val="20"/>
          <w:color w:val="auto"/>
        </w:rPr>
        <w:t>Depreciation expense associated with property and equipment totaled $27,760, $23,106 and $22,115 for the years ended December 31, 2024, 2023, and 2022, respectively.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Intangible Assets</w:t>
      </w:r>
    </w:p>
    <w:p>
      <w:pPr>
        <w:spacing w:after="0" w:line="124" w:lineRule="exact"/>
        <w:rPr>
          <w:sz w:val="20"/>
          <w:szCs w:val="20"/>
          <w:color w:val="auto"/>
        </w:rPr>
      </w:pPr>
    </w:p>
    <w:p>
      <w:pPr>
        <w:ind w:right="120" w:firstLine="720"/>
        <w:spacing w:after="0" w:line="278" w:lineRule="auto"/>
        <w:rPr>
          <w:sz w:val="20"/>
          <w:szCs w:val="20"/>
          <w:color w:val="auto"/>
        </w:rPr>
      </w:pPr>
      <w:r>
        <w:rPr>
          <w:rFonts w:ascii="Times New Roman" w:cs="Times New Roman" w:eastAsia="Times New Roman" w:hAnsi="Times New Roman"/>
          <w:sz w:val="20"/>
          <w:szCs w:val="20"/>
          <w:color w:val="auto"/>
        </w:rPr>
        <w:t>Identified intangible assets of $210,280 consisted primarily of university partner relationships that were valued at $210,000, which arose in connection with the acquisition of Orbis Education in January 2019.</w:t>
      </w:r>
    </w:p>
    <w:p>
      <w:pPr>
        <w:spacing w:after="0" w:line="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Amortizable intangible assets consist of the following as of: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145"/>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04"/>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University partner relationships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Life (in years)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15"/>
        </w:trPr>
        <w:tc>
          <w:tcPr>
            <w:tcW w:w="4040" w:type="dxa"/>
            <w:vAlign w:val="bottom"/>
            <w:vMerge w:val="continue"/>
          </w:tcPr>
          <w:p>
            <w:pPr>
              <w:spacing w:after="0"/>
              <w:rPr>
                <w:sz w:val="18"/>
                <w:szCs w:val="18"/>
                <w:color w:val="auto"/>
              </w:rPr>
            </w:pPr>
          </w:p>
        </w:tc>
        <w:tc>
          <w:tcPr>
            <w:tcW w:w="1560" w:type="dxa"/>
            <w:vAlign w:val="bottom"/>
            <w:tcBorders>
              <w:top w:val="single" w:sz="8" w:color="auto"/>
            </w:tcBorders>
          </w:tcPr>
          <w:p>
            <w:pPr>
              <w:jc w:val="right"/>
              <w:ind w:right="592"/>
              <w:spacing w:after="0" w:line="215" w:lineRule="exact"/>
              <w:rPr>
                <w:sz w:val="20"/>
                <w:szCs w:val="20"/>
                <w:color w:val="auto"/>
              </w:rPr>
            </w:pPr>
            <w:r>
              <w:rPr>
                <w:rFonts w:ascii="Times New Roman" w:cs="Times New Roman" w:eastAsia="Times New Roman" w:hAnsi="Times New Roman"/>
                <w:sz w:val="20"/>
                <w:szCs w:val="20"/>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210,000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(50,038)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2"/>
          </w:tcPr>
          <w:p>
            <w:pPr>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159,962</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Trade names</w:t>
            </w:r>
          </w:p>
        </w:tc>
        <w:tc>
          <w:tcPr>
            <w:tcW w:w="1560" w:type="dxa"/>
            <w:vAlign w:val="bottom"/>
          </w:tcPr>
          <w:p>
            <w:pPr>
              <w:jc w:val="right"/>
              <w:ind w:right="652"/>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40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amortizable intangible assets, net</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210,280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(50,318)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gridSpan w:val="3"/>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159,962</w:t>
            </w:r>
          </w:p>
        </w:tc>
        <w:tc>
          <w:tcPr>
            <w:tcW w:w="0" w:type="dxa"/>
            <w:vAlign w:val="bottom"/>
          </w:tcPr>
          <w:p>
            <w:pPr>
              <w:spacing w:after="0"/>
              <w:rPr>
                <w:sz w:val="1"/>
                <w:szCs w:val="1"/>
                <w:color w:val="auto"/>
              </w:rPr>
            </w:pPr>
          </w:p>
        </w:tc>
      </w:tr>
      <w:tr>
        <w:trPr>
          <w:trHeight w:val="477"/>
        </w:trPr>
        <w:tc>
          <w:tcPr>
            <w:tcW w:w="9720" w:type="dxa"/>
            <w:vAlign w:val="bottom"/>
            <w:gridSpan w:val="16"/>
          </w:tcPr>
          <w:p>
            <w:pPr>
              <w:jc w:val="right"/>
              <w:ind w:right="145"/>
              <w:spacing w:after="0"/>
              <w:rPr>
                <w:sz w:val="20"/>
                <w:szCs w:val="20"/>
                <w:color w:val="auto"/>
              </w:rPr>
            </w:pPr>
            <w:r>
              <w:rPr>
                <w:rFonts w:ascii="Times New Roman" w:cs="Times New Roman" w:eastAsia="Times New Roman" w:hAnsi="Times New Roman"/>
                <w:sz w:val="20"/>
                <w:szCs w:val="20"/>
                <w:color w:val="auto"/>
              </w:rPr>
              <w:t>Amortization expense for university partner relationships and trade names for the years ending December 31: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8,419</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117,867</w:t>
            </w:r>
          </w:p>
        </w:tc>
        <w:tc>
          <w:tcPr>
            <w:tcW w:w="0" w:type="dxa"/>
            <w:vAlign w:val="bottom"/>
          </w:tcPr>
          <w:p>
            <w:pPr>
              <w:spacing w:after="0"/>
              <w:rPr>
                <w:sz w:val="1"/>
                <w:szCs w:val="1"/>
                <w:color w:val="auto"/>
              </w:rPr>
            </w:pPr>
          </w:p>
        </w:tc>
      </w:tr>
      <w:tr>
        <w:trPr>
          <w:trHeight w:val="231"/>
        </w:trPr>
        <w:tc>
          <w:tcPr>
            <w:tcW w:w="4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159,962</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Leases</w:t>
      </w:r>
    </w:p>
    <w:p>
      <w:pPr>
        <w:spacing w:after="0" w:line="124"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Company has operating leases for off-campus classroom and laboratory site locations, office space, office equipment, and optical fiber communication lines. These leases have terms that range from one month to ten years and four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$16,694, $13,496 and $10,666 for the years ended December 31, 2024, 2023 and 2022, respectively.</w:t>
      </w:r>
    </w:p>
    <w:p>
      <w:pPr>
        <w:spacing w:after="0" w:line="79"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the Company had $17,029 of non-cancelable operating lease commitments for four off-campus classroom and laboratory sites that had not yet commenced. The Company’s weighted-average remaining lease term relating to its operating leases is 7.62 years, with a weighted-average discount rate of 4.22%. The cash paid</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720"/>
          </w:cols>
          <w:pgMar w:left="1260" w:top="1243" w:right="1260" w:bottom="722" w:gutter="0" w:footer="0" w:header="0"/>
          <w:type w:val="continuous"/>
        </w:sectPr>
      </w:pPr>
    </w:p>
    <w:bookmarkStart w:id="74" w:name="page75"/>
    <w:bookmarkEnd w:id="74"/>
    <w:p>
      <w:pPr>
        <w:ind w:right="140"/>
        <w:spacing w:after="0" w:line="278" w:lineRule="auto"/>
        <w:rPr>
          <w:sz w:val="20"/>
          <w:szCs w:val="20"/>
          <w:color w:val="auto"/>
        </w:rPr>
      </w:pPr>
      <w:r>
        <w:rPr>
          <w:rFonts w:ascii="Times New Roman" w:cs="Times New Roman" w:eastAsia="Times New Roman" w:hAnsi="Times New Roman"/>
          <w:sz w:val="20"/>
          <w:szCs w:val="20"/>
          <w:color w:val="auto"/>
        </w:rPr>
        <w:t>for operating lease liabilities was $14,895, $11,391 and $9,537 for the years ended December 31, 2024, 2023 and 2022, respectively. As of December 31, 2024, the Company had no financing leases.</w:t>
      </w:r>
    </w:p>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Future payment obligations with respect to the Company’s operating leases, which were existing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by year and in the aggregate,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1"/>
        </w:trPr>
        <w:tc>
          <w:tcPr>
            <w:tcW w:w="79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16,963</w:t>
            </w:r>
          </w:p>
        </w:tc>
      </w:tr>
      <w:tr>
        <w:trPr>
          <w:trHeight w:val="232"/>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17,309</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16,595</w:t>
            </w:r>
          </w:p>
        </w:tc>
      </w:tr>
      <w:tr>
        <w:trPr>
          <w:trHeight w:val="232"/>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16,414</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16,556</w:t>
            </w:r>
          </w:p>
        </w:tc>
      </w:tr>
      <w:tr>
        <w:trPr>
          <w:trHeight w:val="25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44,477</w:t>
            </w:r>
          </w:p>
        </w:tc>
      </w:tr>
      <w:tr>
        <w:trPr>
          <w:trHeight w:val="221"/>
        </w:trPr>
        <w:tc>
          <w:tcPr>
            <w:tcW w:w="79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 lease payments</w:t>
            </w: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128,314</w:t>
            </w:r>
          </w:p>
        </w:tc>
      </w:tr>
      <w:tr>
        <w:trPr>
          <w:trHeight w:val="220"/>
        </w:trPr>
        <w:tc>
          <w:tcPr>
            <w:tcW w:w="79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Less interest</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19,796</w:t>
            </w:r>
          </w:p>
        </w:tc>
      </w:tr>
      <w:tr>
        <w:trPr>
          <w:trHeight w:val="222"/>
        </w:trPr>
        <w:tc>
          <w:tcPr>
            <w:tcW w:w="79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108,518</w:t>
            </w:r>
          </w:p>
        </w:tc>
      </w:tr>
    </w:tbl>
    <w:p>
      <w:pPr>
        <w:spacing w:after="0" w:line="262" w:lineRule="exact"/>
        <w:rPr>
          <w:sz w:val="20"/>
          <w:szCs w:val="20"/>
          <w:color w:val="auto"/>
        </w:rPr>
      </w:pPr>
    </w:p>
    <w:p>
      <w:pPr>
        <w:ind w:right="6680" w:firstLine="7"/>
        <w:spacing w:after="0" w:line="367" w:lineRule="auto"/>
        <w:tabs>
          <w:tab w:leader="none" w:pos="2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Legal Matters</w:t>
      </w:r>
    </w:p>
    <w:p>
      <w:pPr>
        <w:ind w:firstLine="720"/>
        <w:spacing w:after="0" w:line="245" w:lineRule="auto"/>
        <w:rPr>
          <w:sz w:val="20"/>
          <w:szCs w:val="20"/>
          <w:color w:val="auto"/>
        </w:rPr>
      </w:pPr>
      <w:r>
        <w:rPr>
          <w:rFonts w:ascii="Times New Roman" w:cs="Times New Roman" w:eastAsia="Times New Roman" w:hAnsi="Times New Roman"/>
          <w:sz w:val="20"/>
          <w:szCs w:val="20"/>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81"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Litigation Matters</w:t>
      </w:r>
    </w:p>
    <w:p>
      <w:pPr>
        <w:spacing w:after="0" w:line="12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False Claims Act Matter</w:t>
      </w:r>
      <w:r>
        <w:rPr>
          <w:rFonts w:ascii="Times New Roman" w:cs="Times New Roman" w:eastAsia="Times New Roman" w:hAnsi="Times New Roman"/>
          <w:sz w:val="20"/>
          <w:szCs w:val="20"/>
          <w:color w:val="auto"/>
        </w:rPr>
        <w:t>. In May 2020, the Company was served with a</w:t>
      </w:r>
      <w:r>
        <w:rPr>
          <w:rFonts w:ascii="Times New Roman" w:cs="Times New Roman" w:eastAsia="Times New Roman" w:hAnsi="Times New Roman"/>
          <w:sz w:val="20"/>
          <w:szCs w:val="20"/>
          <w:i w:val="1"/>
          <w:iCs w:val="1"/>
          <w:color w:val="auto"/>
        </w:rPr>
        <w:t xml:space="preserve"> qui tam </w:t>
      </w:r>
      <w:r>
        <w:rPr>
          <w:rFonts w:ascii="Times New Roman" w:cs="Times New Roman" w:eastAsia="Times New Roman" w:hAnsi="Times New Roman"/>
          <w:sz w:val="20"/>
          <w:szCs w:val="20"/>
          <w:color w:val="auto"/>
        </w:rPr>
        <w:t>lawsuit that had been filed against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 w:cs="Times New Roman" w:eastAsia="Times New Roman" w:hAnsi="Times New Roman"/>
          <w:sz w:val="20"/>
          <w:szCs w:val="20"/>
          <w:i w:val="1"/>
          <w:iCs w:val="1"/>
          <w:color w:val="auto"/>
        </w:rPr>
        <w:t>United States ex rel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Mackillop v. Grand Canyon Education, Inc.</w:t>
      </w:r>
      <w:r>
        <w:rPr>
          <w:rFonts w:ascii="Times New Roman" w:cs="Times New Roman" w:eastAsia="Times New Roman" w:hAnsi="Times New Roman"/>
          <w:sz w:val="20"/>
          <w:szCs w:val="20"/>
          <w:color w:val="auto"/>
        </w:rPr>
        <w:t>, alleges that we violated the False Claims Act by improperly compensating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of our 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a motion for summary judgment which the Massachusetts court denied in September 2022. Subsequently, the matter was transferred to the Arizona court and trial was scheduled for late April 2024. In the interim, we filed a motion for reconsideration of the summary judgment ruling in September 2023; that motion remains pending. Prior to trial commencing, we and the relator reached an agreement to stay trial while the parties attempt to finalize the terms upon which the litigation could be concluded. Having been unsuccessful in reaching terms with the relevant parties, which would have avoided litigation, the Court has rescheduled the trial for October 2025. For any future settlement to be affected, all parties to the litigation will need to agree on acceptable terms, both monetary and non- monetary. In this regard, because this matter involves claims under the False Claims Act, any such terms would also need to be approved by the applicable U.S. government agencies.</w:t>
      </w:r>
    </w:p>
    <w:p>
      <w:pPr>
        <w:spacing w:after="0" w:line="83" w:lineRule="exact"/>
        <w:rPr>
          <w:sz w:val="20"/>
          <w:szCs w:val="20"/>
          <w:color w:val="auto"/>
        </w:rPr>
      </w:pPr>
    </w:p>
    <w:p>
      <w:pPr>
        <w:ind w:right="120" w:firstLine="490"/>
        <w:spacing w:after="0" w:line="278" w:lineRule="auto"/>
        <w:rPr>
          <w:sz w:val="20"/>
          <w:szCs w:val="20"/>
          <w:color w:val="auto"/>
        </w:rPr>
      </w:pPr>
      <w:r>
        <w:rPr>
          <w:rFonts w:ascii="Times New Roman" w:cs="Times New Roman" w:eastAsia="Times New Roman" w:hAnsi="Times New Roman"/>
          <w:sz w:val="20"/>
          <w:szCs w:val="20"/>
          <w:color w:val="auto"/>
        </w:rPr>
        <w:t>We believe that the compensation practices at issue in the complaint, which were developed with the guidance of outside regulatory counsel specifically to comply with Title IV and its regulations and relevant case law interpreting the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720"/>
          </w:cols>
          <w:pgMar w:left="1260" w:top="1246" w:right="1260" w:bottom="722" w:gutter="0" w:footer="0" w:header="0"/>
          <w:type w:val="continuous"/>
        </w:sectPr>
      </w:pPr>
    </w:p>
    <w:bookmarkStart w:id="75" w:name="page76"/>
    <w:bookmarkEnd w:id="75"/>
    <w:p>
      <w:pPr>
        <w:ind w:right="20"/>
        <w:spacing w:after="0" w:line="253" w:lineRule="auto"/>
        <w:rPr>
          <w:sz w:val="20"/>
          <w:szCs w:val="20"/>
          <w:color w:val="auto"/>
        </w:rPr>
      </w:pPr>
      <w:r>
        <w:rPr>
          <w:rFonts w:ascii="Times New Roman" w:cs="Times New Roman" w:eastAsia="Times New Roman" w:hAnsi="Times New Roman"/>
          <w:sz w:val="20"/>
          <w:szCs w:val="20"/>
          <w:color w:val="auto"/>
        </w:rPr>
        <w:t>incentive compensation rule, do not violate applicable law.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spacing w:after="0" w:line="71"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Matters Related to GCU Graduate Program Disclosures and Related Matters. </w:t>
      </w:r>
      <w:r>
        <w:rPr>
          <w:rFonts w:ascii="Times New Roman" w:cs="Times New Roman" w:eastAsia="Times New Roman" w:hAnsi="Times New Roman"/>
          <w:sz w:val="20"/>
          <w:szCs w:val="20"/>
          <w:color w:val="auto"/>
        </w:rPr>
        <w:t>The Company is a party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several matters alleging that, in the performance of its marketing services provided on behalf of GCU, it made false or misleading representations regarding the time to complete and the costs associated with and/or accreditation issues related to certain Grand Canyon University graduate programs, and (in the case of the FTC matter noted below) also made false or misleading representations regarding Grand Canyon University’s non-profit status and made telemarketing calls to phone numbers on do not call lists. These matters include:</w:t>
      </w:r>
    </w:p>
    <w:p>
      <w:pPr>
        <w:spacing w:after="0" w:line="95" w:lineRule="exact"/>
        <w:rPr>
          <w:sz w:val="20"/>
          <w:szCs w:val="20"/>
          <w:color w:val="auto"/>
        </w:rPr>
      </w:pPr>
    </w:p>
    <w:p>
      <w:pPr>
        <w:ind w:left="1440" w:right="20" w:hanging="353"/>
        <w:spacing w:after="0" w:line="253" w:lineRule="auto"/>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u w:val="single" w:color="auto"/>
          <w:color w:val="auto"/>
        </w:rPr>
        <w:t>Smith and Wang v. Grand Canyon Education, Inc.</w:t>
      </w:r>
      <w:r>
        <w:rPr>
          <w:rFonts w:ascii="Times New Roman" w:cs="Times New Roman" w:eastAsia="Times New Roman" w:hAnsi="Times New Roman"/>
          <w:sz w:val="20"/>
          <w:szCs w:val="20"/>
          <w:color w:val="auto"/>
        </w:rPr>
        <w:t xml:space="preserve"> 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motion to dismiss is pending with the court. There is currently no trial date scheduled in this matter.</w:t>
      </w:r>
    </w:p>
    <w:p>
      <w:pPr>
        <w:spacing w:after="0" w:line="3" w:lineRule="exact"/>
        <w:rPr>
          <w:rFonts w:ascii="Symbol" w:cs="Symbol" w:eastAsia="Symbol" w:hAnsi="Symbol"/>
          <w:sz w:val="20"/>
          <w:szCs w:val="20"/>
          <w:color w:val="auto"/>
        </w:rPr>
      </w:pPr>
    </w:p>
    <w:p>
      <w:pPr>
        <w:ind w:left="1440" w:right="60" w:hanging="353"/>
        <w:spacing w:after="0" w:line="251" w:lineRule="auto"/>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u w:val="single" w:color="auto"/>
          <w:color w:val="auto"/>
        </w:rPr>
        <w:t>Federal Trade Commission v. Grand Canyon Education, Inc., et al</w:t>
      </w:r>
      <w:r>
        <w:rPr>
          <w:rFonts w:ascii="Times New Roman" w:cs="Times New Roman" w:eastAsia="Times New Roman" w:hAnsi="Times New Roman"/>
          <w:sz w:val="20"/>
          <w:szCs w:val="20"/>
          <w:color w:val="auto"/>
        </w:rPr>
        <w:t>. This suit was filed in late December 2023 in United States District Court for the District of Arizona and asserts claims under the FTC Act and Telemarketing Sales Rule. In February 2024, GCE filed a partial motion to dismiss, which was denied in August 2024. Discovery in this matter has commenced and is ongoing, with fact and expert discovery scheduled to conclude in May 2025 and October 2025 respectively. There is currently no trial date scheduled in this matter.</w:t>
      </w:r>
    </w:p>
    <w:p>
      <w:pPr>
        <w:spacing w:after="0" w:line="3" w:lineRule="exact"/>
        <w:rPr>
          <w:rFonts w:ascii="Symbol" w:cs="Symbol" w:eastAsia="Symbol" w:hAnsi="Symbol"/>
          <w:sz w:val="20"/>
          <w:szCs w:val="20"/>
          <w:color w:val="auto"/>
        </w:rPr>
      </w:pPr>
    </w:p>
    <w:p>
      <w:pPr>
        <w:ind w:left="1440" w:hanging="353"/>
        <w:spacing w:after="0"/>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u w:val="single" w:color="auto"/>
          <w:color w:val="auto"/>
        </w:rPr>
        <w:t>Ogdon v. Grand Canyon Education, Inc., et al</w:t>
      </w:r>
      <w:r>
        <w:rPr>
          <w:rFonts w:ascii="Times New Roman" w:cs="Times New Roman" w:eastAsia="Times New Roman" w:hAnsi="Times New Roman"/>
          <w:sz w:val="20"/>
          <w:szCs w:val="20"/>
          <w:color w:val="auto"/>
        </w:rPr>
        <w:t>.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On May 27, 2022, after significant motions practice, the Company filed an amended motion to dismiss and a motion to strike certain allegations in Plaintiff’s amended complaint. On August 8, 2023, the court presiding over the dispute entered two orders: (1) an order granting in part the Company’s motion to dismiss as to Ogdon’s RICO claim from the case and to dismiss the individual Defendants; and (2) an order granting in part the Company’s motion to strike scandalous and impertinent allegations in Ogdon’s complaint about our business. Shortly thereafter on August 22, 2023, Plaintiff moved the court to reconsider its dismissal of the RICO claim. Though discovery had commenced, and the Company substantially completed its discovery obligations on the state-law claims, discovery was stayed on March 18, 2024, pending mediation and the disposition of Ogdon’s motion for reconsideration. On March 29, 2024, the court issued an order reinstating Plaintiff’s RICO claim. On September 26, 2024, the court lifted the stay on discovery, and discovery resumed, with class certification briefing to conclude in September 2025. There is currently no trial date scheduled in this matter.</w:t>
      </w:r>
    </w:p>
    <w:p>
      <w:pPr>
        <w:spacing w:after="0" w:line="10" w:lineRule="exact"/>
        <w:rPr>
          <w:rFonts w:ascii="Symbol" w:cs="Symbol" w:eastAsia="Symbol" w:hAnsi="Symbol"/>
          <w:sz w:val="20"/>
          <w:szCs w:val="20"/>
          <w:color w:val="auto"/>
        </w:rPr>
      </w:pPr>
    </w:p>
    <w:p>
      <w:pPr>
        <w:ind w:left="1440" w:right="340" w:hanging="353"/>
        <w:spacing w:after="0" w:line="239" w:lineRule="auto"/>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u w:val="single" w:color="auto"/>
          <w:color w:val="auto"/>
        </w:rPr>
        <w:t>Valerio, et al. v. Grand Canyon Education, Inc., et al.</w:t>
      </w:r>
      <w:r>
        <w:rPr>
          <w:rFonts w:ascii="Times New Roman" w:cs="Times New Roman" w:eastAsia="Times New Roman" w:hAnsi="Times New Roman"/>
          <w:sz w:val="20"/>
          <w:szCs w:val="20"/>
          <w:color w:val="auto"/>
        </w:rPr>
        <w:t xml:space="preserve"> This suit was filed on December 24, 2024, in Maricopa County, Arizona Superior Court on behalf of nearly 300 plaintiffs. The plaintiffs assert various claims, including claims for violations of state law consumer protection statutes. The Company’s response to the complaint is due on April 10, 2025. There is currently no trial date scheduled in this matter.</w:t>
      </w:r>
    </w:p>
    <w:p>
      <w:pPr>
        <w:spacing w:after="0" w:line="198"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19"/>
          <w:szCs w:val="19"/>
          <w:color w:val="auto"/>
        </w:rPr>
        <w:t>We believe that the Company’s representations made in marketing materials or by our employees regarding Grand Canyon University’s non-profit status and doctoral program requirements were at all times accurate and not false or misleading, and thus did not violate applicable law. In addition, to the extent the representations we made or actions we took that are at issue in these proceedings were done or taken after July 1, 2018 at the direction of GCU and/or based on written instructions, or advertising or web materials, provided to us for use by GCU, GCU has agreed to indemnify us in part under the terms of the Master Services Agreement for our losses and expenses arising from these matters. With</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700"/>
          </w:cols>
          <w:pgMar w:left="1260" w:top="1246" w:right="1280" w:bottom="722" w:gutter="0" w:footer="0" w:header="0"/>
          <w:type w:val="continuous"/>
        </w:sectPr>
      </w:pPr>
    </w:p>
    <w:bookmarkStart w:id="76" w:name="page77"/>
    <w:bookmarkEnd w:id="76"/>
    <w:p>
      <w:pPr>
        <w:ind w:right="100"/>
        <w:spacing w:after="0" w:line="259" w:lineRule="auto"/>
        <w:rPr>
          <w:sz w:val="20"/>
          <w:szCs w:val="20"/>
          <w:color w:val="auto"/>
        </w:rPr>
      </w:pPr>
      <w:r>
        <w:rPr>
          <w:rFonts w:ascii="Times New Roman" w:cs="Times New Roman" w:eastAsia="Times New Roman" w:hAnsi="Times New Roman"/>
          <w:sz w:val="20"/>
          <w:szCs w:val="20"/>
          <w:color w:val="auto"/>
        </w:rPr>
        <w:t>regard to the FTC’s claims under the Telemarketing Sales Rule, we only make telemarketing calls to individuals who have demonstrated interest in speaking to us about educational opportunities at Grand Canyon University, which are permitted by the rule.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Reserves, Non-Income Tax Related</w:t>
      </w:r>
    </w:p>
    <w:p>
      <w:pPr>
        <w:spacing w:after="0" w:line="120"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From time to time the Company has exposure to various non-income tax related matters that arise in the ordinary course of business. At both December 31, 2024 and 2023, the Company has no non-income tax related matters where exposure is considered probable and the potential loss can be reasonably estimated.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Earnings Per Share</w:t>
      </w:r>
    </w:p>
    <w:p>
      <w:pPr>
        <w:spacing w:after="0" w:line="12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288"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660" w:type="dxa"/>
            <w:vAlign w:val="bottom"/>
          </w:tcPr>
          <w:p>
            <w:pPr>
              <w:jc w:val="right"/>
              <w:ind w:right="88"/>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gridSpan w:val="3"/>
          </w:tcPr>
          <w:p>
            <w:pPr>
              <w:jc w:val="right"/>
              <w:ind w:right="8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gridSpan w:val="3"/>
          </w:tcPr>
          <w:p>
            <w:pPr>
              <w:jc w:val="right"/>
              <w:ind w:right="80"/>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5200" w:type="dxa"/>
            <w:vAlign w:val="bottom"/>
            <w:gridSpan w:val="2"/>
            <w:vMerge w:val="continue"/>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Basic weighted average shares outstanding</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29,104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29,991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32,131</w:t>
            </w:r>
          </w:p>
        </w:tc>
        <w:tc>
          <w:tcPr>
            <w:tcW w:w="0" w:type="dxa"/>
            <w:vAlign w:val="bottom"/>
          </w:tcPr>
          <w:p>
            <w:pPr>
              <w:spacing w:after="0"/>
              <w:rPr>
                <w:sz w:val="1"/>
                <w:szCs w:val="1"/>
                <w:color w:val="auto"/>
              </w:rPr>
            </w:pPr>
          </w:p>
        </w:tc>
      </w:tr>
      <w:tr>
        <w:trPr>
          <w:trHeight w:val="250"/>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Effect of dilutive stock options and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Diluted weighted average shares outstanding</w:t>
            </w: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29,271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30,147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32,237</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2024, 2023 and 2022, approximately 20, 52, and 58, respectively, of the Company’s restricted stock awards outstanding were excluded from the calculation of diluted earnings per share as their inclusion would have been anti-dilutive. These restricted stock awards could be dilutive in the future.</w:t>
      </w:r>
    </w:p>
    <w:p>
      <w:pPr>
        <w:spacing w:after="0" w:line="74" w:lineRule="exact"/>
        <w:rPr>
          <w:sz w:val="20"/>
          <w:szCs w:val="20"/>
          <w:color w:val="auto"/>
        </w:rPr>
      </w:pPr>
    </w:p>
    <w:p>
      <w:pPr>
        <w:ind w:right="7760" w:firstLine="7"/>
        <w:spacing w:after="0" w:line="385" w:lineRule="auto"/>
        <w:tabs>
          <w:tab w:leader="none" w:pos="200"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Equity Transactions </w:t>
      </w:r>
      <w:r>
        <w:rPr>
          <w:rFonts w:ascii="Times New Roman" w:cs="Times New Roman" w:eastAsia="Times New Roman" w:hAnsi="Times New Roman"/>
          <w:sz w:val="19"/>
          <w:szCs w:val="19"/>
          <w:b w:val="1"/>
          <w:bCs w:val="1"/>
          <w:i w:val="1"/>
          <w:iCs w:val="1"/>
          <w:color w:val="auto"/>
        </w:rPr>
        <w:t>Preferred Stock</w:t>
      </w:r>
    </w:p>
    <w:p>
      <w:pPr>
        <w:spacing w:after="0" w:line="1"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2024 and 2023,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Treasury Stock</w:t>
      </w:r>
    </w:p>
    <w:p>
      <w:pPr>
        <w:spacing w:after="0" w:line="119"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On January 29, 2025 the Board of Directors approved a $200,000 increase under its existing stock repurchase program reflecting an aggregate authorization for share repurchases since the initiation of the program of $2,245,000. The expiration date on the repurchase authorization is March 1, 2026.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80" w:lineRule="exact"/>
        <w:rPr>
          <w:sz w:val="20"/>
          <w:szCs w:val="20"/>
          <w:color w:val="auto"/>
        </w:rPr>
      </w:pPr>
    </w:p>
    <w:p>
      <w:pPr>
        <w:ind w:right="460" w:firstLine="720"/>
        <w:spacing w:after="0" w:line="278" w:lineRule="auto"/>
        <w:rPr>
          <w:sz w:val="20"/>
          <w:szCs w:val="20"/>
          <w:color w:val="auto"/>
        </w:rPr>
      </w:pPr>
      <w:r>
        <w:rPr>
          <w:rFonts w:ascii="Times New Roman" w:cs="Times New Roman" w:eastAsia="Times New Roman" w:hAnsi="Times New Roman"/>
          <w:sz w:val="20"/>
          <w:szCs w:val="20"/>
          <w:color w:val="auto"/>
        </w:rPr>
        <w:t>During the year ended December 31, 2024, the Company repurchased 1,142 shares of common stock at an aggregate cost of $165,405. As of December 31, 2024, there remained $99,648 available under its current share</w:t>
      </w:r>
    </w:p>
    <w:p>
      <w:pPr>
        <w:sectPr>
          <w:pgSz w:w="12240" w:h="15840" w:orient="portrait"/>
          <w:cols w:equalWidth="0" w:num="1">
            <w:col w:w="9700"/>
          </w:cols>
          <w:pgMar w:left="1260" w:top="1247"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700"/>
          </w:cols>
          <w:pgMar w:left="1260" w:top="1247" w:right="1280" w:bottom="722" w:gutter="0" w:footer="0" w:header="0"/>
          <w:type w:val="continuous"/>
        </w:sectPr>
      </w:pPr>
    </w:p>
    <w:bookmarkStart w:id="77" w:name="page78"/>
    <w:bookmarkEnd w:id="77"/>
    <w:p>
      <w:pPr>
        <w:ind w:right="200"/>
        <w:spacing w:after="0" w:line="259" w:lineRule="auto"/>
        <w:rPr>
          <w:sz w:val="20"/>
          <w:szCs w:val="20"/>
          <w:color w:val="auto"/>
        </w:rPr>
      </w:pPr>
      <w:r>
        <w:rPr>
          <w:rFonts w:ascii="Times New Roman" w:cs="Times New Roman" w:eastAsia="Times New Roman" w:hAnsi="Times New Roman"/>
          <w:sz w:val="20"/>
          <w:szCs w:val="20"/>
          <w:color w:val="auto"/>
        </w:rPr>
        <w:t>repurchase authorization (which authorization was increased to $299,648 in January 2025). Shares repurchased in lieu of taxes are not included in the repurchase plan totals as they were approved in conjunction with the restricted share awards.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Income Taxes</w:t>
      </w:r>
    </w:p>
    <w:p>
      <w:pPr>
        <w:spacing w:after="0" w:line="12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2024 and 2023.</w:t>
      </w:r>
    </w:p>
    <w:p>
      <w:pPr>
        <w:spacing w:after="0" w:line="80" w:lineRule="exact"/>
        <w:rPr>
          <w:sz w:val="20"/>
          <w:szCs w:val="20"/>
          <w:color w:val="auto"/>
        </w:rPr>
      </w:pPr>
    </w:p>
    <w:p>
      <w:pPr>
        <w:jc w:val="both"/>
        <w:ind w:right="220" w:firstLine="720"/>
        <w:spacing w:after="0" w:line="258" w:lineRule="auto"/>
        <w:rPr>
          <w:sz w:val="20"/>
          <w:szCs w:val="20"/>
          <w:color w:val="auto"/>
        </w:rPr>
      </w:pPr>
      <w:r>
        <w:rPr>
          <w:rFonts w:ascii="Times New Roman" w:cs="Times New Roman" w:eastAsia="Times New Roman" w:hAnsi="Times New Roman"/>
          <w:sz w:val="20"/>
          <w:szCs w:val="20"/>
          <w:color w:val="auto"/>
        </w:rPr>
        <w:t>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income tax expense (benefit)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10"/>
          </w:tcPr>
          <w:p>
            <w:pPr>
              <w:ind w:lef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6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62"/>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Federal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60,294</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54,097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65,303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54,136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Federal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(578)</w:t>
            </w:r>
          </w:p>
        </w:tc>
        <w:tc>
          <w:tcPr>
            <w:tcW w:w="0" w:type="dxa"/>
            <w:vAlign w:val="bottom"/>
          </w:tcPr>
          <w:p>
            <w:pPr>
              <w:spacing w:after="0"/>
              <w:rPr>
                <w:sz w:val="1"/>
                <w:szCs w:val="1"/>
                <w:color w:val="auto"/>
              </w:rPr>
            </w:pPr>
          </w:p>
        </w:tc>
      </w:tr>
      <w:tr>
        <w:trPr>
          <w:trHeight w:val="250"/>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Tax expense recorded as an increase of paid-in capital</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65,081</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54,690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55,444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reconciliation of income tax computed at the U.S. statutory rate to the effective income tax rate is as follows:</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Statutory U.S. federal income tax rate</w:t>
            </w:r>
          </w:p>
        </w:tc>
        <w:tc>
          <w:tcPr>
            <w:tcW w:w="4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2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22"/>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199"/>
        </w:trPr>
        <w:tc>
          <w:tcPr>
            <w:tcW w:w="5520" w:type="dxa"/>
            <w:vAlign w:val="bottom"/>
            <w:gridSpan w:val="2"/>
            <w:vMerge w:val="continue"/>
          </w:tcPr>
          <w:p>
            <w:pPr>
              <w:spacing w:after="0"/>
              <w:rPr>
                <w:sz w:val="17"/>
                <w:szCs w:val="17"/>
                <w:color w:val="auto"/>
              </w:rPr>
            </w:pPr>
          </w:p>
        </w:tc>
        <w:tc>
          <w:tcPr>
            <w:tcW w:w="4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w:t>
            </w:r>
          </w:p>
        </w:tc>
        <w:tc>
          <w:tcPr>
            <w:tcW w:w="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w:t>
            </w:r>
          </w:p>
        </w:tc>
        <w:tc>
          <w:tcPr>
            <w:tcW w:w="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taxes, net of federal tax benefit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tax credits, net of federal effect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Excess tax benefits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(0.3)</w:t>
            </w:r>
          </w:p>
        </w:tc>
        <w:tc>
          <w:tcPr>
            <w:tcW w:w="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Nondeductible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Effective income tax rate</w:t>
            </w:r>
          </w:p>
        </w:tc>
        <w:tc>
          <w:tcPr>
            <w:tcW w:w="2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22.3</w:t>
            </w:r>
          </w:p>
        </w:tc>
        <w:tc>
          <w:tcPr>
            <w:tcW w:w="2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21.1</w:t>
            </w:r>
          </w:p>
        </w:tc>
        <w:tc>
          <w:tcPr>
            <w:tcW w:w="2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23.1</w:t>
            </w: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720"/>
          </w:cols>
          <w:pgMar w:left="1260" w:top="1246" w:right="1260" w:bottom="722" w:gutter="0" w:footer="0" w:header="0"/>
          <w:type w:val="continuous"/>
        </w:sectPr>
      </w:pPr>
    </w:p>
    <w:bookmarkStart w:id="78" w:name="page79"/>
    <w:bookmarkEnd w:id="78"/>
    <w:p>
      <w:pPr>
        <w:ind w:right="540" w:firstLine="720"/>
        <w:spacing w:after="0" w:line="278" w:lineRule="auto"/>
        <w:rPr>
          <w:sz w:val="20"/>
          <w:szCs w:val="20"/>
          <w:color w:val="auto"/>
        </w:rPr>
      </w:pPr>
      <w:r>
        <w:rPr>
          <w:rFonts w:ascii="Times New Roman" w:cs="Times New Roman" w:eastAsia="Times New Roman" w:hAnsi="Times New Roman"/>
          <w:sz w:val="20"/>
          <w:szCs w:val="20"/>
          <w:color w:val="auto"/>
        </w:rPr>
        <w:t>Significant components of the Company’s deferred income tax assets and liabilities, included in Deferred income taxes, non-current on the consolidated balance sheets are as follows:</w:t>
      </w:r>
    </w:p>
    <w:p>
      <w:pPr>
        <w:spacing w:after="0" w:line="71"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3"/>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Share-based compensation</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Employee compensation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Intangibles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 taxes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40"/>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19,868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and equipment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(9,337)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(11,256)</w:t>
            </w: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Goodwill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(37,051)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(37,051)</w:t>
            </w:r>
          </w:p>
        </w:tc>
        <w:tc>
          <w:tcPr>
            <w:tcW w:w="0" w:type="dxa"/>
            <w:vAlign w:val="bottom"/>
          </w:tcPr>
          <w:p>
            <w:pPr>
              <w:spacing w:after="0"/>
              <w:rPr>
                <w:sz w:val="1"/>
                <w:szCs w:val="1"/>
                <w:color w:val="auto"/>
              </w:rPr>
            </w:pPr>
          </w:p>
        </w:tc>
      </w:tr>
      <w:tr>
        <w:trPr>
          <w:trHeight w:val="25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4860" w:type="dxa"/>
            <w:vAlign w:val="bottom"/>
          </w:tcPr>
          <w:p>
            <w:pPr>
              <w:ind w:left="120"/>
              <w:spacing w:after="0" w:line="220" w:lineRule="exact"/>
              <w:rPr>
                <w:sz w:val="20"/>
                <w:szCs w:val="20"/>
                <w:color w:val="auto"/>
              </w:rPr>
            </w:pPr>
            <w:r>
              <w:rPr>
                <w:rFonts w:ascii="Times New Roman" w:cs="Times New Roman" w:eastAsia="Times New Roman" w:hAnsi="Times New Roman"/>
                <w:sz w:val="20"/>
                <w:szCs w:val="20"/>
                <w:color w:val="auto"/>
              </w:rPr>
              <w:t>Deferred tax liability</w:t>
            </w: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(46,395)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(48,307)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Net deferred tax liability</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(26,527)</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net deferred tax liability on the accompanying consolidated balance sheet is comprised of the following:</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3"/>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income taxes, current</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5,827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taxes, non-current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(32,354)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(31,867)</w:t>
            </w:r>
          </w:p>
        </w:tc>
        <w:tc>
          <w:tcPr>
            <w:tcW w:w="0" w:type="dxa"/>
            <w:vAlign w:val="bottom"/>
          </w:tcPr>
          <w:p>
            <w:pPr>
              <w:spacing w:after="0"/>
              <w:rPr>
                <w:sz w:val="1"/>
                <w:szCs w:val="1"/>
                <w:color w:val="auto"/>
              </w:rPr>
            </w:pPr>
          </w:p>
        </w:tc>
      </w:tr>
      <w:tr>
        <w:trPr>
          <w:trHeight w:val="230"/>
        </w:trPr>
        <w:tc>
          <w:tcPr>
            <w:tcW w:w="48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Net deferred tax liability</w:t>
            </w: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(26,527)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2024 and 2023 were $14,626 and $13,631, respectively.</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reconciliation of the beginning and ending balance of unrecognized tax benefits at December 31, is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15"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Unrecognized tax benefits, beginning of year</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7"/>
              </w:rPr>
              <w:t>$ 13,631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7"/>
              </w:rPr>
              <w:t>$ 15,862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Tax positions taken during the current year</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Increases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3,407</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Decreases</w:t>
            </w:r>
          </w:p>
        </w:tc>
        <w:tc>
          <w:tcPr>
            <w:tcW w:w="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Tax positions taken during a prior year</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Increases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2,465</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Decreases</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(1,550)</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(1,810)</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Decreases for settlements during the period</w:t>
            </w:r>
          </w:p>
        </w:tc>
        <w:tc>
          <w:tcPr>
            <w:tcW w:w="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Reductions for lapses of applicable statute of limitations</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(3,327)</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(3,320)</w:t>
            </w:r>
          </w:p>
        </w:tc>
        <w:tc>
          <w:tcPr>
            <w:tcW w:w="0" w:type="dxa"/>
            <w:vAlign w:val="bottom"/>
          </w:tcPr>
          <w:p>
            <w:pPr>
              <w:spacing w:after="0"/>
              <w:rPr>
                <w:sz w:val="1"/>
                <w:szCs w:val="1"/>
                <w:color w:val="auto"/>
              </w:rPr>
            </w:pPr>
          </w:p>
        </w:tc>
      </w:tr>
      <w:tr>
        <w:trPr>
          <w:trHeight w:val="230"/>
        </w:trPr>
        <w:tc>
          <w:tcPr>
            <w:tcW w:w="60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Unrecognized tax benefits, end of year</w:t>
            </w: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7"/>
              </w:rPr>
              <w:t>$ 14,626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7"/>
              </w:rPr>
              <w:t>$ 13,631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2024 and 2023, the unrecognized tax benefit recorded of $14,626 and $13,631, respectively, if reversed, would impact the effective tax rate. At both years ended December 31, 2024 and 2023 the Company had accrued $0, in interest and $0, in penalties. It is reasonably possible that the amount of the unrecognized tax benefit will change during the next 12 months, however management does not expect the potential change to have a material effect on the results of operations or financial position.</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700"/>
          </w:cols>
          <w:pgMar w:left="1260" w:top="1246" w:right="1280" w:bottom="722" w:gutter="0" w:footer="0" w:header="0"/>
          <w:type w:val="continuous"/>
        </w:sectPr>
      </w:pPr>
    </w:p>
    <w:bookmarkStart w:id="79" w:name="page80"/>
    <w:bookmarkEnd w:id="79"/>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auto"/>
        </w:rPr>
        <w:t>The Company’s uncertain tax positions were related to tax years that remained subject to examination by tax authorities. As of December 31, 2024, the earliest tax year still subject to examination for federal and state purposes is 2021 and 2020, respectively.</w:t>
      </w:r>
    </w:p>
    <w:p>
      <w:pPr>
        <w:spacing w:after="0" w:line="63" w:lineRule="exact"/>
        <w:rPr>
          <w:sz w:val="20"/>
          <w:szCs w:val="20"/>
          <w:color w:val="auto"/>
        </w:rPr>
      </w:pPr>
    </w:p>
    <w:p>
      <w:pPr>
        <w:ind w:left="220" w:right="6520" w:hanging="213"/>
        <w:spacing w:after="0" w:line="367" w:lineRule="auto"/>
        <w:tabs>
          <w:tab w:leader="none" w:pos="305"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Share-Based Compensation Plans </w:t>
      </w:r>
      <w:r>
        <w:rPr>
          <w:rFonts w:ascii="Times New Roman" w:cs="Times New Roman" w:eastAsia="Times New Roman" w:hAnsi="Times New Roman"/>
          <w:sz w:val="20"/>
          <w:szCs w:val="20"/>
          <w:i w:val="1"/>
          <w:iCs w:val="1"/>
          <w:color w:val="auto"/>
        </w:rPr>
        <w:t>Incentive Plans</w:t>
      </w:r>
    </w:p>
    <w:p>
      <w:pPr>
        <w:ind w:firstLine="720"/>
        <w:spacing w:after="0" w:line="258" w:lineRule="auto"/>
        <w:rPr>
          <w:sz w:val="20"/>
          <w:szCs w:val="20"/>
          <w:color w:val="auto"/>
        </w:rPr>
      </w:pPr>
      <w:r>
        <w:rPr>
          <w:rFonts w:ascii="Times New Roman" w:cs="Times New Roman" w:eastAsia="Times New Roman" w:hAnsi="Times New Roman"/>
          <w:sz w:val="20"/>
          <w:szCs w:val="20"/>
          <w:color w:val="auto"/>
        </w:rPr>
        <w:t>The Company makes equity incentive grants pursuant to our 2017 Equity Incentive Plan (the “2017 Plan”) under which a maximum of 3,000 shares may be granted. As of December 31, 2024, 962 shares were available for grants under the 2017 Plan.</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Restricted Stock</w:t>
      </w:r>
    </w:p>
    <w:p>
      <w:pPr>
        <w:spacing w:after="0" w:line="117"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During fiscal years 2024, 2023, and 2022, the Company granted 117, 136, and 189 shares of common stock, respectively, with a service vesting condition to certain of its executives, officers,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2024, 2023 and 2022, the Company withheld 55, 56, and 52 shares of common stock in lieu of taxes at a cost of $7,446, $6,331, and $4,625, on the restricted stock vesting dates, respectively. In April 2024, a new non-employee director was appointed to the Board of Directors and was granted an initial award of shares pursuant to the Company’s compensation program. The initial award of shares that were granted to such newly appointed director have voting rights and vest on the one-year anniversary of the date of grant. During 2024, 2023 and 2022, following the annual stockholders meeting, the Company granted 3, 4 and 4 shares of common stock to the non-employee members of the Board of Directors. The restricted shares granted to these directors have voting rights and vest on the earlier of</w:t>
      </w:r>
    </w:p>
    <w:p>
      <w:pPr>
        <w:spacing w:after="0" w:line="7" w:lineRule="exact"/>
        <w:rPr>
          <w:sz w:val="20"/>
          <w:szCs w:val="20"/>
          <w:color w:val="auto"/>
        </w:rPr>
      </w:pPr>
    </w:p>
    <w:p>
      <w:pPr>
        <w:ind w:right="320" w:firstLine="7"/>
        <w:spacing w:after="0" w:line="249" w:lineRule="auto"/>
        <w:tabs>
          <w:tab w:leader="none" w:pos="27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one year anniversary of the date of grant or (b) immediately prior to the following year’s annual stockholders’ meeting.</w:t>
      </w:r>
    </w:p>
    <w:p>
      <w:pPr>
        <w:spacing w:after="0" w:line="76"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On June 30, 2024, a named executive officer resigned for “good reason” which, under the terms of his employment agreement, resulted in an acceleration of the vesting of the next tranche of five outstanding restricted stock awards that would have otherwise vested on March 1, 2025. As a result, the incremental share-based compensation expense from the modification on the five restricted stock awards for the accelerated vesting date was $558 and is included in the general and administrative expenses in the Company’s consolidated income statement. In July 2024, 5 shares vested and 2 shares were withheld in lieu of taxes at a cost of $324 on the accelerated vesting date.</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the activity related to restricted stock granted under the Company’s Incentive Plan is as follows:</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0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2021</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Fair Value per Share</w:t>
            </w:r>
          </w:p>
        </w:tc>
        <w:tc>
          <w:tcPr>
            <w:tcW w:w="0" w:type="dxa"/>
            <w:vAlign w:val="bottom"/>
          </w:tcPr>
          <w:p>
            <w:pPr>
              <w:spacing w:after="0"/>
              <w:rPr>
                <w:sz w:val="1"/>
                <w:szCs w:val="1"/>
                <w:color w:val="auto"/>
              </w:rPr>
            </w:pPr>
          </w:p>
        </w:tc>
      </w:tr>
      <w:tr>
        <w:trPr>
          <w:trHeight w:val="199"/>
        </w:trPr>
        <w:tc>
          <w:tcPr>
            <w:tcW w:w="5680" w:type="dxa"/>
            <w:vAlign w:val="bottom"/>
            <w:gridSpan w:val="2"/>
            <w:vMerge w:val="continue"/>
          </w:tcPr>
          <w:p>
            <w:pPr>
              <w:spacing w:after="0"/>
              <w:rPr>
                <w:sz w:val="17"/>
                <w:szCs w:val="17"/>
                <w:color w:val="auto"/>
              </w:rPr>
            </w:pPr>
          </w:p>
        </w:tc>
        <w:tc>
          <w:tcPr>
            <w:tcW w:w="4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86.24</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8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(134)</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85.07</w:t>
            </w: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 canceled or expired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85.49</w:t>
            </w:r>
          </w:p>
        </w:tc>
        <w:tc>
          <w:tcPr>
            <w:tcW w:w="0" w:type="dxa"/>
            <w:vAlign w:val="bottom"/>
          </w:tcPr>
          <w:p>
            <w:pPr>
              <w:spacing w:after="0"/>
              <w:rPr>
                <w:sz w:val="1"/>
                <w:szCs w:val="1"/>
                <w:color w:val="auto"/>
              </w:rPr>
            </w:pPr>
          </w:p>
        </w:tc>
      </w:tr>
      <w:tr>
        <w:trPr>
          <w:trHeight w:val="229"/>
        </w:trPr>
        <w:tc>
          <w:tcPr>
            <w:tcW w:w="56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Outstanding as of December 31, 2022</w:t>
            </w:r>
          </w:p>
        </w:tc>
        <w:tc>
          <w:tcPr>
            <w:tcW w:w="4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476</w:t>
            </w:r>
          </w:p>
        </w:tc>
        <w:tc>
          <w:tcPr>
            <w:tcW w:w="80" w:type="dxa"/>
            <w:vAlign w:val="bottom"/>
          </w:tcPr>
          <w:p>
            <w:pPr>
              <w:spacing w:after="0"/>
              <w:rPr>
                <w:sz w:val="19"/>
                <w:szCs w:val="19"/>
                <w:color w:val="auto"/>
              </w:rPr>
            </w:pPr>
          </w:p>
        </w:tc>
        <w:tc>
          <w:tcPr>
            <w:tcW w:w="30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85.32</w:t>
            </w:r>
          </w:p>
        </w:tc>
        <w:tc>
          <w:tcPr>
            <w:tcW w:w="0" w:type="dxa"/>
            <w:vAlign w:val="bottom"/>
          </w:tcPr>
          <w:p>
            <w:pPr>
              <w:spacing w:after="0"/>
              <w:rPr>
                <w:sz w:val="1"/>
                <w:szCs w:val="1"/>
                <w:color w:val="auto"/>
              </w:rPr>
            </w:pPr>
          </w:p>
        </w:tc>
      </w:tr>
      <w:tr>
        <w:trPr>
          <w:trHeight w:val="211"/>
        </w:trPr>
        <w:tc>
          <w:tcPr>
            <w:tcW w:w="568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Granted</w:t>
            </w:r>
          </w:p>
        </w:tc>
        <w:tc>
          <w:tcPr>
            <w:tcW w:w="4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140</w:t>
            </w:r>
          </w:p>
        </w:tc>
        <w:tc>
          <w:tcPr>
            <w:tcW w:w="80" w:type="dxa"/>
            <w:vAlign w:val="bottom"/>
          </w:tcPr>
          <w:p>
            <w:pPr>
              <w:spacing w:after="0"/>
              <w:rPr>
                <w:sz w:val="18"/>
                <w:szCs w:val="18"/>
                <w:color w:val="auto"/>
              </w:rPr>
            </w:pPr>
          </w:p>
        </w:tc>
        <w:tc>
          <w:tcPr>
            <w:tcW w:w="300" w:type="dxa"/>
            <w:vAlign w:val="bottom"/>
            <w:gridSpan w:val="2"/>
          </w:tcPr>
          <w:p>
            <w:pPr>
              <w:ind w:left="8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112.60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(147)</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86.94</w:t>
            </w: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 canceled or expired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87.87</w:t>
            </w:r>
          </w:p>
        </w:tc>
        <w:tc>
          <w:tcPr>
            <w:tcW w:w="0" w:type="dxa"/>
            <w:vAlign w:val="bottom"/>
          </w:tcPr>
          <w:p>
            <w:pPr>
              <w:spacing w:after="0"/>
              <w:rPr>
                <w:sz w:val="1"/>
                <w:szCs w:val="1"/>
                <w:color w:val="auto"/>
              </w:rPr>
            </w:pPr>
          </w:p>
        </w:tc>
      </w:tr>
      <w:tr>
        <w:trPr>
          <w:trHeight w:val="229"/>
        </w:trPr>
        <w:tc>
          <w:tcPr>
            <w:tcW w:w="56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Outstanding as of December 31, 2023</w:t>
            </w:r>
          </w:p>
        </w:tc>
        <w:tc>
          <w:tcPr>
            <w:tcW w:w="4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450</w:t>
            </w:r>
          </w:p>
        </w:tc>
        <w:tc>
          <w:tcPr>
            <w:tcW w:w="80" w:type="dxa"/>
            <w:vAlign w:val="bottom"/>
          </w:tcPr>
          <w:p>
            <w:pPr>
              <w:spacing w:after="0"/>
              <w:rPr>
                <w:sz w:val="19"/>
                <w:szCs w:val="19"/>
                <w:color w:val="auto"/>
              </w:rPr>
            </w:pPr>
          </w:p>
        </w:tc>
        <w:tc>
          <w:tcPr>
            <w:tcW w:w="30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93.16</w:t>
            </w:r>
          </w:p>
        </w:tc>
        <w:tc>
          <w:tcPr>
            <w:tcW w:w="0" w:type="dxa"/>
            <w:vAlign w:val="bottom"/>
          </w:tcPr>
          <w:p>
            <w:pPr>
              <w:spacing w:after="0"/>
              <w:rPr>
                <w:sz w:val="1"/>
                <w:szCs w:val="1"/>
                <w:color w:val="auto"/>
              </w:rPr>
            </w:pPr>
          </w:p>
        </w:tc>
      </w:tr>
      <w:tr>
        <w:trPr>
          <w:trHeight w:val="211"/>
        </w:trPr>
        <w:tc>
          <w:tcPr>
            <w:tcW w:w="568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Granted</w:t>
            </w:r>
          </w:p>
        </w:tc>
        <w:tc>
          <w:tcPr>
            <w:tcW w:w="4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120</w:t>
            </w:r>
          </w:p>
        </w:tc>
        <w:tc>
          <w:tcPr>
            <w:tcW w:w="80" w:type="dxa"/>
            <w:vAlign w:val="bottom"/>
          </w:tcPr>
          <w:p>
            <w:pPr>
              <w:spacing w:after="0"/>
              <w:rPr>
                <w:sz w:val="18"/>
                <w:szCs w:val="18"/>
                <w:color w:val="auto"/>
              </w:rPr>
            </w:pPr>
          </w:p>
        </w:tc>
        <w:tc>
          <w:tcPr>
            <w:tcW w:w="300" w:type="dxa"/>
            <w:vAlign w:val="bottom"/>
            <w:gridSpan w:val="2"/>
          </w:tcPr>
          <w:p>
            <w:pPr>
              <w:ind w:left="8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130.80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(151)</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91.84</w:t>
            </w: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 canceled or expired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100.12</w:t>
            </w:r>
          </w:p>
        </w:tc>
        <w:tc>
          <w:tcPr>
            <w:tcW w:w="0" w:type="dxa"/>
            <w:vAlign w:val="bottom"/>
          </w:tcPr>
          <w:p>
            <w:pPr>
              <w:spacing w:after="0"/>
              <w:rPr>
                <w:sz w:val="1"/>
                <w:szCs w:val="1"/>
                <w:color w:val="auto"/>
              </w:rPr>
            </w:pPr>
          </w:p>
        </w:tc>
      </w:tr>
      <w:tr>
        <w:trPr>
          <w:trHeight w:val="230"/>
        </w:trPr>
        <w:tc>
          <w:tcPr>
            <w:tcW w:w="566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Outstanding as of December 31, 2024</w:t>
            </w:r>
          </w:p>
        </w:tc>
        <w:tc>
          <w:tcPr>
            <w:tcW w:w="2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403</w:t>
            </w:r>
          </w:p>
        </w:tc>
        <w:tc>
          <w:tcPr>
            <w:tcW w:w="80" w:type="dxa"/>
            <w:vAlign w:val="bottom"/>
          </w:tcPr>
          <w:p>
            <w:pPr>
              <w:spacing w:after="0"/>
              <w:rPr>
                <w:sz w:val="20"/>
                <w:szCs w:val="20"/>
                <w:color w:val="auto"/>
              </w:rPr>
            </w:pPr>
          </w:p>
        </w:tc>
        <w:tc>
          <w:tcPr>
            <w:tcW w:w="300" w:type="dxa"/>
            <w:vAlign w:val="bottom"/>
            <w:gridSpan w:val="2"/>
          </w:tcPr>
          <w:p>
            <w:pPr>
              <w:ind w:left="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104.54</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24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there was approximately $30,345 of total unrecognized share -based compensation cost related to unvested restricted stock awards. These costs are expected to be recognized over a weighted average period of 2.03 years.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700"/>
          </w:cols>
          <w:pgMar w:left="1260" w:top="1246" w:right="1280" w:bottom="722" w:gutter="0" w:footer="0" w:header="0"/>
          <w:type w:val="continuous"/>
        </w:sectPr>
      </w:pPr>
    </w:p>
    <w:bookmarkStart w:id="80" w:name="page81"/>
    <w:bookmarkEnd w:id="80"/>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Share-based Compensation Expense Assumptions – Restricted Stock Awards</w:t>
      </w:r>
    </w:p>
    <w:p>
      <w:pPr>
        <w:spacing w:after="0" w:line="11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 measures and recognizes compensation expense for share- 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Board of Directors. The Company recognizes forfeitures as they occur. The restricted shares have voting rights.</w:t>
      </w:r>
    </w:p>
    <w:p>
      <w:pPr>
        <w:spacing w:after="0" w:line="77" w:lineRule="exact"/>
        <w:rPr>
          <w:sz w:val="20"/>
          <w:szCs w:val="20"/>
          <w:color w:val="auto"/>
        </w:rPr>
      </w:pPr>
    </w:p>
    <w:p>
      <w:pPr>
        <w:ind w:right="420" w:firstLine="720"/>
        <w:spacing w:after="0" w:line="278" w:lineRule="auto"/>
        <w:rPr>
          <w:sz w:val="20"/>
          <w:szCs w:val="20"/>
          <w:color w:val="auto"/>
        </w:rPr>
      </w:pPr>
      <w:r>
        <w:rPr>
          <w:rFonts w:ascii="Times New Roman" w:cs="Times New Roman" w:eastAsia="Times New Roman" w:hAnsi="Times New Roman"/>
          <w:sz w:val="20"/>
          <w:szCs w:val="20"/>
          <w:color w:val="auto"/>
        </w:rPr>
        <w:t>The table below outlines share-based compensation expense for the fiscal years ended December 31, 2024, 2023 and 2022 related to restricted stock and stock options granted:</w:t>
      </w:r>
    </w:p>
    <w:p>
      <w:pPr>
        <w:spacing w:after="0" w:line="71"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Technology and academic services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2,594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2,365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Counseling services and support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Marketing and communication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120"/>
              <w:spacing w:after="0" w:line="197" w:lineRule="exact"/>
              <w:rPr>
                <w:sz w:val="20"/>
                <w:szCs w:val="20"/>
                <w:color w:val="auto"/>
              </w:rPr>
            </w:pPr>
            <w:r>
              <w:rPr>
                <w:rFonts w:ascii="Times New Roman" w:cs="Times New Roman" w:eastAsia="Times New Roman" w:hAnsi="Times New Roman"/>
                <w:sz w:val="20"/>
                <w:szCs w:val="20"/>
                <w:b w:val="1"/>
                <w:bCs w:val="1"/>
                <w:color w:val="auto"/>
              </w:rPr>
              <w:t>Share-based compensation expense included 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13,204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share-based compensation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(3,556)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(3,301)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(3,161)</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b w:val="1"/>
                <w:bCs w:val="1"/>
                <w:color w:val="auto"/>
              </w:rPr>
              <w:t>Share-based compensation expense, net of tax</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10,669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9,903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9,481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401(k) Plan</w:t>
      </w:r>
    </w:p>
    <w:p>
      <w:pPr>
        <w:spacing w:after="0" w:line="11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restrictions under the Internal Revenue Code of 1986 (the “Code”), and the Plan allows the Company to make discretionary matching contributions. The Company plans to make a matching contribution to the Plan of approximately $3,092 for the year ended December 31, 2024. The Company made discretionary matching contributions to the Plan of $2,951 and $2,744 for the years ended December 31, 2023 and 2022,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Related Party Transactions</w:t>
      </w:r>
    </w:p>
    <w:p>
      <w:pPr>
        <w:spacing w:after="0" w:line="123"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Related party transactions include transactions between the Company and certain of its affiliates. The following transactions were in the normal course of operations and were measured at the exchange amount, which is the amount of consideration established and agreed to by the parties.</w:t>
      </w:r>
    </w:p>
    <w:p>
      <w:pPr>
        <w:spacing w:after="0" w:line="65"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As of and for the years ended December 31, 2024, 2023 and 2022, related party transactions consisted of the following: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Affiliates</w:t>
      </w:r>
    </w:p>
    <w:p>
      <w:pPr>
        <w:spacing w:after="0" w:line="12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GCE Community Fund (“GCECF”) </w:t>
      </w:r>
      <w:r>
        <w:rPr>
          <w:rFonts w:ascii="Times New Roman" w:cs="Times New Roman" w:eastAsia="Times New Roman" w:hAnsi="Times New Roman"/>
          <w:sz w:val="20"/>
          <w:szCs w:val="20"/>
          <w:color w:val="auto"/>
        </w:rPr>
        <w:t>- GCECF was initially formed in 2014. GCECF makes grants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charitable, educational, literary, religious or scientific purposes within the meaning of Section 501(c ) (3) of the Code, including for such purposes as the making of distributions to organizations that qualify as exempt organizations under Section 501 (c ) (3) of the Code. The Company’s Chief Executive Officer serves as the president of GCECF and GCECF’s board of directors is comprised entirely of Company executives. The Company is not the primary beneficiary of GCECF, and accordingly, the Company does not consolidate GCECF’s activities with its financial results. No donations were made during the year ended December 31, 2024. The Company made voluntary charitable contributions of $1,650 for the year ended December 31, 2023, of which no amounts were owed as of December 31, 2023.</w:t>
      </w:r>
    </w:p>
    <w:p>
      <w:pPr>
        <w:sectPr>
          <w:pgSz w:w="12240" w:h="15840" w:orient="portrait"/>
          <w:cols w:equalWidth="0" w:num="1">
            <w:col w:w="9700"/>
          </w:cols>
          <w:pgMar w:left="1260" w:top="1247"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700"/>
          </w:cols>
          <w:pgMar w:left="1260" w:top="1247" w:right="1280" w:bottom="722" w:gutter="0" w:footer="0" w:header="0"/>
          <w:type w:val="continuous"/>
        </w:sectPr>
      </w:pPr>
    </w:p>
    <w:bookmarkStart w:id="81" w:name="page82"/>
    <w:bookmarkEnd w:id="81"/>
    <w:p>
      <w:pPr>
        <w:spacing w:after="0" w:line="3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2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and including our Principal Executive Officer and Principal Financial Officer, to assist in this evaluation. Our Disclosure Committee meets on a quarterly basis and more often if necessary.</w:t>
      </w:r>
    </w:p>
    <w:p>
      <w:pPr>
        <w:spacing w:after="0" w:line="7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 - 15(e) or 15d - 15(e)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2024.</w:t>
      </w:r>
    </w:p>
    <w:p>
      <w:pPr>
        <w:spacing w:after="0" w:line="8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Attached as exhibits to this Annual Report on Form 10 - K are certifications of our Chief Executive Officer and Chief Financial Officer, which are required in accordance with Rule 13a - 14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effective internal control over financial reporting, as such term is defined in Exchange Act Rule 13a - 15(f).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internal control over financial reporting includes those policies and procedures that:</w:t>
      </w:r>
    </w:p>
    <w:p>
      <w:pPr>
        <w:spacing w:after="0" w:line="119" w:lineRule="exact"/>
        <w:rPr>
          <w:sz w:val="20"/>
          <w:szCs w:val="20"/>
          <w:color w:val="auto"/>
        </w:rPr>
      </w:pPr>
    </w:p>
    <w:p>
      <w:pPr>
        <w:ind w:left="1220" w:right="900" w:hanging="363"/>
        <w:spacing w:after="0" w:line="255" w:lineRule="auto"/>
        <w:tabs>
          <w:tab w:leader="none" w:pos="12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ind w:left="1220" w:right="60" w:hanging="363"/>
        <w:spacing w:after="0"/>
        <w:tabs>
          <w:tab w:leader="none" w:pos="12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ind w:left="1220" w:right="200" w:hanging="363"/>
        <w:spacing w:after="0" w:line="275" w:lineRule="auto"/>
        <w:tabs>
          <w:tab w:leader="none" w:pos="12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regarding prevention or timely detection of unauthorized acquisition, use, or disposition of our assets that could have a material effect on the consolidated financial statements.</w:t>
      </w:r>
    </w:p>
    <w:p>
      <w:pPr>
        <w:spacing w:after="0" w:line="51"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79"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Management performed an assessment of the effectiveness of our internal control over financial reporting as of December 31, 2024, utilizing the criteria established in the “Internal Control—Integrated Framework (2013)” issued by the Committee of Sponsoring Organizations of the Treadway Commission. The objective of this assessment was to determine whether our internal control over financial reporting was effective as of December 31, 2024. Based on its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700"/>
          </w:cols>
          <w:pgMar w:left="1260" w:top="1440" w:right="1280" w:bottom="722" w:gutter="0" w:footer="0" w:header="0"/>
        </w:sectPr>
      </w:pPr>
    </w:p>
    <w:bookmarkStart w:id="82" w:name="page83"/>
    <w:bookmarkEnd w:id="82"/>
    <w:p>
      <w:pPr>
        <w:ind w:right="160"/>
        <w:spacing w:after="0" w:line="278" w:lineRule="auto"/>
        <w:rPr>
          <w:sz w:val="20"/>
          <w:szCs w:val="20"/>
          <w:color w:val="auto"/>
        </w:rPr>
      </w:pPr>
      <w:r>
        <w:rPr>
          <w:rFonts w:ascii="Times New Roman" w:cs="Times New Roman" w:eastAsia="Times New Roman" w:hAnsi="Times New Roman"/>
          <w:sz w:val="20"/>
          <w:szCs w:val="20"/>
          <w:color w:val="auto"/>
        </w:rPr>
        <w:t>assessment, management has concluded that, as of December 31, 2024, the Company’s internal control over financial reporting is effective.</w:t>
      </w:r>
    </w:p>
    <w:p>
      <w:pPr>
        <w:spacing w:after="0" w:line="48"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2024 has been audited by KPMG LLP, an independent registered public accounting firm, as stated in their audit report which is included herein.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three months ended December 31, 2024, which were identified in connection with management’s evaluation required by paragraph (d) of Rules 13a-15 and 15d-15 under the Exchange Act, that have materially affected, or are reasonably likely to materially affect, our internal control over financial reporting.</w:t>
      </w:r>
    </w:p>
    <w:p>
      <w:pPr>
        <w:sectPr>
          <w:pgSz w:w="12240" w:h="15840" w:orient="portrait"/>
          <w:cols w:equalWidth="0" w:num="1">
            <w:col w:w="9580"/>
          </w:cols>
          <w:pgMar w:left="1260" w:top="1246" w:right="14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580"/>
          </w:cols>
          <w:pgMar w:left="1260" w:top="1246" w:right="1400" w:bottom="722" w:gutter="0" w:footer="0" w:header="0"/>
          <w:type w:val="continuous"/>
        </w:sectPr>
      </w:pPr>
    </w:p>
    <w:bookmarkStart w:id="83" w:name="page84"/>
    <w:bookmarkEnd w:id="83"/>
    <w:p>
      <w:pPr>
        <w:ind w:left="23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 Canyon Education,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Internal Control Over Financial Reporting</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Grand Canyon Education, Inc. and subsidiaries’ (the Company)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1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years in the three-year period ended December 31, 2024, and the related notes (collectively, the consolidated financial statements), and our report dated February 19, 2025 expressed an unqualified opinion on those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Reporting</w:t>
      </w:r>
    </w:p>
    <w:p>
      <w:pPr>
        <w:spacing w:after="0" w:line="1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700"/>
          </w:cols>
          <w:pgMar w:left="1260" w:top="1243" w:right="1280" w:bottom="722" w:gutter="0" w:footer="0" w:header="0"/>
          <w:type w:val="continuous"/>
        </w:sectPr>
      </w:pPr>
    </w:p>
    <w:bookmarkStart w:id="84" w:name="page85"/>
    <w:bookmarkEnd w:id="84"/>
    <w:p>
      <w:pPr>
        <w:ind w:right="160"/>
        <w:spacing w:after="0" w:line="247"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 KPMG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Phoenix, Arizona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2025</w:t>
      </w:r>
    </w:p>
    <w:p>
      <w:pPr>
        <w:sectPr>
          <w:pgSz w:w="12240" w:h="15840" w:orient="portrait"/>
          <w:cols w:equalWidth="0" w:num="1">
            <w:col w:w="9540"/>
          </w:cols>
          <w:pgMar w:left="1260" w:top="1246" w:right="144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540"/>
          </w:cols>
          <w:pgMar w:left="1260" w:top="1246" w:right="1440" w:bottom="722" w:gutter="0" w:footer="0" w:header="0"/>
          <w:type w:val="continuous"/>
        </w:sectPr>
      </w:pPr>
    </w:p>
    <w:bookmarkStart w:id="85" w:name="page86"/>
    <w:bookmarkEnd w:id="85"/>
    <w:p>
      <w:pPr>
        <w:spacing w:after="0" w:line="27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20"/>
          <w:szCs w:val="20"/>
          <w:b w:val="1"/>
          <w:bCs w:val="1"/>
          <w:i w:val="1"/>
          <w:iCs w:val="1"/>
          <w:color w:val="auto"/>
        </w:rPr>
        <w:t>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Arrangements</w:t>
      </w:r>
    </w:p>
    <w:p>
      <w:pPr>
        <w:spacing w:after="0" w:line="11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have a policy governing transactions in our securities by directors, officers, employees and others which permits these individuals to enter into trading plans complying with Rule 10b5 - 1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7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anticipate that, as permitted by Rule 10b5 - 1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10b5 - 1 and the requirements of our policy governing transactions in our securities in our future quarterly and annual reports on Form 10 - Q and 10 - 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244" w:lineRule="exact"/>
        <w:rPr>
          <w:sz w:val="20"/>
          <w:szCs w:val="20"/>
          <w:color w:val="auto"/>
        </w:rPr>
      </w:pPr>
    </w:p>
    <w:p>
      <w:pPr>
        <w:ind w:right="460" w:firstLine="72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78"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6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243" w:lineRule="exact"/>
        <w:rPr>
          <w:sz w:val="20"/>
          <w:szCs w:val="20"/>
          <w:color w:val="auto"/>
        </w:rPr>
      </w:pPr>
    </w:p>
    <w:p>
      <w:pPr>
        <w:ind w:right="460"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43" w:lineRule="exact"/>
        <w:rPr>
          <w:sz w:val="20"/>
          <w:szCs w:val="20"/>
          <w:color w:val="auto"/>
        </w:rPr>
      </w:pPr>
    </w:p>
    <w:p>
      <w:pPr>
        <w:ind w:right="460"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44" w:lineRule="exact"/>
        <w:rPr>
          <w:sz w:val="20"/>
          <w:szCs w:val="20"/>
          <w:color w:val="auto"/>
        </w:rPr>
      </w:pPr>
    </w:p>
    <w:p>
      <w:pPr>
        <w:ind w:right="460" w:firstLine="72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700"/>
          </w:cols>
          <w:pgMar w:left="1260" w:top="1440" w:right="1280" w:bottom="722" w:gutter="0" w:footer="0" w:header="0"/>
        </w:sectPr>
      </w:pPr>
    </w:p>
    <w:bookmarkStart w:id="86" w:name="page87"/>
    <w:bookmarkEnd w:id="86"/>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Accounting Fees and Services</w:t>
      </w:r>
    </w:p>
    <w:p>
      <w:pPr>
        <w:spacing w:after="0" w:line="243" w:lineRule="exact"/>
        <w:rPr>
          <w:sz w:val="20"/>
          <w:szCs w:val="20"/>
          <w:color w:val="auto"/>
        </w:rPr>
      </w:pPr>
    </w:p>
    <w:p>
      <w:pPr>
        <w:ind w:right="480"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20"/>
          <w:szCs w:val="20"/>
          <w:b w:val="1"/>
          <w:bCs w:val="1"/>
          <w:i w:val="1"/>
          <w:iCs w:val="1"/>
          <w:color w:val="auto"/>
        </w:rPr>
        <w:t>Exhibits and Consolidated Financial Statement Schedules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The following documents are filed as part of this Annual Report on Form 10 - 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0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1.</w:t>
            </w:r>
          </w:p>
        </w:tc>
        <w:tc>
          <w:tcPr>
            <w:tcW w:w="81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Consolidated Financial Statements filed as part of this report</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7"/>
        </w:trPr>
        <w:tc>
          <w:tcPr>
            <w:tcW w:w="9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6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1"/>
        </w:trPr>
        <w:tc>
          <w:tcPr>
            <w:tcW w:w="916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6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17"/>
                <w:szCs w:val="17"/>
                <w:color w:val="auto"/>
              </w:rPr>
            </w:pPr>
          </w:p>
        </w:tc>
      </w:tr>
      <w:tr>
        <w:trPr>
          <w:trHeight w:val="230"/>
        </w:trPr>
        <w:tc>
          <w:tcPr>
            <w:tcW w:w="9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60</w:t>
            </w:r>
          </w:p>
        </w:tc>
      </w:tr>
      <w:tr>
        <w:trPr>
          <w:trHeight w:val="229"/>
        </w:trPr>
        <w:tc>
          <w:tcPr>
            <w:tcW w:w="9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Income Statements for the years ended December 31, 2024, 2023 and 2022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9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2024, 2023 and 2022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9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2024, 2023 and 2022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63</w:t>
            </w:r>
          </w:p>
        </w:tc>
      </w:tr>
      <w:tr>
        <w:trPr>
          <w:trHeight w:val="229"/>
        </w:trPr>
        <w:tc>
          <w:tcPr>
            <w:tcW w:w="9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2023 and 2022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64</w:t>
            </w:r>
          </w:p>
        </w:tc>
      </w:tr>
      <w:tr>
        <w:trPr>
          <w:trHeight w:val="267"/>
        </w:trPr>
        <w:tc>
          <w:tcPr>
            <w:tcW w:w="9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65</w:t>
            </w:r>
          </w:p>
        </w:tc>
      </w:tr>
    </w:tbl>
    <w:p>
      <w:pPr>
        <w:spacing w:after="0" w:line="194" w:lineRule="exact"/>
        <w:rPr>
          <w:sz w:val="20"/>
          <w:szCs w:val="20"/>
          <w:color w:val="auto"/>
        </w:rPr>
      </w:pPr>
    </w:p>
    <w:p>
      <w:pPr>
        <w:ind w:left="1200" w:hanging="473"/>
        <w:spacing w:after="0"/>
        <w:tabs>
          <w:tab w:leader="none" w:pos="12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 Schedules:</w:t>
      </w:r>
    </w:p>
    <w:p>
      <w:pPr>
        <w:spacing w:after="0" w:line="119" w:lineRule="exact"/>
        <w:rPr>
          <w:sz w:val="20"/>
          <w:szCs w:val="20"/>
          <w:color w:val="auto"/>
        </w:rPr>
      </w:pPr>
    </w:p>
    <w:p>
      <w:pPr>
        <w:ind w:right="460" w:firstLine="720"/>
        <w:spacing w:after="0" w:line="278" w:lineRule="auto"/>
        <w:rPr>
          <w:sz w:val="20"/>
          <w:szCs w:val="20"/>
          <w:color w:val="auto"/>
        </w:rPr>
      </w:pPr>
      <w:r>
        <w:rPr>
          <w:rFonts w:ascii="Times New Roman" w:cs="Times New Roman" w:eastAsia="Times New Roman" w:hAnsi="Times New Roman"/>
          <w:sz w:val="20"/>
          <w:szCs w:val="20"/>
          <w:color w:val="auto"/>
        </w:rPr>
        <w:t>Schedules are omitted because they are not required, or because the information required is included in the Consolidated Financial Statements and Notes thereto.</w:t>
      </w:r>
    </w:p>
    <w:p>
      <w:pPr>
        <w:spacing w:after="0" w:line="48" w:lineRule="exact"/>
        <w:rPr>
          <w:sz w:val="20"/>
          <w:szCs w:val="20"/>
          <w:color w:val="auto"/>
        </w:rPr>
      </w:pPr>
    </w:p>
    <w:p>
      <w:pPr>
        <w:ind w:left="1200" w:hanging="473"/>
        <w:spacing w:after="0"/>
        <w:tabs>
          <w:tab w:leader="none" w:pos="12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43" w:lineRule="exact"/>
        <w:rPr>
          <w:sz w:val="20"/>
          <w:szCs w:val="20"/>
          <w:color w:val="auto"/>
        </w:rPr>
      </w:pPr>
    </w:p>
    <w:p>
      <w:pPr>
        <w:spacing w:after="0"/>
        <w:tabs>
          <w:tab w:leader="none" w:pos="2700" w:val="left"/>
          <w:tab w:leader="none" w:pos="70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5"/>
          <w:szCs w:val="15"/>
          <w:b w:val="1"/>
          <w:bCs w:val="1"/>
          <w:color w:val="auto"/>
        </w:rPr>
        <w:t>Method of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14605</wp:posOffset>
                </wp:positionV>
                <wp:extent cx="47561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5pt" to="37.8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630555</wp:posOffset>
                </wp:positionH>
                <wp:positionV relativeFrom="paragraph">
                  <wp:posOffset>14605</wp:posOffset>
                </wp:positionV>
                <wp:extent cx="269938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93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5pt,1.15pt" to="262.2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3479165</wp:posOffset>
                </wp:positionH>
                <wp:positionV relativeFrom="paragraph">
                  <wp:posOffset>14605</wp:posOffset>
                </wp:positionV>
                <wp:extent cx="268795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79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5pt,1.15pt" to="485.6pt,1.15pt" o:allowincell="f" strokecolor="#000000" strokeweight="0.4799pt"/>
            </w:pict>
          </mc:Fallback>
        </mc:AlternateContent>
      </w:r>
    </w:p>
    <w:p>
      <w:pPr>
        <w:sectPr>
          <w:pgSz w:w="12240" w:h="15840" w:orient="portrait"/>
          <w:cols w:equalWidth="0" w:num="1">
            <w:col w:w="9720"/>
          </w:cols>
          <w:pgMar w:left="1260" w:top="1243" w:right="1260" w:bottom="722"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5"/>
              </w:rPr>
              <w:t>2.1</w:t>
            </w: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Asset Purchase Agreement, dated July 1, 2018, by</w:t>
            </w:r>
          </w:p>
        </w:tc>
      </w:tr>
      <w:tr>
        <w:trPr>
          <w:trHeight w:val="230"/>
        </w:trPr>
        <w:tc>
          <w:tcPr>
            <w:tcW w:w="62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and between Grand Canyon Education, Inc. and</w:t>
            </w:r>
          </w:p>
        </w:tc>
      </w:tr>
      <w:tr>
        <w:trPr>
          <w:trHeight w:val="230"/>
        </w:trPr>
        <w:tc>
          <w:tcPr>
            <w:tcW w:w="62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Grand Canyon University (formerly known as</w:t>
            </w:r>
          </w:p>
        </w:tc>
      </w:tr>
      <w:tr>
        <w:trPr>
          <w:trHeight w:val="267"/>
        </w:trPr>
        <w:tc>
          <w:tcPr>
            <w:tcW w:w="620" w:type="dxa"/>
            <w:vAlign w:val="bottom"/>
          </w:tcPr>
          <w:p>
            <w:pPr>
              <w:spacing w:after="0"/>
              <w:rPr>
                <w:sz w:val="23"/>
                <w:szCs w:val="23"/>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Gazelle University)#</w:t>
            </w:r>
          </w:p>
        </w:tc>
      </w:tr>
      <w:tr>
        <w:trPr>
          <w:trHeight w:val="423"/>
        </w:trPr>
        <w:tc>
          <w:tcPr>
            <w:tcW w:w="6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5"/>
              </w:rPr>
              <w:t>2.2</w:t>
            </w: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9"/>
              </w:rPr>
              <w:t>Agreement and Plan of Merger, dated December 17,</w:t>
            </w:r>
          </w:p>
        </w:tc>
      </w:tr>
      <w:tr>
        <w:trPr>
          <w:trHeight w:val="229"/>
        </w:trPr>
        <w:tc>
          <w:tcPr>
            <w:tcW w:w="620" w:type="dxa"/>
            <w:vAlign w:val="bottom"/>
          </w:tcPr>
          <w:p>
            <w:pPr>
              <w:spacing w:after="0"/>
              <w:rPr>
                <w:sz w:val="19"/>
                <w:szCs w:val="19"/>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9"/>
              </w:rPr>
              <w:t>2018, by and among Grand Canyon Education, Inc.,</w:t>
            </w:r>
          </w:p>
        </w:tc>
      </w:tr>
      <w:tr>
        <w:trPr>
          <w:trHeight w:val="230"/>
        </w:trPr>
        <w:tc>
          <w:tcPr>
            <w:tcW w:w="62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GCE Cosmos Merger Sub, LLC and Orbis</w:t>
            </w:r>
          </w:p>
        </w:tc>
      </w:tr>
      <w:tr>
        <w:trPr>
          <w:trHeight w:val="267"/>
        </w:trPr>
        <w:tc>
          <w:tcPr>
            <w:tcW w:w="620" w:type="dxa"/>
            <w:vAlign w:val="bottom"/>
          </w:tcPr>
          <w:p>
            <w:pPr>
              <w:spacing w:after="0"/>
              <w:rPr>
                <w:sz w:val="23"/>
                <w:szCs w:val="23"/>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Education Services, LLC#</w:t>
            </w:r>
          </w:p>
        </w:tc>
      </w:tr>
      <w:tr>
        <w:trPr>
          <w:trHeight w:val="423"/>
        </w:trPr>
        <w:tc>
          <w:tcPr>
            <w:tcW w:w="6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5"/>
              </w:rPr>
              <w:t>3.1</w:t>
            </w: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Amended and Restated Certificate of Incorporation</w:t>
            </w:r>
          </w:p>
        </w:tc>
      </w:tr>
      <w:tr>
        <w:trPr>
          <w:trHeight w:val="267"/>
        </w:trPr>
        <w:tc>
          <w:tcPr>
            <w:tcW w:w="620" w:type="dxa"/>
            <w:vAlign w:val="bottom"/>
          </w:tcPr>
          <w:p>
            <w:pPr>
              <w:spacing w:after="0"/>
              <w:rPr>
                <w:sz w:val="23"/>
                <w:szCs w:val="23"/>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(as amended)</w:t>
            </w:r>
          </w:p>
        </w:tc>
      </w:tr>
      <w:tr>
        <w:trPr>
          <w:trHeight w:val="690"/>
        </w:trPr>
        <w:tc>
          <w:tcPr>
            <w:tcW w:w="6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5"/>
              </w:rPr>
              <w:t>3.2</w:t>
            </w: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Third Amended and Restated Bylaws</w:t>
            </w:r>
          </w:p>
        </w:tc>
      </w:tr>
      <w:tr>
        <w:trPr>
          <w:trHeight w:val="919"/>
        </w:trPr>
        <w:tc>
          <w:tcPr>
            <w:tcW w:w="6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5"/>
              </w:rPr>
              <w:t>4.1</w:t>
            </w:r>
          </w:p>
        </w:tc>
        <w:tc>
          <w:tcPr>
            <w:tcW w:w="4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Specimen of Stock Certificate</w:t>
            </w: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2.1 to GCE’s Quarterly Report on Form 10 - Q filed with the SEC on November 8, 2018.</w:t>
      </w:r>
    </w:p>
    <w:p>
      <w:pPr>
        <w:spacing w:after="0" w:line="200" w:lineRule="exact"/>
        <w:rPr>
          <w:sz w:val="20"/>
          <w:szCs w:val="20"/>
          <w:color w:val="auto"/>
        </w:rPr>
      </w:pP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2.2 to GCE’s Annual Report on Form 10-K filed with the SEC on February 20, 2019.</w:t>
      </w:r>
    </w:p>
    <w:p>
      <w:pPr>
        <w:spacing w:after="0" w:line="200" w:lineRule="exact"/>
        <w:rPr>
          <w:sz w:val="20"/>
          <w:szCs w:val="20"/>
          <w:color w:val="auto"/>
        </w:rPr>
      </w:pP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3.1 to GCE’s Annual Report on Form 10-K filed with the SEC on February 20, 2019.</w:t>
      </w:r>
    </w:p>
    <w:p>
      <w:pPr>
        <w:spacing w:after="0" w:line="17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3.1 to GCE’s Current Report on Form 8-K filed with the SEC on October 29, 2014.</w:t>
      </w:r>
    </w:p>
    <w:p>
      <w:pPr>
        <w:spacing w:after="0" w:line="178" w:lineRule="exact"/>
        <w:rPr>
          <w:sz w:val="20"/>
          <w:szCs w:val="20"/>
          <w:color w:val="auto"/>
        </w:rPr>
      </w:pPr>
    </w:p>
    <w:p>
      <w:pPr>
        <w:ind w:right="80" w:firstLine="3"/>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4.1 to Amendment No. 2 to GCE’s Registration Statement on Form S - 1 filed with the SEC on September 29, 2008.</w:t>
      </w:r>
    </w:p>
    <w:p>
      <w:pPr>
        <w:spacing w:after="0" w:line="200" w:lineRule="exact"/>
        <w:rPr>
          <w:sz w:val="20"/>
          <w:szCs w:val="20"/>
          <w:color w:val="auto"/>
        </w:rPr>
      </w:pPr>
    </w:p>
    <w:p>
      <w:pPr>
        <w:sectPr>
          <w:pgSz w:w="12240" w:h="15840" w:orient="portrait"/>
          <w:cols w:equalWidth="0" w:num="2">
            <w:col w:w="5180" w:space="300"/>
            <w:col w:w="4240"/>
          </w:cols>
          <w:pgMar w:left="1260" w:top="1243" w:right="1260" w:bottom="7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720"/>
          </w:cols>
          <w:pgMar w:left="1260" w:top="1243" w:right="1260" w:bottom="722"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42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5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24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Common Stock</w:t>
            </w:r>
          </w:p>
        </w:tc>
      </w:tr>
      <w:tr>
        <w:trPr>
          <w:trHeight w:val="891"/>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2008 Equity Incentive Plan, as amended†</w:t>
            </w:r>
          </w:p>
        </w:tc>
      </w:tr>
      <w:tr>
        <w:trPr>
          <w:trHeight w:val="91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2017 Equity Incentive Plan, as amended†</w:t>
            </w:r>
          </w:p>
        </w:tc>
      </w:tr>
      <w:tr>
        <w:trPr>
          <w:trHeight w:val="88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Agreement under the 2017</w:t>
            </w: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Equity Incentive Plan, as amended†</w:t>
            </w:r>
          </w:p>
        </w:tc>
      </w:tr>
      <w:tr>
        <w:trPr>
          <w:trHeight w:val="65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Third Amended and Restated Executive</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May 1, 2023, by and</w:t>
            </w: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between Grand Canyon Education, Inc. and Brian E.</w:t>
            </w: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Mueller†</w:t>
            </w:r>
          </w:p>
        </w:tc>
      </w:tr>
      <w:tr>
        <w:trPr>
          <w:trHeight w:val="42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Third Amended and Restated Executive</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May 1, 2023, by and</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between Grand Canyon Education, Inc. and W. Stan</w:t>
            </w: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Meyer†</w:t>
            </w:r>
          </w:p>
        </w:tc>
      </w:tr>
      <w:tr>
        <w:trPr>
          <w:trHeight w:val="42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Third Amended and Restated Executive</w:t>
            </w: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May 1, 2023, by and</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between Grand Canyon Education, Inc. and Daniel</w:t>
            </w: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E. Bachus†</w:t>
            </w:r>
          </w:p>
        </w:tc>
      </w:tr>
      <w:tr>
        <w:trPr>
          <w:trHeight w:val="42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Second Amended and Restated Executive</w:t>
            </w: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May 1, 2023, by and</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between Grand Canyon Education, Inc. and Dilek</w:t>
            </w: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Marsh†</w:t>
            </w: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Form of Director and Officer Indemnity Agreement</w:t>
            </w:r>
          </w:p>
        </w:tc>
      </w:tr>
    </w:tbl>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268732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73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211.6pt,1.15pt" o:allowincell="f" strokecolor="#000000" strokeweight="0.4799pt"/>
            </w:pict>
          </mc:Fallback>
        </mc:AlternateContent>
      </w:r>
    </w:p>
    <w:p>
      <w:pPr>
        <w:spacing w:after="0" w:line="8" w:lineRule="exact"/>
        <w:rPr>
          <w:sz w:val="20"/>
          <w:szCs w:val="20"/>
          <w:color w:val="auto"/>
        </w:rPr>
      </w:pPr>
    </w:p>
    <w:p>
      <w:pPr>
        <w:ind w:right="20" w:hanging="1"/>
        <w:spacing w:after="0" w:line="244" w:lineRule="auto"/>
        <w:rPr>
          <w:sz w:val="20"/>
          <w:szCs w:val="20"/>
          <w:color w:val="auto"/>
        </w:rPr>
      </w:pPr>
      <w:r>
        <w:rPr>
          <w:rFonts w:ascii="Times New Roman" w:cs="Times New Roman" w:eastAsia="Times New Roman" w:hAnsi="Times New Roman"/>
          <w:sz w:val="20"/>
          <w:szCs w:val="20"/>
          <w:color w:val="auto"/>
        </w:rPr>
        <w:t>Incorporated by reference to Exhibit 4.2 to GCE’s Annual Report on Form 10-K filed with the SEC on February 20, 2020.</w:t>
      </w:r>
    </w:p>
    <w:p>
      <w:pPr>
        <w:spacing w:after="0" w:line="19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10.1 to GCE’s Quarterly Report on Form 10 - Q filed with the SEC on November 14, 2011.</w:t>
      </w:r>
    </w:p>
    <w:p>
      <w:pPr>
        <w:spacing w:after="0" w:line="17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10.1 to GCE’s Current Report on Form 8 - K filed with the SEC on June 14, 2017.</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10.3 to GCE’s Annual Report on Form 10 - K filed with the SEC on February 21, 2018.</w:t>
      </w:r>
    </w:p>
    <w:p>
      <w:pPr>
        <w:spacing w:after="0" w:line="17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color w:val="auto"/>
        </w:rPr>
        <w:t>Incorporated by reference to Exhibit 10.1 to the Company’s Quarterly Report on Form 10-Q filed with the SEC on May 2, 2023.</w:t>
      </w:r>
    </w:p>
    <w:p>
      <w:pPr>
        <w:spacing w:after="0" w:line="200" w:lineRule="exact"/>
        <w:rPr>
          <w:sz w:val="20"/>
          <w:szCs w:val="20"/>
          <w:color w:val="auto"/>
        </w:rPr>
      </w:pP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10.2 to the Company’s Quarterly Report on Form 10-Q filed with the SEC on May 2, 2023.</w:t>
      </w:r>
    </w:p>
    <w:p>
      <w:pPr>
        <w:spacing w:after="0" w:line="200" w:lineRule="exact"/>
        <w:rPr>
          <w:sz w:val="20"/>
          <w:szCs w:val="20"/>
          <w:color w:val="auto"/>
        </w:rPr>
      </w:pPr>
    </w:p>
    <w:p>
      <w:pPr>
        <w:spacing w:after="0" w:line="2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10.3 to the Company’s Quarterly Report on Form 10-Q filed with the SEC on May 2, 2023.</w:t>
      </w:r>
    </w:p>
    <w:p>
      <w:pPr>
        <w:spacing w:after="0" w:line="200" w:lineRule="exact"/>
        <w:rPr>
          <w:sz w:val="20"/>
          <w:szCs w:val="20"/>
          <w:color w:val="auto"/>
        </w:rPr>
      </w:pPr>
    </w:p>
    <w:p>
      <w:pPr>
        <w:spacing w:after="0" w:line="2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10.4 to the Company’s Quarterly Report on Form 10-Q filed with the SEC on May 2, 2023.</w:t>
      </w:r>
    </w:p>
    <w:p>
      <w:pPr>
        <w:spacing w:after="0" w:line="200" w:lineRule="exact"/>
        <w:rPr>
          <w:sz w:val="20"/>
          <w:szCs w:val="20"/>
          <w:color w:val="auto"/>
        </w:rPr>
      </w:pPr>
    </w:p>
    <w:p>
      <w:pPr>
        <w:spacing w:after="0" w:line="208" w:lineRule="exact"/>
        <w:rPr>
          <w:sz w:val="20"/>
          <w:szCs w:val="20"/>
          <w:color w:val="auto"/>
        </w:rPr>
      </w:pPr>
    </w:p>
    <w:p>
      <w:pPr>
        <w:ind w:right="20" w:firstLine="3"/>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10.21 to Amendment No. 2 to GCE’s Registration Statement on Form S-1 filed with the SEC on September 29, 2008.</w:t>
      </w:r>
    </w:p>
    <w:p>
      <w:pPr>
        <w:spacing w:after="0" w:line="185" w:lineRule="exact"/>
        <w:rPr>
          <w:sz w:val="20"/>
          <w:szCs w:val="20"/>
          <w:color w:val="auto"/>
        </w:rPr>
      </w:pPr>
    </w:p>
    <w:p>
      <w:pPr>
        <w:sectPr>
          <w:pgSz w:w="12240" w:h="15840" w:orient="portrait"/>
          <w:cols w:equalWidth="0" w:num="2">
            <w:col w:w="5240" w:space="240"/>
            <w:col w:w="4180"/>
          </w:cols>
          <w:pgMar w:left="1260" w:top="1270" w:right="1320" w:bottom="722" w:gutter="0" w:footer="0" w:header="0"/>
        </w:sectPr>
      </w:pPr>
    </w:p>
    <w:p>
      <w:pPr>
        <w:ind w:left="1000" w:right="40" w:hanging="985"/>
        <w:spacing w:after="0" w:line="252" w:lineRule="auto"/>
        <w:tabs>
          <w:tab w:leader="none" w:pos="9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Credit Agreement dated July 1, 2018, by and between Grand Canyon Education, Inc. and Grand Canyon University (formerly known as Gazelle University).</w:t>
      </w:r>
    </w:p>
    <w:p>
      <w:pPr>
        <w:spacing w:after="0" w:line="184" w:lineRule="exact"/>
        <w:rPr>
          <w:sz w:val="20"/>
          <w:szCs w:val="20"/>
          <w:color w:val="auto"/>
        </w:rPr>
      </w:pPr>
    </w:p>
    <w:p>
      <w:pPr>
        <w:ind w:left="1000" w:hanging="985"/>
        <w:spacing w:after="0" w:line="252" w:lineRule="auto"/>
        <w:tabs>
          <w:tab w:leader="none" w:pos="9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Master Services Agreement, dated July 1, 2018, by and between Grand Canyon Education, Inc. and Grand Canyon University (formerly known as Gazelle University).##</w:t>
      </w:r>
    </w:p>
    <w:p>
      <w:pPr>
        <w:spacing w:after="0" w:line="20" w:lineRule="exact"/>
        <w:rPr>
          <w:sz w:val="20"/>
          <w:szCs w:val="20"/>
          <w:color w:val="auto"/>
        </w:rPr>
      </w:pPr>
      <w:r>
        <w:rPr>
          <w:sz w:val="20"/>
          <w:szCs w:val="20"/>
          <w:color w:val="auto"/>
        </w:rPr>
        <w:br w:type="column"/>
      </w: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10.7 to GCE’s Quarterly Report on Form 10 - Q filed with the SEC on November 8, 2018.</w:t>
      </w:r>
    </w:p>
    <w:p>
      <w:pPr>
        <w:spacing w:after="0" w:line="200" w:lineRule="exact"/>
        <w:rPr>
          <w:sz w:val="20"/>
          <w:szCs w:val="20"/>
          <w:color w:val="auto"/>
        </w:rPr>
      </w:pPr>
    </w:p>
    <w:p>
      <w:pPr>
        <w:spacing w:after="0" w:line="2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10.8 to GCE’s Quarterly Report on Form 10 - Q/A filed with the SEC on April 23, 2019.</w:t>
      </w:r>
    </w:p>
    <w:p>
      <w:pPr>
        <w:spacing w:after="0" w:line="424" w:lineRule="exact"/>
        <w:rPr>
          <w:sz w:val="20"/>
          <w:szCs w:val="20"/>
          <w:color w:val="auto"/>
        </w:rPr>
      </w:pPr>
    </w:p>
    <w:p>
      <w:pPr>
        <w:sectPr>
          <w:pgSz w:w="12240" w:h="15840" w:orient="portrait"/>
          <w:cols w:equalWidth="0" w:num="2">
            <w:col w:w="5080" w:space="400"/>
            <w:col w:w="4180"/>
          </w:cols>
          <w:pgMar w:left="1260" w:top="1270" w:right="1320" w:bottom="7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660"/>
          </w:cols>
          <w:pgMar w:left="1260" w:top="1270" w:right="1320" w:bottom="722" w:gutter="0" w:footer="0" w:header="0"/>
          <w:type w:val="continuous"/>
        </w:sectPr>
      </w:pPr>
    </w:p>
    <w:bookmarkStart w:id="88" w:name="page89"/>
    <w:bookmarkEnd w:id="88"/>
    <w:p>
      <w:pPr>
        <w:spacing w:after="0"/>
        <w:tabs>
          <w:tab w:leader="none" w:pos="27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14605</wp:posOffset>
                </wp:positionV>
                <wp:extent cx="47561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5pt" to="37.8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630555</wp:posOffset>
                </wp:positionH>
                <wp:positionV relativeFrom="paragraph">
                  <wp:posOffset>14605</wp:posOffset>
                </wp:positionV>
                <wp:extent cx="269938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93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5pt,1.15pt" to="262.2pt,1.15pt" o:allowincell="f" strokecolor="#000000" strokeweight="0.4799pt"/>
            </w:pict>
          </mc:Fallback>
        </mc:AlternateContent>
      </w:r>
    </w:p>
    <w:p>
      <w:pPr>
        <w:spacing w:after="0" w:line="8" w:lineRule="exact"/>
        <w:rPr>
          <w:sz w:val="20"/>
          <w:szCs w:val="20"/>
          <w:color w:val="auto"/>
        </w:rPr>
      </w:pPr>
    </w:p>
    <w:p>
      <w:pPr>
        <w:jc w:val="both"/>
        <w:ind w:left="1000" w:right="200" w:hanging="985"/>
        <w:spacing w:after="0" w:line="243" w:lineRule="auto"/>
        <w:tabs>
          <w:tab w:leader="none" w:pos="9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Amended and Restated Credit Agreement, dated January 22, 2019, by and among Grand Canyon Education, Inc., Bank of America, N.A., and the other parties named therein.</w:t>
      </w:r>
    </w:p>
    <w:p>
      <w:pPr>
        <w:spacing w:after="0" w:line="190" w:lineRule="exact"/>
        <w:rPr>
          <w:sz w:val="20"/>
          <w:szCs w:val="20"/>
          <w:color w:val="auto"/>
        </w:rPr>
      </w:pPr>
    </w:p>
    <w:p>
      <w:pPr>
        <w:ind w:left="1000" w:hanging="985"/>
        <w:spacing w:after="0" w:line="252" w:lineRule="auto"/>
        <w:tabs>
          <w:tab w:leader="none" w:pos="9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Amended and Restated Security and Pledge Agreement, dated January 22, 2019, by and among Grand Canyon Education, Inc., Bank of America, N.A., and the other parties named therein.</w:t>
      </w:r>
    </w:p>
    <w:p>
      <w:pPr>
        <w:spacing w:after="0" w:line="184" w:lineRule="exact"/>
        <w:rPr>
          <w:sz w:val="20"/>
          <w:szCs w:val="20"/>
          <w:color w:val="auto"/>
        </w:rPr>
      </w:pPr>
    </w:p>
    <w:p>
      <w:pPr>
        <w:ind w:left="1000" w:right="200" w:hanging="985"/>
        <w:spacing w:after="0" w:line="249" w:lineRule="auto"/>
        <w:tabs>
          <w:tab w:leader="none" w:pos="9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First Amendment, dated January 31, 2019 to Amended and Restated Credit Agreement, dated January 22, 2019 by and among Grand Canyon Education, Inc., Bank of America, N.A., and the other parties named therein.</w:t>
      </w:r>
    </w:p>
    <w:p>
      <w:pPr>
        <w:spacing w:after="0" w:line="187" w:lineRule="exact"/>
        <w:rPr>
          <w:sz w:val="20"/>
          <w:szCs w:val="20"/>
          <w:color w:val="auto"/>
        </w:rPr>
      </w:pPr>
    </w:p>
    <w:p>
      <w:pPr>
        <w:ind w:left="1000" w:right="60" w:hanging="985"/>
        <w:spacing w:after="0" w:line="265" w:lineRule="auto"/>
        <w:tabs>
          <w:tab w:leader="none" w:pos="9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19"/>
          <w:szCs w:val="19"/>
          <w:color w:val="auto"/>
        </w:rPr>
        <w:t>First Incremental Facility Amendment, dated February 1, 2019 to Amended and Restated Credit Agreement, dated January 22, 2019 by and among Grand Canyon Education, Inc., Bank of America, N.A., and the other parties named therein.</w:t>
      </w:r>
    </w:p>
    <w:p>
      <w:pPr>
        <w:spacing w:after="0" w:line="174" w:lineRule="exact"/>
        <w:rPr>
          <w:sz w:val="20"/>
          <w:szCs w:val="20"/>
          <w:color w:val="auto"/>
        </w:rPr>
      </w:pPr>
    </w:p>
    <w:p>
      <w:pPr>
        <w:jc w:val="both"/>
        <w:ind w:left="1000" w:right="200" w:hanging="985"/>
        <w:spacing w:after="0" w:line="249" w:lineRule="auto"/>
        <w:tabs>
          <w:tab w:leader="none" w:pos="9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Second Amendment, dated October 31, 2019 to Amended and Restated Credit Agreement, dated January 22, 2019 by and among Grand Canyon Education, Inc., Bank of America N.A., and the other parties named therein.</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268732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73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211.6pt,1.15pt" o:allowincell="f" strokecolor="#000000" strokeweight="0.4799pt"/>
            </w:pict>
          </mc:Fallback>
        </mc:AlternateContent>
      </w:r>
    </w:p>
    <w:p>
      <w:pPr>
        <w:spacing w:after="0" w:line="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Incorporated by reference to Exhibit 10.14 to GCE’s Annual Report on Form 10-K filed with the SEC on February 20, 2019.</w:t>
      </w:r>
    </w:p>
    <w:p>
      <w:pPr>
        <w:spacing w:after="0" w:line="200" w:lineRule="exact"/>
        <w:rPr>
          <w:sz w:val="20"/>
          <w:szCs w:val="20"/>
          <w:color w:val="auto"/>
        </w:rPr>
      </w:pP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Incorporated by reference to Exhibit 10.15 to GCE’s Annual Report on Form 10-K filed with the SEC on February 20, 2019.</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Incorporated by reference to Exhibit 10.16 to GCE’s Annual Report on Form 10-K filed with the SEC on February 20,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Incorporated by reference to Exhibit 10.17 to GCE’s Quarterly Report on Form 10-Q filed with the SEC on February 20,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Incorporated by reference to Exhibit 10.18 to GCE’s Annual Report on Form 10-K filed with the SEC on November 6, 2019.</w:t>
      </w:r>
    </w:p>
    <w:p>
      <w:pPr>
        <w:spacing w:after="0" w:line="635" w:lineRule="exact"/>
        <w:rPr>
          <w:sz w:val="20"/>
          <w:szCs w:val="20"/>
          <w:color w:val="auto"/>
        </w:rPr>
      </w:pPr>
    </w:p>
    <w:p>
      <w:pPr>
        <w:sectPr>
          <w:pgSz w:w="12240" w:h="15840" w:orient="portrait"/>
          <w:cols w:equalWidth="0" w:num="2">
            <w:col w:w="5080" w:space="400"/>
            <w:col w:w="4220"/>
          </w:cols>
          <w:pgMar w:left="1260" w:top="1270" w:right="1280" w:bottom="686" w:gutter="0" w:footer="0" w:header="0"/>
        </w:sectPr>
      </w:pPr>
    </w:p>
    <w:p>
      <w:pPr>
        <w:ind w:left="1000" w:hanging="985"/>
        <w:spacing w:after="0" w:line="258" w:lineRule="auto"/>
        <w:tabs>
          <w:tab w:leader="none" w:pos="9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Modification of Credit Agreement, Dated October 29, 2021, by and between Grand Canyon Education, Inc. and Grand Canyon University.</w:t>
      </w:r>
    </w:p>
    <w:p>
      <w:pPr>
        <w:spacing w:after="0" w:line="179" w:lineRule="exact"/>
        <w:rPr>
          <w:sz w:val="20"/>
          <w:szCs w:val="20"/>
          <w:color w:val="auto"/>
        </w:rPr>
      </w:pPr>
    </w:p>
    <w:p>
      <w:pPr>
        <w:jc w:val="both"/>
        <w:ind w:left="1000" w:right="160" w:hanging="985"/>
        <w:spacing w:after="0" w:line="258" w:lineRule="auto"/>
        <w:tabs>
          <w:tab w:leader="none" w:pos="9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Security Agreement dated October 1, 2024 by and between Grand Canyon Education, Inc. and Zions Bancorporation, N.A.</w:t>
      </w:r>
    </w:p>
    <w:p>
      <w:pPr>
        <w:spacing w:after="0" w:line="20" w:lineRule="exact"/>
        <w:rPr>
          <w:sz w:val="20"/>
          <w:szCs w:val="20"/>
          <w:color w:val="auto"/>
        </w:rPr>
      </w:pPr>
      <w:r>
        <w:rPr>
          <w:sz w:val="20"/>
          <w:szCs w:val="20"/>
          <w:color w:val="auto"/>
        </w:rPr>
        <w:br w:type="column"/>
      </w: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10.1 to GCE’s Quarterly Report on Form 10-Q filed with the SEC on November 2,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Filed herewith.</w:t>
      </w:r>
    </w:p>
    <w:p>
      <w:pPr>
        <w:spacing w:after="0" w:line="689" w:lineRule="exact"/>
        <w:rPr>
          <w:sz w:val="20"/>
          <w:szCs w:val="20"/>
          <w:color w:val="auto"/>
        </w:rPr>
      </w:pPr>
    </w:p>
    <w:p>
      <w:pPr>
        <w:sectPr>
          <w:pgSz w:w="12240" w:h="15840" w:orient="portrait"/>
          <w:cols w:equalWidth="0" w:num="2">
            <w:col w:w="5180" w:space="300"/>
            <w:col w:w="4220"/>
          </w:cols>
          <w:pgMar w:left="1260" w:top="1270" w:right="1280" w:bottom="686"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Pledge and Security Agreement dated October 1,</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30"/>
        </w:trPr>
        <w:tc>
          <w:tcPr>
            <w:tcW w:w="720" w:type="dxa"/>
            <w:vAlign w:val="bottom"/>
          </w:tcPr>
          <w:p>
            <w:pPr>
              <w:spacing w:after="0"/>
              <w:rPr>
                <w:sz w:val="20"/>
                <w:szCs w:val="20"/>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2024 by and between Grand Canyon Education, Inc.</w:t>
            </w:r>
          </w:p>
        </w:tc>
        <w:tc>
          <w:tcPr>
            <w:tcW w:w="2880" w:type="dxa"/>
            <w:vAlign w:val="bottom"/>
          </w:tcPr>
          <w:p>
            <w:pPr>
              <w:spacing w:after="0"/>
              <w:rPr>
                <w:sz w:val="20"/>
                <w:szCs w:val="20"/>
                <w:color w:val="auto"/>
              </w:rPr>
            </w:pPr>
          </w:p>
        </w:tc>
      </w:tr>
      <w:tr>
        <w:trPr>
          <w:trHeight w:val="267"/>
        </w:trPr>
        <w:tc>
          <w:tcPr>
            <w:tcW w:w="720" w:type="dxa"/>
            <w:vAlign w:val="bottom"/>
          </w:tcPr>
          <w:p>
            <w:pPr>
              <w:spacing w:after="0"/>
              <w:rPr>
                <w:sz w:val="23"/>
                <w:szCs w:val="23"/>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and MidFirst Bank.</w:t>
            </w:r>
          </w:p>
        </w:tc>
        <w:tc>
          <w:tcPr>
            <w:tcW w:w="2880" w:type="dxa"/>
            <w:vAlign w:val="bottom"/>
          </w:tcPr>
          <w:p>
            <w:pPr>
              <w:spacing w:after="0"/>
              <w:rPr>
                <w:sz w:val="23"/>
                <w:szCs w:val="23"/>
                <w:color w:val="auto"/>
              </w:rPr>
            </w:pPr>
          </w:p>
        </w:tc>
      </w:tr>
      <w:tr>
        <w:trPr>
          <w:trHeight w:val="46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Insider Trading Policy</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6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21.0</w:t>
            </w: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Subsidiaries of Grand Canyon Education, Inc.</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2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Consent of KPMG LLP, Independent Registered</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67"/>
        </w:trPr>
        <w:tc>
          <w:tcPr>
            <w:tcW w:w="720" w:type="dxa"/>
            <w:vAlign w:val="bottom"/>
          </w:tcPr>
          <w:p>
            <w:pPr>
              <w:spacing w:after="0"/>
              <w:rPr>
                <w:sz w:val="23"/>
                <w:szCs w:val="23"/>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Public Accounting Firm</w:t>
            </w:r>
          </w:p>
        </w:tc>
        <w:tc>
          <w:tcPr>
            <w:tcW w:w="2880" w:type="dxa"/>
            <w:vAlign w:val="bottom"/>
          </w:tcPr>
          <w:p>
            <w:pPr>
              <w:spacing w:after="0"/>
              <w:rPr>
                <w:sz w:val="23"/>
                <w:szCs w:val="23"/>
                <w:color w:val="auto"/>
              </w:rPr>
            </w:pPr>
          </w:p>
        </w:tc>
      </w:tr>
      <w:tr>
        <w:trPr>
          <w:trHeight w:val="46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Power of Attorney</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Filed herewith (on signature page)</w:t>
            </w:r>
          </w:p>
        </w:tc>
      </w:tr>
      <w:tr>
        <w:trPr>
          <w:trHeight w:val="42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Certification of Principal Executive Officer Pursuant</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30"/>
        </w:trPr>
        <w:tc>
          <w:tcPr>
            <w:tcW w:w="720" w:type="dxa"/>
            <w:vAlign w:val="bottom"/>
          </w:tcPr>
          <w:p>
            <w:pPr>
              <w:spacing w:after="0"/>
              <w:rPr>
                <w:sz w:val="20"/>
                <w:szCs w:val="20"/>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 Rule 13a - 14(a) and 15d - 14(a) as Adopted</w:t>
            </w:r>
          </w:p>
        </w:tc>
        <w:tc>
          <w:tcPr>
            <w:tcW w:w="2880" w:type="dxa"/>
            <w:vAlign w:val="bottom"/>
          </w:tcPr>
          <w:p>
            <w:pPr>
              <w:spacing w:after="0"/>
              <w:rPr>
                <w:sz w:val="20"/>
                <w:szCs w:val="20"/>
                <w:color w:val="auto"/>
              </w:rPr>
            </w:pPr>
          </w:p>
        </w:tc>
      </w:tr>
      <w:tr>
        <w:trPr>
          <w:trHeight w:val="230"/>
        </w:trPr>
        <w:tc>
          <w:tcPr>
            <w:tcW w:w="720" w:type="dxa"/>
            <w:vAlign w:val="bottom"/>
          </w:tcPr>
          <w:p>
            <w:pPr>
              <w:spacing w:after="0"/>
              <w:rPr>
                <w:sz w:val="20"/>
                <w:szCs w:val="20"/>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Pursuant to Section 302 of the Sarbanes-Oxley Act</w:t>
            </w:r>
          </w:p>
        </w:tc>
        <w:tc>
          <w:tcPr>
            <w:tcW w:w="2880" w:type="dxa"/>
            <w:vAlign w:val="bottom"/>
          </w:tcPr>
          <w:p>
            <w:pPr>
              <w:spacing w:after="0"/>
              <w:rPr>
                <w:sz w:val="20"/>
                <w:szCs w:val="20"/>
                <w:color w:val="auto"/>
              </w:rPr>
            </w:pPr>
          </w:p>
        </w:tc>
      </w:tr>
      <w:tr>
        <w:trPr>
          <w:trHeight w:val="267"/>
        </w:trPr>
        <w:tc>
          <w:tcPr>
            <w:tcW w:w="720" w:type="dxa"/>
            <w:vAlign w:val="bottom"/>
          </w:tcPr>
          <w:p>
            <w:pPr>
              <w:spacing w:after="0"/>
              <w:rPr>
                <w:sz w:val="23"/>
                <w:szCs w:val="23"/>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of 2002</w:t>
            </w:r>
          </w:p>
        </w:tc>
        <w:tc>
          <w:tcPr>
            <w:tcW w:w="2880" w:type="dxa"/>
            <w:vAlign w:val="bottom"/>
          </w:tcPr>
          <w:p>
            <w:pPr>
              <w:spacing w:after="0"/>
              <w:rPr>
                <w:sz w:val="23"/>
                <w:szCs w:val="23"/>
                <w:color w:val="auto"/>
              </w:rPr>
            </w:pPr>
          </w:p>
        </w:tc>
      </w:tr>
      <w:tr>
        <w:trPr>
          <w:trHeight w:val="910"/>
        </w:trPr>
        <w:tc>
          <w:tcPr>
            <w:tcW w:w="720" w:type="dxa"/>
            <w:vAlign w:val="bottom"/>
          </w:tcPr>
          <w:p>
            <w:pPr>
              <w:spacing w:after="0"/>
              <w:rPr>
                <w:sz w:val="24"/>
                <w:szCs w:val="24"/>
                <w:color w:val="auto"/>
              </w:rPr>
            </w:pPr>
          </w:p>
        </w:tc>
        <w:tc>
          <w:tcPr>
            <w:tcW w:w="4640" w:type="dxa"/>
            <w:vAlign w:val="bottom"/>
          </w:tcPr>
          <w:p>
            <w:pPr>
              <w:ind w:left="4040"/>
              <w:spacing w:after="0"/>
              <w:rPr>
                <w:sz w:val="20"/>
                <w:szCs w:val="20"/>
                <w:color w:val="auto"/>
              </w:rPr>
            </w:pPr>
            <w:r>
              <w:rPr>
                <w:rFonts w:ascii="Times New Roman" w:cs="Times New Roman" w:eastAsia="Times New Roman" w:hAnsi="Times New Roman"/>
                <w:sz w:val="20"/>
                <w:szCs w:val="20"/>
                <w:color w:val="auto"/>
              </w:rPr>
              <w:t>87</w:t>
            </w:r>
          </w:p>
        </w:tc>
        <w:tc>
          <w:tcPr>
            <w:tcW w:w="2880" w:type="dxa"/>
            <w:vAlign w:val="bottom"/>
          </w:tcPr>
          <w:p>
            <w:pPr>
              <w:spacing w:after="0"/>
              <w:rPr>
                <w:sz w:val="24"/>
                <w:szCs w:val="24"/>
                <w:color w:val="auto"/>
              </w:rPr>
            </w:pPr>
          </w:p>
        </w:tc>
      </w:tr>
    </w:tbl>
    <w:p>
      <w:pPr>
        <w:sectPr>
          <w:pgSz w:w="12240" w:h="15840" w:orient="portrait"/>
          <w:cols w:equalWidth="0" w:num="1">
            <w:col w:w="9700"/>
          </w:cols>
          <w:pgMar w:left="1260" w:top="1270" w:right="1280" w:bottom="686" w:gutter="0" w:footer="0" w:header="0"/>
          <w:type w:val="continuous"/>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42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40" w:type="dxa"/>
            <w:vAlign w:val="bottom"/>
          </w:tcPr>
          <w:p>
            <w:pPr>
              <w:spacing w:after="0"/>
              <w:rPr>
                <w:sz w:val="17"/>
                <w:szCs w:val="17"/>
                <w:color w:val="auto"/>
              </w:rPr>
            </w:pPr>
          </w:p>
        </w:tc>
        <w:tc>
          <w:tcPr>
            <w:tcW w:w="42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Method of Filing</w:t>
            </w:r>
          </w:p>
        </w:tc>
      </w:tr>
      <w:tr>
        <w:trPr>
          <w:trHeight w:val="4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w:t>
            </w:r>
          </w:p>
        </w:tc>
        <w:tc>
          <w:tcPr>
            <w:tcW w:w="44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to Rule 13a - 14(a) and 15d - 14(a) as Adopted</w:t>
            </w: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Pursuant to Section 302 of the Sarbanes-Oxley Act</w:t>
            </w: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of 2002</w:t>
            </w:r>
          </w:p>
        </w:tc>
        <w:tc>
          <w:tcPr>
            <w:tcW w:w="240" w:type="dxa"/>
            <w:vAlign w:val="bottom"/>
          </w:tcPr>
          <w:p>
            <w:pPr>
              <w:spacing w:after="0"/>
              <w:rPr>
                <w:sz w:val="23"/>
                <w:szCs w:val="23"/>
                <w:color w:val="auto"/>
              </w:rPr>
            </w:pPr>
          </w:p>
        </w:tc>
        <w:tc>
          <w:tcPr>
            <w:tcW w:w="4240" w:type="dxa"/>
            <w:vAlign w:val="bottom"/>
          </w:tcPr>
          <w:p>
            <w:pPr>
              <w:spacing w:after="0"/>
              <w:rPr>
                <w:sz w:val="23"/>
                <w:szCs w:val="23"/>
                <w:color w:val="auto"/>
              </w:rPr>
            </w:pPr>
          </w:p>
        </w:tc>
      </w:tr>
      <w:tr>
        <w:trPr>
          <w:trHeight w:val="42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w w:val="99"/>
              </w:rPr>
              <w:t>Certification of Principal Executive Officer Pursuant</w:t>
            </w:r>
          </w:p>
        </w:tc>
        <w:tc>
          <w:tcPr>
            <w:tcW w:w="44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to 18 U.S.C. Section 1350, as Adopted Pursuant to</w:t>
            </w:r>
          </w:p>
        </w:tc>
        <w:tc>
          <w:tcPr>
            <w:tcW w:w="24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240" w:type="dxa"/>
            <w:vAlign w:val="bottom"/>
          </w:tcPr>
          <w:p>
            <w:pPr>
              <w:spacing w:after="0"/>
              <w:rPr>
                <w:sz w:val="23"/>
                <w:szCs w:val="23"/>
                <w:color w:val="auto"/>
              </w:rPr>
            </w:pPr>
          </w:p>
        </w:tc>
        <w:tc>
          <w:tcPr>
            <w:tcW w:w="4240" w:type="dxa"/>
            <w:vAlign w:val="bottom"/>
          </w:tcPr>
          <w:p>
            <w:pPr>
              <w:spacing w:after="0"/>
              <w:rPr>
                <w:sz w:val="23"/>
                <w:szCs w:val="23"/>
                <w:color w:val="auto"/>
              </w:rPr>
            </w:pPr>
          </w:p>
        </w:tc>
      </w:tr>
      <w:tr>
        <w:trPr>
          <w:trHeight w:val="42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2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w:t>
            </w:r>
          </w:p>
        </w:tc>
        <w:tc>
          <w:tcPr>
            <w:tcW w:w="44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to 18 U.S.C. Section 1350, as Adopted Pursuant to</w:t>
            </w: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67"/>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240" w:type="dxa"/>
            <w:vAlign w:val="bottom"/>
          </w:tcPr>
          <w:p>
            <w:pPr>
              <w:spacing w:after="0"/>
              <w:rPr>
                <w:sz w:val="23"/>
                <w:szCs w:val="23"/>
                <w:color w:val="auto"/>
              </w:rPr>
            </w:pPr>
          </w:p>
        </w:tc>
        <w:tc>
          <w:tcPr>
            <w:tcW w:w="4240" w:type="dxa"/>
            <w:vAlign w:val="bottom"/>
          </w:tcPr>
          <w:p>
            <w:pPr>
              <w:spacing w:after="0"/>
              <w:rPr>
                <w:sz w:val="23"/>
                <w:szCs w:val="23"/>
                <w:color w:val="auto"/>
              </w:rPr>
            </w:pPr>
          </w:p>
        </w:tc>
      </w:tr>
    </w:tbl>
    <w:p>
      <w:pPr>
        <w:spacing w:after="0" w:line="193" w:lineRule="exact"/>
        <w:rPr>
          <w:sz w:val="20"/>
          <w:szCs w:val="20"/>
          <w:color w:val="auto"/>
        </w:rPr>
      </w:pPr>
    </w:p>
    <w:p>
      <w:pPr>
        <w:sectPr>
          <w:pgSz w:w="12240" w:h="15840" w:orient="portrait"/>
          <w:cols w:equalWidth="0" w:num="1">
            <w:col w:w="9720"/>
          </w:cols>
          <w:pgMar w:left="1260" w:top="1270" w:right="1260" w:bottom="722" w:gutter="0" w:footer="0" w:header="0"/>
        </w:sectPr>
      </w:pPr>
    </w:p>
    <w:p>
      <w:pPr>
        <w:ind w:left="1000" w:right="360" w:hanging="985"/>
        <w:spacing w:after="0" w:line="258" w:lineRule="auto"/>
        <w:tabs>
          <w:tab w:leader="none" w:pos="98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color w:val="auto"/>
        </w:rPr>
        <w:t>Grand Canyon Education, Inc. Recovery of Erroneously-Awarded Incentive Compensation Policy, as adopted October 25, 2023.</w:t>
      </w:r>
    </w:p>
    <w:p>
      <w:pPr>
        <w:spacing w:after="0" w:line="179" w:lineRule="exact"/>
        <w:rPr>
          <w:sz w:val="20"/>
          <w:szCs w:val="20"/>
          <w:color w:val="auto"/>
        </w:rPr>
      </w:pPr>
    </w:p>
    <w:p>
      <w:pPr>
        <w:ind w:left="1000" w:hanging="993"/>
        <w:spacing w:after="0" w:line="244" w:lineRule="auto"/>
        <w:tabs>
          <w:tab w:leader="none" w:pos="100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financial statements from GCE’s Annual Report on Form 10-K for the year ended December 31, 2024, formatted in Inline XBRL: (i) Consolidated Income Statements, (ii) Consolidated Statements of Comprehensive Income, (iii) Consolidated Balance Sheets, (iv) Consolidated Statements of Stockholders’ Equity, (v) Consolidated Statements of Cash Flows, and (vi) Consolidated Financial Statements tagged as blocks of text and including detailed tags.</w:t>
      </w:r>
    </w:p>
    <w:p>
      <w:pPr>
        <w:spacing w:after="0" w:line="20" w:lineRule="exact"/>
        <w:rPr>
          <w:sz w:val="20"/>
          <w:szCs w:val="20"/>
          <w:color w:val="auto"/>
        </w:rPr>
      </w:pPr>
      <w:r>
        <w:rPr>
          <w:sz w:val="20"/>
          <w:szCs w:val="20"/>
          <w:color w:val="auto"/>
        </w:rPr>
        <w:br w:type="column"/>
      </w: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Incorporated by reference to Exhibit 97.1 to GCE’s Annual Report on Form 10-K filed with the SEC on February 13,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Filed herewith.</w:t>
      </w:r>
    </w:p>
    <w:p>
      <w:pPr>
        <w:spacing w:after="0" w:line="2299" w:lineRule="exact"/>
        <w:rPr>
          <w:sz w:val="20"/>
          <w:szCs w:val="20"/>
          <w:color w:val="auto"/>
        </w:rPr>
      </w:pPr>
    </w:p>
    <w:p>
      <w:pPr>
        <w:sectPr>
          <w:pgSz w:w="12240" w:h="15840" w:orient="portrait"/>
          <w:cols w:equalWidth="0" w:num="2">
            <w:col w:w="5140" w:space="340"/>
            <w:col w:w="4240"/>
          </w:cols>
          <w:pgMar w:left="1260" w:top="1270" w:right="1260" w:bottom="722"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3"/>
              </w:rPr>
              <w:t>104</w:t>
            </w:r>
          </w:p>
        </w:tc>
        <w:tc>
          <w:tcPr>
            <w:tcW w:w="60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The cover page from GCE’s Annual Report on Form   Filed herewith.</w:t>
            </w:r>
          </w:p>
        </w:tc>
      </w:tr>
      <w:tr>
        <w:trPr>
          <w:trHeight w:val="230"/>
        </w:trPr>
        <w:tc>
          <w:tcPr>
            <w:tcW w:w="660" w:type="dxa"/>
            <w:vAlign w:val="bottom"/>
          </w:tcPr>
          <w:p>
            <w:pPr>
              <w:spacing w:after="0"/>
              <w:rPr>
                <w:sz w:val="20"/>
                <w:szCs w:val="20"/>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10-K for the year ended December 31, 2024,</w:t>
            </w:r>
          </w:p>
        </w:tc>
      </w:tr>
      <w:tr>
        <w:trPr>
          <w:trHeight w:val="267"/>
        </w:trPr>
        <w:tc>
          <w:tcPr>
            <w:tcW w:w="660" w:type="dxa"/>
            <w:vAlign w:val="bottom"/>
          </w:tcPr>
          <w:p>
            <w:pPr>
              <w:spacing w:after="0"/>
              <w:rPr>
                <w:sz w:val="23"/>
                <w:szCs w:val="23"/>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formatted in Inline XBRL (included as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241300</wp:posOffset>
                </wp:positionV>
                <wp:extent cx="154178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9pt" to="121.65pt,19pt" o:allowincell="f" strokecolor="#000000" strokeweight="1.02pt"/>
            </w:pict>
          </mc:Fallback>
        </mc:AlternateContent>
      </w:r>
    </w:p>
    <w:p>
      <w:pPr>
        <w:spacing w:after="0" w:line="200" w:lineRule="exact"/>
        <w:rPr>
          <w:sz w:val="20"/>
          <w:szCs w:val="20"/>
          <w:color w:val="auto"/>
        </w:rPr>
      </w:pPr>
    </w:p>
    <w:p>
      <w:pPr>
        <w:spacing w:after="0" w:line="203" w:lineRule="exact"/>
        <w:rPr>
          <w:sz w:val="20"/>
          <w:szCs w:val="20"/>
          <w:color w:val="auto"/>
        </w:rPr>
      </w:pPr>
    </w:p>
    <w:p>
      <w:pPr>
        <w:ind w:left="360" w:hanging="353"/>
        <w:spacing w:after="0"/>
        <w:tabs>
          <w:tab w:leader="none" w:pos="3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any compensatory plan, contract or arrangement.</w:t>
      </w:r>
    </w:p>
    <w:p>
      <w:pPr>
        <w:spacing w:after="0" w:line="120" w:lineRule="exact"/>
        <w:rPr>
          <w:sz w:val="20"/>
          <w:szCs w:val="20"/>
          <w:color w:val="auto"/>
        </w:rPr>
      </w:pPr>
    </w:p>
    <w:p>
      <w:pPr>
        <w:ind w:left="360" w:right="540" w:hanging="353"/>
        <w:spacing w:after="0" w:line="258" w:lineRule="auto"/>
        <w:tabs>
          <w:tab w:leader="none" w:pos="35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and similar attachments have been omitted pursuant to Item 601(b)(2) of Regulation S-K. GCE will furnish supplementally a copy of any omitted schedule or similar attachment to the Securities and Exchange Commission upon request.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Certain portions of this document have been redacted pursuant to Regulation S-K, Item 601(b)(10)(iv).</w:t>
      </w:r>
    </w:p>
    <w:p>
      <w:pPr>
        <w:spacing w:after="0" w:line="119" w:lineRule="exact"/>
        <w:rPr>
          <w:sz w:val="20"/>
          <w:szCs w:val="20"/>
          <w:color w:val="auto"/>
        </w:rPr>
      </w:pPr>
    </w:p>
    <w:p>
      <w:pPr>
        <w:ind w:left="360" w:right="240" w:hanging="353"/>
        <w:spacing w:after="0" w:line="253" w:lineRule="auto"/>
        <w:tabs>
          <w:tab w:leader="none" w:pos="35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being furnished solely to accompany this report pursuant to 18 U.S.C. Section 1350 and is not being filed for purposes of Section 18 of the Exchange Act, and is not to be incorporated by reference into any filings of GCE,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720"/>
          </w:cols>
          <w:pgMar w:left="1260" w:top="1270" w:right="1260" w:bottom="722" w:gutter="0" w:footer="0" w:header="0"/>
          <w:type w:val="continuous"/>
        </w:sectPr>
      </w:pPr>
    </w:p>
    <w:bookmarkStart w:id="90" w:name="page91"/>
    <w:bookmarkEnd w:id="90"/>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Brian E. Mueller</w:t>
      </w:r>
    </w:p>
    <w:p>
      <w:pPr>
        <w:spacing w:after="0" w:line="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Name: Brian E. Mueller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3290570</wp:posOffset>
                </wp:positionH>
                <wp:positionV relativeFrom="paragraph">
                  <wp:posOffset>-140970</wp:posOffset>
                </wp:positionV>
                <wp:extent cx="287655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65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1pt,-11.0999pt" to="485.6pt,-11.0999pt" o:allowincell="f" strokecolor="#000000" strokeweight="0.4799pt"/>
            </w:pict>
          </mc:Fallback>
        </mc:AlternateConten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Title: Chief Executive Officer</w:t>
      </w:r>
    </w:p>
    <w:p>
      <w:pPr>
        <w:ind w:left="5180"/>
        <w:spacing w:after="0"/>
        <w:rPr>
          <w:sz w:val="20"/>
          <w:szCs w:val="20"/>
          <w:color w:val="auto"/>
        </w:rPr>
      </w:pPr>
      <w:r>
        <w:rPr>
          <w:rFonts w:ascii="Times New Roman" w:cs="Times New Roman" w:eastAsia="Times New Roman" w:hAnsi="Times New Roman"/>
          <w:sz w:val="20"/>
          <w:szCs w:val="20"/>
          <w:color w:val="auto"/>
        </w:rPr>
        <w:t>Dated: February 19, 2025</w:t>
      </w:r>
    </w:p>
    <w:p>
      <w:pPr>
        <w:spacing w:after="0" w:line="202"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KNOW ALL MEN BY THESE PRESENTS, that each person whose signature appears below constitutes and appoints Brian E. Mueller, Daniel E. Bachus, and Sarah S. Collins, and each of them, his or her true and lawful attorneys-in-fact and agents, with full power of substitution and resubstitution, for him or her and in his or her name, place and stead, in any and all capacities, to sign any and all amendments to this Annual Report on Form 10 - 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substitute or substitutes, may lawfully do or cause to be done by virtue hereof.</w:t>
      </w:r>
    </w:p>
    <w:p>
      <w:pPr>
        <w:spacing w:after="0" w:line="86"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20" w:type="dxa"/>
            <w:vAlign w:val="bottom"/>
          </w:tcPr>
          <w:p>
            <w:pPr>
              <w:spacing w:after="0"/>
              <w:rPr>
                <w:sz w:val="17"/>
                <w:szCs w:val="17"/>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40" w:type="dxa"/>
            <w:vAlign w:val="bottom"/>
          </w:tcPr>
          <w:p>
            <w:pPr>
              <w:spacing w:after="0"/>
              <w:rPr>
                <w:sz w:val="17"/>
                <w:szCs w:val="17"/>
                <w:color w:val="auto"/>
              </w:rPr>
            </w:pPr>
          </w:p>
        </w:tc>
        <w:tc>
          <w:tcPr>
            <w:tcW w:w="27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449"/>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Brian E. Mueller</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Chairman</w:t>
            </w:r>
          </w:p>
        </w:tc>
        <w:tc>
          <w:tcPr>
            <w:tcW w:w="240" w:type="dxa"/>
            <w:vAlign w:val="bottom"/>
          </w:tcPr>
          <w:p>
            <w:pPr>
              <w:spacing w:after="0"/>
              <w:rPr>
                <w:sz w:val="24"/>
                <w:szCs w:val="24"/>
                <w:color w:val="auto"/>
              </w:rPr>
            </w:pPr>
          </w:p>
        </w:tc>
        <w:tc>
          <w:tcPr>
            <w:tcW w:w="2700" w:type="dxa"/>
            <w:vAlign w:val="bottom"/>
          </w:tcPr>
          <w:p>
            <w:pPr>
              <w:jc w:val="right"/>
              <w:ind w:right="1150"/>
              <w:spacing w:after="0"/>
              <w:rPr>
                <w:sz w:val="20"/>
                <w:szCs w:val="20"/>
                <w:color w:val="auto"/>
              </w:rPr>
            </w:pPr>
            <w:r>
              <w:rPr>
                <w:rFonts w:ascii="Times New Roman" w:cs="Times New Roman" w:eastAsia="Times New Roman" w:hAnsi="Times New Roman"/>
                <w:sz w:val="20"/>
                <w:szCs w:val="20"/>
                <w:color w:val="auto"/>
                <w:w w:val="97"/>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Brian E. Mueller</w:t>
            </w:r>
          </w:p>
        </w:tc>
        <w:tc>
          <w:tcPr>
            <w:tcW w:w="22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42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Daniel E. Bachus</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29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Daniel E. Bachus</w:t>
            </w:r>
          </w:p>
        </w:tc>
        <w:tc>
          <w:tcPr>
            <w:tcW w:w="22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4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Lori Browning</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SVP, Controller –Chief Accounting Officer</w:t>
            </w:r>
          </w:p>
        </w:tc>
        <w:tc>
          <w:tcPr>
            <w:tcW w:w="29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Lori Browning</w:t>
            </w:r>
          </w:p>
        </w:tc>
        <w:tc>
          <w:tcPr>
            <w:tcW w:w="22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Accounting Officer)</w:t>
            </w: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4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Sara Ward</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9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Sara Ward</w:t>
            </w:r>
          </w:p>
        </w:tc>
        <w:tc>
          <w:tcPr>
            <w:tcW w:w="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42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Jack A. Henry</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9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Jack A. Henry</w:t>
            </w:r>
          </w:p>
        </w:tc>
        <w:tc>
          <w:tcPr>
            <w:tcW w:w="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4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Lisa Graham Keegan</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9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Lisa Graham Keegan</w:t>
            </w:r>
          </w:p>
        </w:tc>
        <w:tc>
          <w:tcPr>
            <w:tcW w:w="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4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Chevy Humphrey</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9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Chevy Humphrey</w:t>
            </w:r>
          </w:p>
        </w:tc>
        <w:tc>
          <w:tcPr>
            <w:tcW w:w="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4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Kevin F. Warren</w:t>
            </w:r>
          </w:p>
        </w:tc>
        <w:tc>
          <w:tcPr>
            <w:tcW w:w="2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9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rPr>
              <w:t>February 19, 2025</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Kevin F. Warren</w:t>
            </w:r>
          </w:p>
        </w:tc>
        <w:tc>
          <w:tcPr>
            <w:tcW w:w="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720"/>
          </w:cols>
          <w:pgMar w:left="1260" w:top="1440" w:right="1260" w:bottom="722"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92" w:name="page93"/>
    <w:bookmarkEnd w:id="92"/>
    <w:p>
      <w:pPr>
        <w:jc w:val="center"/>
        <w:ind w:right="-279"/>
        <w:spacing w:after="0"/>
        <w:rPr>
          <w:sz w:val="20"/>
          <w:szCs w:val="20"/>
          <w:color w:val="auto"/>
        </w:rPr>
      </w:pPr>
      <w:r>
        <w:rPr>
          <w:rFonts w:ascii="Arial" w:cs="Arial" w:eastAsia="Arial" w:hAnsi="Arial"/>
          <w:sz w:val="36"/>
          <w:szCs w:val="36"/>
          <w:b w:val="1"/>
          <w:bCs w:val="1"/>
          <w:color w:val="00070E"/>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G R A N D C A N YO N E D U C AT I O N</w:t>
      </w:r>
    </w:p>
    <w:p>
      <w:pPr>
        <w:spacing w:after="0" w:line="208" w:lineRule="exact"/>
        <w:rPr>
          <w:sz w:val="20"/>
          <w:szCs w:val="20"/>
          <w:color w:val="auto"/>
        </w:rPr>
      </w:pPr>
    </w:p>
    <w:p>
      <w:pPr>
        <w:ind w:left="2800"/>
        <w:spacing w:after="0"/>
        <w:rPr>
          <w:sz w:val="20"/>
          <w:szCs w:val="20"/>
          <w:color w:val="auto"/>
        </w:rPr>
      </w:pPr>
      <w:r>
        <w:rPr>
          <w:rFonts w:ascii="Arial" w:cs="Arial" w:eastAsia="Arial" w:hAnsi="Arial"/>
          <w:sz w:val="28"/>
          <w:szCs w:val="28"/>
          <w:color w:val="00070E"/>
        </w:rPr>
        <w:t>C O R P O R AT E I N F O R M AT I O 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000" w:type="dxa"/>
            <w:vAlign w:val="bottom"/>
          </w:tcPr>
          <w:p>
            <w:pPr>
              <w:spacing w:after="0"/>
              <w:rPr>
                <w:sz w:val="20"/>
                <w:szCs w:val="20"/>
                <w:color w:val="auto"/>
              </w:rPr>
            </w:pPr>
            <w:r>
              <w:rPr>
                <w:rFonts w:ascii="Arial" w:cs="Arial" w:eastAsia="Arial" w:hAnsi="Arial"/>
                <w:sz w:val="18"/>
                <w:szCs w:val="18"/>
                <w:b w:val="1"/>
                <w:bCs w:val="1"/>
                <w:color w:val="00070E"/>
              </w:rPr>
              <w:t>PRIMARY IR CONTACT</w:t>
            </w:r>
          </w:p>
        </w:tc>
        <w:tc>
          <w:tcPr>
            <w:tcW w:w="4000" w:type="dxa"/>
            <w:vAlign w:val="bottom"/>
          </w:tcPr>
          <w:p>
            <w:pPr>
              <w:ind w:left="600"/>
              <w:spacing w:after="0"/>
              <w:rPr>
                <w:sz w:val="20"/>
                <w:szCs w:val="20"/>
                <w:color w:val="auto"/>
              </w:rPr>
            </w:pPr>
            <w:r>
              <w:rPr>
                <w:rFonts w:ascii="Arial" w:cs="Arial" w:eastAsia="Arial" w:hAnsi="Arial"/>
                <w:sz w:val="18"/>
                <w:szCs w:val="18"/>
                <w:b w:val="1"/>
                <w:bCs w:val="1"/>
                <w:color w:val="00070E"/>
              </w:rPr>
              <w:t>TRANSFER AGENT</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00070E"/>
              </w:rPr>
              <w:t>ACCOUNTANTS</w:t>
            </w:r>
          </w:p>
        </w:tc>
        <w:tc>
          <w:tcPr>
            <w:tcW w:w="0" w:type="dxa"/>
            <w:vAlign w:val="bottom"/>
          </w:tcPr>
          <w:p>
            <w:pPr>
              <w:spacing w:after="0"/>
              <w:rPr>
                <w:sz w:val="1"/>
                <w:szCs w:val="1"/>
                <w:color w:val="auto"/>
              </w:rPr>
            </w:pPr>
          </w:p>
        </w:tc>
      </w:tr>
      <w:tr>
        <w:trPr>
          <w:trHeight w:val="260"/>
        </w:trPr>
        <w:tc>
          <w:tcPr>
            <w:tcW w:w="3000" w:type="dxa"/>
            <w:vAlign w:val="bottom"/>
          </w:tcPr>
          <w:p>
            <w:pPr>
              <w:spacing w:after="0"/>
              <w:rPr>
                <w:sz w:val="20"/>
                <w:szCs w:val="20"/>
                <w:color w:val="auto"/>
              </w:rPr>
            </w:pPr>
            <w:r>
              <w:rPr>
                <w:rFonts w:ascii="Arial" w:cs="Arial" w:eastAsia="Arial" w:hAnsi="Arial"/>
                <w:sz w:val="18"/>
                <w:szCs w:val="18"/>
                <w:b w:val="1"/>
                <w:bCs w:val="1"/>
                <w:color w:val="00070E"/>
              </w:rPr>
              <w:t>Daniel E. Bachus</w:t>
            </w:r>
          </w:p>
        </w:tc>
        <w:tc>
          <w:tcPr>
            <w:tcW w:w="4000" w:type="dxa"/>
            <w:vAlign w:val="bottom"/>
          </w:tcPr>
          <w:p>
            <w:pPr>
              <w:ind w:left="600"/>
              <w:spacing w:after="0"/>
              <w:rPr>
                <w:sz w:val="20"/>
                <w:szCs w:val="20"/>
                <w:color w:val="auto"/>
              </w:rPr>
            </w:pPr>
            <w:r>
              <w:rPr>
                <w:rFonts w:ascii="Arial" w:cs="Arial" w:eastAsia="Arial" w:hAnsi="Arial"/>
                <w:sz w:val="18"/>
                <w:szCs w:val="18"/>
                <w:b w:val="1"/>
                <w:bCs w:val="1"/>
                <w:color w:val="00070E"/>
              </w:rPr>
              <w:t>Computershare Investor Services</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00070E"/>
              </w:rPr>
              <w:t>KPMG LLP</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i w:val="1"/>
                <w:iCs w:val="1"/>
                <w:color w:val="00070E"/>
              </w:rPr>
              <w:t>Chief Financial Officer</w:t>
            </w:r>
          </w:p>
        </w:tc>
        <w:tc>
          <w:tcPr>
            <w:tcW w:w="4000" w:type="dxa"/>
            <w:vAlign w:val="bottom"/>
          </w:tcPr>
          <w:p>
            <w:pPr>
              <w:ind w:left="600"/>
              <w:spacing w:after="0"/>
              <w:rPr>
                <w:sz w:val="20"/>
                <w:szCs w:val="20"/>
                <w:color w:val="auto"/>
              </w:rPr>
            </w:pPr>
            <w:r>
              <w:rPr>
                <w:rFonts w:ascii="Arial" w:cs="Arial" w:eastAsia="Arial" w:hAnsi="Arial"/>
                <w:sz w:val="18"/>
                <w:szCs w:val="18"/>
                <w:color w:val="00070E"/>
              </w:rPr>
              <w:t>PO Box 43006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00070E"/>
              </w:rPr>
              <w:t>Grand Canyon Education</w:t>
            </w:r>
          </w:p>
        </w:tc>
        <w:tc>
          <w:tcPr>
            <w:tcW w:w="4000" w:type="dxa"/>
            <w:vAlign w:val="bottom"/>
          </w:tcPr>
          <w:p>
            <w:pPr>
              <w:ind w:left="600"/>
              <w:spacing w:after="0"/>
              <w:rPr>
                <w:sz w:val="20"/>
                <w:szCs w:val="20"/>
                <w:color w:val="auto"/>
              </w:rPr>
            </w:pPr>
            <w:r>
              <w:rPr>
                <w:rFonts w:ascii="Arial" w:cs="Arial" w:eastAsia="Arial" w:hAnsi="Arial"/>
                <w:sz w:val="18"/>
                <w:szCs w:val="18"/>
                <w:color w:val="00070E"/>
              </w:rPr>
              <w:t>Providence, RI 02940-3006</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000" w:type="dxa"/>
            <w:vAlign w:val="bottom"/>
            <w:vMerge w:val="continue"/>
          </w:tcPr>
          <w:p>
            <w:pPr>
              <w:spacing w:after="0"/>
              <w:rPr>
                <w:sz w:val="4"/>
                <w:szCs w:val="4"/>
                <w:color w:val="auto"/>
              </w:rPr>
            </w:pPr>
          </w:p>
        </w:tc>
        <w:tc>
          <w:tcPr>
            <w:tcW w:w="40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00070E"/>
              </w:rPr>
              <w:t>2600 W. Camelback Road</w:t>
            </w:r>
          </w:p>
        </w:tc>
        <w:tc>
          <w:tcPr>
            <w:tcW w:w="4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0"/>
                <w:szCs w:val="20"/>
                <w:color w:val="auto"/>
              </w:rPr>
            </w:pPr>
            <w:r>
              <w:rPr>
                <w:rFonts w:ascii="Arial" w:cs="Arial" w:eastAsia="Arial" w:hAnsi="Arial"/>
                <w:sz w:val="18"/>
                <w:szCs w:val="18"/>
                <w:color w:val="00070E"/>
              </w:rPr>
              <w:t>Phoenix, AZ 85017</w:t>
            </w:r>
          </w:p>
        </w:tc>
        <w:tc>
          <w:tcPr>
            <w:tcW w:w="40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000" w:type="dxa"/>
            <w:vAlign w:val="bottom"/>
          </w:tcPr>
          <w:p>
            <w:pPr>
              <w:spacing w:after="0"/>
              <w:rPr>
                <w:sz w:val="20"/>
                <w:szCs w:val="20"/>
                <w:color w:val="auto"/>
              </w:rPr>
            </w:pPr>
            <w:r>
              <w:rPr>
                <w:rFonts w:ascii="Arial" w:cs="Arial" w:eastAsia="Arial" w:hAnsi="Arial"/>
                <w:sz w:val="18"/>
                <w:szCs w:val="18"/>
                <w:b w:val="1"/>
                <w:bCs w:val="1"/>
                <w:color w:val="00070E"/>
              </w:rPr>
              <w:t xml:space="preserve">Phone: </w:t>
            </w:r>
            <w:r>
              <w:rPr>
                <w:rFonts w:ascii="Arial" w:cs="Arial" w:eastAsia="Arial" w:hAnsi="Arial"/>
                <w:sz w:val="18"/>
                <w:szCs w:val="18"/>
                <w:color w:val="00070E"/>
              </w:rPr>
              <w:t>602-247-4400</w:t>
            </w:r>
          </w:p>
        </w:tc>
        <w:tc>
          <w:tcPr>
            <w:tcW w:w="4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000" w:type="dxa"/>
            <w:vAlign w:val="bottom"/>
          </w:tcPr>
          <w:p>
            <w:pPr>
              <w:spacing w:after="0"/>
              <w:rPr>
                <w:sz w:val="20"/>
                <w:szCs w:val="20"/>
                <w:color w:val="auto"/>
              </w:rPr>
            </w:pPr>
            <w:r>
              <w:rPr>
                <w:rFonts w:ascii="Arial" w:cs="Arial" w:eastAsia="Arial" w:hAnsi="Arial"/>
                <w:sz w:val="18"/>
                <w:szCs w:val="18"/>
                <w:b w:val="1"/>
                <w:bCs w:val="1"/>
                <w:color w:val="00070E"/>
              </w:rPr>
              <w:t xml:space="preserve">Website: </w:t>
            </w:r>
            <w:r>
              <w:rPr>
                <w:rFonts w:ascii="Arial" w:cs="Arial" w:eastAsia="Arial" w:hAnsi="Arial"/>
                <w:sz w:val="18"/>
                <w:szCs w:val="18"/>
                <w:color w:val="00070E"/>
              </w:rPr>
              <w:t>gce.com</w:t>
            </w:r>
          </w:p>
        </w:tc>
        <w:tc>
          <w:tcPr>
            <w:tcW w:w="4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070E"/>
        </w:rPr>
        <w:t>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00070E"/>
        </w:rPr>
        <w:t>The Company’s common stock trades on the Nasdaq Global Market under the symbol LOPE.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070E"/>
        </w:rPr>
        <w:t>ANNUAL MEETING OF STOCKHOLDERS</w:t>
      </w:r>
    </w:p>
    <w:p>
      <w:pPr>
        <w:spacing w:after="0" w:line="105" w:lineRule="exact"/>
        <w:rPr>
          <w:sz w:val="20"/>
          <w:szCs w:val="20"/>
          <w:color w:val="auto"/>
        </w:rPr>
      </w:pPr>
    </w:p>
    <w:p>
      <w:pPr>
        <w:spacing w:after="0" w:line="309" w:lineRule="auto"/>
        <w:rPr>
          <w:sz w:val="20"/>
          <w:szCs w:val="20"/>
          <w:color w:val="auto"/>
        </w:rPr>
      </w:pPr>
      <w:r>
        <w:rPr>
          <w:rFonts w:ascii="Arial" w:cs="Arial" w:eastAsia="Arial" w:hAnsi="Arial"/>
          <w:sz w:val="18"/>
          <w:szCs w:val="18"/>
          <w:color w:val="00070E"/>
        </w:rPr>
        <w:t>The Company’s Annual Meeting of Stockholders will be held at 10:30 a.m., Arizona Time, on Tuesday, June 10, 2025 at the offices of Grand Canyon Education, Inc. located at 2600 W. Camelback Road, Phoenix, AZ 85017.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80" w:type="dxa"/>
            <w:vAlign w:val="bottom"/>
          </w:tcPr>
          <w:p>
            <w:pPr>
              <w:spacing w:after="0"/>
              <w:rPr>
                <w:sz w:val="20"/>
                <w:szCs w:val="20"/>
                <w:color w:val="auto"/>
              </w:rPr>
            </w:pPr>
            <w:r>
              <w:rPr>
                <w:rFonts w:ascii="Arial" w:cs="Arial" w:eastAsia="Arial" w:hAnsi="Arial"/>
                <w:sz w:val="18"/>
                <w:szCs w:val="18"/>
                <w:b w:val="1"/>
                <w:bCs w:val="1"/>
                <w:color w:val="00070E"/>
              </w:rPr>
              <w:t>BOARD OF DIRECTORS</w:t>
            </w:r>
          </w:p>
        </w:tc>
        <w:tc>
          <w:tcPr>
            <w:tcW w:w="36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64"/>
        </w:trPr>
        <w:tc>
          <w:tcPr>
            <w:tcW w:w="2980" w:type="dxa"/>
            <w:vAlign w:val="bottom"/>
          </w:tcPr>
          <w:p>
            <w:pPr>
              <w:spacing w:after="0"/>
              <w:rPr>
                <w:sz w:val="20"/>
                <w:szCs w:val="20"/>
                <w:color w:val="auto"/>
              </w:rPr>
            </w:pPr>
            <w:r>
              <w:rPr>
                <w:rFonts w:ascii="Arial" w:cs="Arial" w:eastAsia="Arial" w:hAnsi="Arial"/>
                <w:sz w:val="18"/>
                <w:szCs w:val="18"/>
                <w:b w:val="1"/>
                <w:bCs w:val="1"/>
                <w:color w:val="00070E"/>
              </w:rPr>
              <w:t>Brian E. Mueller</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00070E"/>
              </w:rPr>
              <w:t>Sara Ward</w:t>
            </w:r>
          </w:p>
        </w:tc>
        <w:tc>
          <w:tcPr>
            <w:tcW w:w="2900" w:type="dxa"/>
            <w:vAlign w:val="bottom"/>
          </w:tcPr>
          <w:p>
            <w:pPr>
              <w:ind w:left="640"/>
              <w:spacing w:after="0"/>
              <w:rPr>
                <w:sz w:val="20"/>
                <w:szCs w:val="20"/>
                <w:color w:val="auto"/>
              </w:rPr>
            </w:pPr>
            <w:r>
              <w:rPr>
                <w:rFonts w:ascii="Arial" w:cs="Arial" w:eastAsia="Arial" w:hAnsi="Arial"/>
                <w:sz w:val="18"/>
                <w:szCs w:val="18"/>
                <w:b w:val="1"/>
                <w:bCs w:val="1"/>
                <w:color w:val="00070E"/>
              </w:rPr>
              <w:t>Jack A. Henry</w:t>
            </w:r>
          </w:p>
        </w:tc>
      </w:tr>
      <w:tr>
        <w:trPr>
          <w:trHeight w:val="216"/>
        </w:trPr>
        <w:tc>
          <w:tcPr>
            <w:tcW w:w="2980" w:type="dxa"/>
            <w:vAlign w:val="bottom"/>
          </w:tcPr>
          <w:p>
            <w:pPr>
              <w:spacing w:after="0"/>
              <w:rPr>
                <w:sz w:val="20"/>
                <w:szCs w:val="20"/>
                <w:color w:val="auto"/>
              </w:rPr>
            </w:pPr>
            <w:r>
              <w:rPr>
                <w:rFonts w:ascii="Arial" w:cs="Arial" w:eastAsia="Arial" w:hAnsi="Arial"/>
                <w:sz w:val="18"/>
                <w:szCs w:val="18"/>
                <w:i w:val="1"/>
                <w:iCs w:val="1"/>
                <w:color w:val="00070E"/>
              </w:rPr>
              <w:t>Chief Executive Officer</w:t>
            </w:r>
          </w:p>
        </w:tc>
        <w:tc>
          <w:tcPr>
            <w:tcW w:w="3600" w:type="dxa"/>
            <w:vAlign w:val="bottom"/>
          </w:tcPr>
          <w:p>
            <w:pPr>
              <w:ind w:left="620"/>
              <w:spacing w:after="0"/>
              <w:rPr>
                <w:sz w:val="20"/>
                <w:szCs w:val="20"/>
                <w:color w:val="auto"/>
              </w:rPr>
            </w:pPr>
            <w:r>
              <w:rPr>
                <w:rFonts w:ascii="Arial" w:cs="Arial" w:eastAsia="Arial" w:hAnsi="Arial"/>
                <w:sz w:val="18"/>
                <w:szCs w:val="18"/>
                <w:i w:val="1"/>
                <w:iCs w:val="1"/>
                <w:color w:val="00070E"/>
              </w:rPr>
              <w:t>Director</w:t>
            </w:r>
          </w:p>
        </w:tc>
        <w:tc>
          <w:tcPr>
            <w:tcW w:w="2900" w:type="dxa"/>
            <w:vAlign w:val="bottom"/>
          </w:tcPr>
          <w:p>
            <w:pPr>
              <w:ind w:left="640"/>
              <w:spacing w:after="0"/>
              <w:rPr>
                <w:sz w:val="20"/>
                <w:szCs w:val="20"/>
                <w:color w:val="auto"/>
              </w:rPr>
            </w:pPr>
            <w:r>
              <w:rPr>
                <w:rFonts w:ascii="Arial" w:cs="Arial" w:eastAsia="Arial" w:hAnsi="Arial"/>
                <w:sz w:val="18"/>
                <w:szCs w:val="18"/>
                <w:i w:val="1"/>
                <w:iCs w:val="1"/>
                <w:color w:val="00070E"/>
              </w:rPr>
              <w:t>Director</w:t>
            </w:r>
          </w:p>
        </w:tc>
      </w:tr>
      <w:tr>
        <w:trPr>
          <w:trHeight w:val="258"/>
        </w:trPr>
        <w:tc>
          <w:tcPr>
            <w:tcW w:w="2980" w:type="dxa"/>
            <w:vAlign w:val="bottom"/>
          </w:tcPr>
          <w:p>
            <w:pPr>
              <w:spacing w:after="0"/>
              <w:rPr>
                <w:sz w:val="20"/>
                <w:szCs w:val="20"/>
                <w:color w:val="auto"/>
              </w:rPr>
            </w:pPr>
            <w:r>
              <w:rPr>
                <w:rFonts w:ascii="Arial" w:cs="Arial" w:eastAsia="Arial" w:hAnsi="Arial"/>
                <w:sz w:val="18"/>
                <w:szCs w:val="18"/>
                <w:i w:val="1"/>
                <w:iCs w:val="1"/>
                <w:color w:val="00070E"/>
              </w:rPr>
              <w:t>and Chairman</w:t>
            </w:r>
          </w:p>
        </w:tc>
        <w:tc>
          <w:tcPr>
            <w:tcW w:w="36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64"/>
        </w:trPr>
        <w:tc>
          <w:tcPr>
            <w:tcW w:w="2980" w:type="dxa"/>
            <w:vAlign w:val="bottom"/>
          </w:tcPr>
          <w:p>
            <w:pPr>
              <w:spacing w:after="0"/>
              <w:rPr>
                <w:sz w:val="20"/>
                <w:szCs w:val="20"/>
                <w:color w:val="auto"/>
              </w:rPr>
            </w:pPr>
            <w:r>
              <w:rPr>
                <w:rFonts w:ascii="Arial" w:cs="Arial" w:eastAsia="Arial" w:hAnsi="Arial"/>
                <w:sz w:val="18"/>
                <w:szCs w:val="18"/>
                <w:b w:val="1"/>
                <w:bCs w:val="1"/>
                <w:color w:val="00070E"/>
              </w:rPr>
              <w:t>Chevy Humphrey</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00070E"/>
              </w:rPr>
              <w:t>Lisa Graham Keegan</w:t>
            </w:r>
          </w:p>
        </w:tc>
        <w:tc>
          <w:tcPr>
            <w:tcW w:w="2900" w:type="dxa"/>
            <w:vAlign w:val="bottom"/>
          </w:tcPr>
          <w:p>
            <w:pPr>
              <w:ind w:left="640"/>
              <w:spacing w:after="0"/>
              <w:rPr>
                <w:sz w:val="20"/>
                <w:szCs w:val="20"/>
                <w:color w:val="auto"/>
              </w:rPr>
            </w:pPr>
            <w:r>
              <w:rPr>
                <w:rFonts w:ascii="Arial" w:cs="Arial" w:eastAsia="Arial" w:hAnsi="Arial"/>
                <w:sz w:val="18"/>
                <w:szCs w:val="18"/>
                <w:b w:val="1"/>
                <w:bCs w:val="1"/>
                <w:color w:val="00070E"/>
              </w:rPr>
              <w:t>Kevin F. Warren</w:t>
            </w:r>
          </w:p>
        </w:tc>
      </w:tr>
      <w:tr>
        <w:trPr>
          <w:trHeight w:val="258"/>
        </w:trPr>
        <w:tc>
          <w:tcPr>
            <w:tcW w:w="2980" w:type="dxa"/>
            <w:vAlign w:val="bottom"/>
          </w:tcPr>
          <w:p>
            <w:pPr>
              <w:spacing w:after="0"/>
              <w:rPr>
                <w:sz w:val="20"/>
                <w:szCs w:val="20"/>
                <w:color w:val="auto"/>
              </w:rPr>
            </w:pPr>
            <w:r>
              <w:rPr>
                <w:rFonts w:ascii="Arial" w:cs="Arial" w:eastAsia="Arial" w:hAnsi="Arial"/>
                <w:sz w:val="18"/>
                <w:szCs w:val="18"/>
                <w:i w:val="1"/>
                <w:iCs w:val="1"/>
                <w:color w:val="00070E"/>
              </w:rPr>
              <w:t>Director</w:t>
            </w:r>
          </w:p>
        </w:tc>
        <w:tc>
          <w:tcPr>
            <w:tcW w:w="3600" w:type="dxa"/>
            <w:vAlign w:val="bottom"/>
          </w:tcPr>
          <w:p>
            <w:pPr>
              <w:ind w:left="620"/>
              <w:spacing w:after="0"/>
              <w:rPr>
                <w:sz w:val="20"/>
                <w:szCs w:val="20"/>
                <w:color w:val="auto"/>
              </w:rPr>
            </w:pPr>
            <w:r>
              <w:rPr>
                <w:rFonts w:ascii="Arial" w:cs="Arial" w:eastAsia="Arial" w:hAnsi="Arial"/>
                <w:sz w:val="18"/>
                <w:szCs w:val="18"/>
                <w:i w:val="1"/>
                <w:iCs w:val="1"/>
                <w:color w:val="00070E"/>
              </w:rPr>
              <w:t>Director</w:t>
            </w:r>
          </w:p>
        </w:tc>
        <w:tc>
          <w:tcPr>
            <w:tcW w:w="2900" w:type="dxa"/>
            <w:vAlign w:val="bottom"/>
          </w:tcPr>
          <w:p>
            <w:pPr>
              <w:ind w:left="640"/>
              <w:spacing w:after="0"/>
              <w:rPr>
                <w:sz w:val="20"/>
                <w:szCs w:val="20"/>
                <w:color w:val="auto"/>
              </w:rPr>
            </w:pPr>
            <w:r>
              <w:rPr>
                <w:rFonts w:ascii="Arial" w:cs="Arial" w:eastAsia="Arial" w:hAnsi="Arial"/>
                <w:sz w:val="18"/>
                <w:szCs w:val="18"/>
                <w:i w:val="1"/>
                <w:iCs w:val="1"/>
                <w:color w:val="00070E"/>
              </w:rPr>
              <w:t>Director</w:t>
            </w:r>
          </w:p>
        </w:tc>
      </w:tr>
      <w:tr>
        <w:trPr>
          <w:trHeight w:val="918"/>
        </w:trPr>
        <w:tc>
          <w:tcPr>
            <w:tcW w:w="2980" w:type="dxa"/>
            <w:vAlign w:val="bottom"/>
          </w:tcPr>
          <w:p>
            <w:pPr>
              <w:spacing w:after="0"/>
              <w:rPr>
                <w:sz w:val="20"/>
                <w:szCs w:val="20"/>
                <w:color w:val="auto"/>
              </w:rPr>
            </w:pPr>
            <w:r>
              <w:rPr>
                <w:rFonts w:ascii="Arial" w:cs="Arial" w:eastAsia="Arial" w:hAnsi="Arial"/>
                <w:sz w:val="18"/>
                <w:szCs w:val="18"/>
                <w:b w:val="1"/>
                <w:bCs w:val="1"/>
                <w:color w:val="00070E"/>
              </w:rPr>
              <w:t>MANAGEMENT</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64"/>
        </w:trPr>
        <w:tc>
          <w:tcPr>
            <w:tcW w:w="2980" w:type="dxa"/>
            <w:vAlign w:val="bottom"/>
          </w:tcPr>
          <w:p>
            <w:pPr>
              <w:spacing w:after="0"/>
              <w:rPr>
                <w:sz w:val="20"/>
                <w:szCs w:val="20"/>
                <w:color w:val="auto"/>
              </w:rPr>
            </w:pPr>
            <w:r>
              <w:rPr>
                <w:rFonts w:ascii="Arial" w:cs="Arial" w:eastAsia="Arial" w:hAnsi="Arial"/>
                <w:sz w:val="18"/>
                <w:szCs w:val="18"/>
                <w:b w:val="1"/>
                <w:bCs w:val="1"/>
                <w:color w:val="00070E"/>
              </w:rPr>
              <w:t>Brian E. Mueller</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00070E"/>
              </w:rPr>
              <w:t>Dr. W. Stan Meyer</w:t>
            </w:r>
          </w:p>
        </w:tc>
        <w:tc>
          <w:tcPr>
            <w:tcW w:w="2900" w:type="dxa"/>
            <w:vAlign w:val="bottom"/>
          </w:tcPr>
          <w:p>
            <w:pPr>
              <w:ind w:left="640"/>
              <w:spacing w:after="0"/>
              <w:rPr>
                <w:sz w:val="20"/>
                <w:szCs w:val="20"/>
                <w:color w:val="auto"/>
              </w:rPr>
            </w:pPr>
            <w:r>
              <w:rPr>
                <w:rFonts w:ascii="Arial" w:cs="Arial" w:eastAsia="Arial" w:hAnsi="Arial"/>
                <w:sz w:val="18"/>
                <w:szCs w:val="18"/>
                <w:b w:val="1"/>
                <w:bCs w:val="1"/>
                <w:color w:val="00070E"/>
              </w:rPr>
              <w:t>Daniel E. Bachus</w:t>
            </w:r>
          </w:p>
        </w:tc>
      </w:tr>
      <w:tr>
        <w:trPr>
          <w:trHeight w:val="216"/>
        </w:trPr>
        <w:tc>
          <w:tcPr>
            <w:tcW w:w="2980" w:type="dxa"/>
            <w:vAlign w:val="bottom"/>
          </w:tcPr>
          <w:p>
            <w:pPr>
              <w:spacing w:after="0"/>
              <w:rPr>
                <w:sz w:val="20"/>
                <w:szCs w:val="20"/>
                <w:color w:val="auto"/>
              </w:rPr>
            </w:pPr>
            <w:r>
              <w:rPr>
                <w:rFonts w:ascii="Arial" w:cs="Arial" w:eastAsia="Arial" w:hAnsi="Arial"/>
                <w:sz w:val="18"/>
                <w:szCs w:val="18"/>
                <w:i w:val="1"/>
                <w:iCs w:val="1"/>
                <w:color w:val="00070E"/>
              </w:rPr>
              <w:t>Chief Executive Officer</w:t>
            </w:r>
          </w:p>
        </w:tc>
        <w:tc>
          <w:tcPr>
            <w:tcW w:w="3600" w:type="dxa"/>
            <w:vAlign w:val="bottom"/>
          </w:tcPr>
          <w:p>
            <w:pPr>
              <w:ind w:left="620"/>
              <w:spacing w:after="0"/>
              <w:rPr>
                <w:sz w:val="20"/>
                <w:szCs w:val="20"/>
                <w:color w:val="auto"/>
              </w:rPr>
            </w:pPr>
            <w:r>
              <w:rPr>
                <w:rFonts w:ascii="Arial" w:cs="Arial" w:eastAsia="Arial" w:hAnsi="Arial"/>
                <w:sz w:val="18"/>
                <w:szCs w:val="18"/>
                <w:i w:val="1"/>
                <w:iCs w:val="1"/>
                <w:color w:val="00070E"/>
              </w:rPr>
              <w:t>Chief Operating Officer</w:t>
            </w:r>
          </w:p>
        </w:tc>
        <w:tc>
          <w:tcPr>
            <w:tcW w:w="2900" w:type="dxa"/>
            <w:vAlign w:val="bottom"/>
          </w:tcPr>
          <w:p>
            <w:pPr>
              <w:ind w:left="640"/>
              <w:spacing w:after="0"/>
              <w:rPr>
                <w:sz w:val="20"/>
                <w:szCs w:val="20"/>
                <w:color w:val="auto"/>
              </w:rPr>
            </w:pPr>
            <w:r>
              <w:rPr>
                <w:rFonts w:ascii="Arial" w:cs="Arial" w:eastAsia="Arial" w:hAnsi="Arial"/>
                <w:sz w:val="18"/>
                <w:szCs w:val="18"/>
                <w:i w:val="1"/>
                <w:iCs w:val="1"/>
                <w:color w:val="00070E"/>
              </w:rPr>
              <w:t>Chief Financial Officer</w:t>
            </w:r>
          </w:p>
        </w:tc>
      </w:tr>
      <w:tr>
        <w:trPr>
          <w:trHeight w:val="258"/>
        </w:trPr>
        <w:tc>
          <w:tcPr>
            <w:tcW w:w="2980" w:type="dxa"/>
            <w:vAlign w:val="bottom"/>
          </w:tcPr>
          <w:p>
            <w:pPr>
              <w:spacing w:after="0"/>
              <w:rPr>
                <w:sz w:val="20"/>
                <w:szCs w:val="20"/>
                <w:color w:val="auto"/>
              </w:rPr>
            </w:pPr>
            <w:r>
              <w:rPr>
                <w:rFonts w:ascii="Arial" w:cs="Arial" w:eastAsia="Arial" w:hAnsi="Arial"/>
                <w:sz w:val="18"/>
                <w:szCs w:val="18"/>
                <w:i w:val="1"/>
                <w:iCs w:val="1"/>
                <w:color w:val="00070E"/>
              </w:rPr>
              <w:t>and Chairman</w:t>
            </w:r>
          </w:p>
        </w:tc>
        <w:tc>
          <w:tcPr>
            <w:tcW w:w="36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64"/>
        </w:trPr>
        <w:tc>
          <w:tcPr>
            <w:tcW w:w="2980" w:type="dxa"/>
            <w:vAlign w:val="bottom"/>
          </w:tcPr>
          <w:p>
            <w:pPr>
              <w:spacing w:after="0"/>
              <w:rPr>
                <w:sz w:val="22"/>
                <w:szCs w:val="22"/>
                <w:color w:val="auto"/>
              </w:rPr>
            </w:pPr>
          </w:p>
        </w:tc>
        <w:tc>
          <w:tcPr>
            <w:tcW w:w="3600" w:type="dxa"/>
            <w:vAlign w:val="bottom"/>
          </w:tcPr>
          <w:p>
            <w:pPr>
              <w:ind w:left="620"/>
              <w:spacing w:after="0"/>
              <w:rPr>
                <w:sz w:val="20"/>
                <w:szCs w:val="20"/>
                <w:color w:val="auto"/>
              </w:rPr>
            </w:pPr>
            <w:r>
              <w:rPr>
                <w:rFonts w:ascii="Arial" w:cs="Arial" w:eastAsia="Arial" w:hAnsi="Arial"/>
                <w:sz w:val="18"/>
                <w:szCs w:val="18"/>
                <w:b w:val="1"/>
                <w:bCs w:val="1"/>
                <w:color w:val="00070E"/>
              </w:rPr>
              <w:t>Kathy J. Claypatch</w:t>
            </w:r>
          </w:p>
        </w:tc>
        <w:tc>
          <w:tcPr>
            <w:tcW w:w="2900" w:type="dxa"/>
            <w:vAlign w:val="bottom"/>
          </w:tcPr>
          <w:p>
            <w:pPr>
              <w:ind w:left="640"/>
              <w:spacing w:after="0"/>
              <w:rPr>
                <w:sz w:val="20"/>
                <w:szCs w:val="20"/>
                <w:color w:val="auto"/>
              </w:rPr>
            </w:pPr>
            <w:r>
              <w:rPr>
                <w:rFonts w:ascii="Arial" w:cs="Arial" w:eastAsia="Arial" w:hAnsi="Arial"/>
                <w:sz w:val="18"/>
                <w:szCs w:val="18"/>
                <w:b w:val="1"/>
                <w:bCs w:val="1"/>
                <w:color w:val="00070E"/>
              </w:rPr>
              <w:t>Dilek Marsh</w:t>
            </w:r>
          </w:p>
        </w:tc>
      </w:tr>
      <w:tr>
        <w:trPr>
          <w:trHeight w:val="258"/>
        </w:trPr>
        <w:tc>
          <w:tcPr>
            <w:tcW w:w="2980" w:type="dxa"/>
            <w:vAlign w:val="bottom"/>
          </w:tcPr>
          <w:p>
            <w:pPr>
              <w:spacing w:after="0"/>
              <w:rPr>
                <w:sz w:val="22"/>
                <w:szCs w:val="22"/>
                <w:color w:val="auto"/>
              </w:rPr>
            </w:pPr>
          </w:p>
        </w:tc>
        <w:tc>
          <w:tcPr>
            <w:tcW w:w="3600" w:type="dxa"/>
            <w:vAlign w:val="bottom"/>
          </w:tcPr>
          <w:p>
            <w:pPr>
              <w:ind w:left="620"/>
              <w:spacing w:after="0"/>
              <w:rPr>
                <w:sz w:val="20"/>
                <w:szCs w:val="20"/>
                <w:color w:val="auto"/>
              </w:rPr>
            </w:pPr>
            <w:r>
              <w:rPr>
                <w:rFonts w:ascii="Arial" w:cs="Arial" w:eastAsia="Arial" w:hAnsi="Arial"/>
                <w:sz w:val="18"/>
                <w:szCs w:val="18"/>
                <w:i w:val="1"/>
                <w:iCs w:val="1"/>
                <w:color w:val="00070E"/>
              </w:rPr>
              <w:t>Chief Information Officer</w:t>
            </w:r>
          </w:p>
        </w:tc>
        <w:tc>
          <w:tcPr>
            <w:tcW w:w="2900" w:type="dxa"/>
            <w:vAlign w:val="bottom"/>
          </w:tcPr>
          <w:p>
            <w:pPr>
              <w:ind w:left="640"/>
              <w:spacing w:after="0"/>
              <w:rPr>
                <w:sz w:val="20"/>
                <w:szCs w:val="20"/>
                <w:color w:val="auto"/>
              </w:rPr>
            </w:pPr>
            <w:r>
              <w:rPr>
                <w:rFonts w:ascii="Arial" w:cs="Arial" w:eastAsia="Arial" w:hAnsi="Arial"/>
                <w:sz w:val="18"/>
                <w:szCs w:val="18"/>
                <w:i w:val="1"/>
                <w:iCs w:val="1"/>
                <w:color w:val="00070E"/>
              </w:rPr>
              <w:t>Chief Technology Officer</w:t>
            </w:r>
          </w:p>
        </w:tc>
      </w:tr>
    </w:tbl>
    <w:p>
      <w:pPr>
        <w:sectPr>
          <w:pgSz w:w="12240" w:h="15840" w:orient="portrait"/>
          <w:cols w:equalWidth="0" w:num="1">
            <w:col w:w="10320"/>
          </w:cols>
          <w:pgMar w:left="920" w:top="1294" w:right="1000"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070E"/>
        </w:rPr>
        <w:t xml:space="preserve">2 6 0 0 W. C A M E L B AC K R O A D </w:t>
      </w:r>
      <w:r>
        <w:rPr>
          <w:rFonts w:ascii="Arial" w:cs="Arial" w:eastAsia="Arial" w:hAnsi="Arial"/>
          <w:sz w:val="18"/>
          <w:szCs w:val="18"/>
          <w:color w:val="00070E"/>
        </w:rPr>
        <w:t>|</w:t>
      </w:r>
      <w:r>
        <w:rPr>
          <w:rFonts w:ascii="Arial" w:cs="Arial" w:eastAsia="Arial" w:hAnsi="Arial"/>
          <w:sz w:val="18"/>
          <w:szCs w:val="18"/>
          <w:b w:val="1"/>
          <w:bCs w:val="1"/>
          <w:color w:val="00070E"/>
        </w:rPr>
        <w:t xml:space="preserve"> P H O E N I X , A Z 8 5 0 1 7 </w:t>
      </w:r>
      <w:r>
        <w:rPr>
          <w:rFonts w:ascii="Arial" w:cs="Arial" w:eastAsia="Arial" w:hAnsi="Arial"/>
          <w:sz w:val="18"/>
          <w:szCs w:val="18"/>
          <w:color w:val="00070E"/>
        </w:rPr>
        <w:t>|</w:t>
      </w:r>
      <w:r>
        <w:rPr>
          <w:rFonts w:ascii="Arial" w:cs="Arial" w:eastAsia="Arial" w:hAnsi="Arial"/>
          <w:sz w:val="18"/>
          <w:szCs w:val="18"/>
          <w:b w:val="1"/>
          <w:bCs w:val="1"/>
          <w:color w:val="00070E"/>
        </w:rPr>
        <w:t xml:space="preserve"> 8 3 3 - G C E - 4 4 0 0 </w:t>
      </w:r>
      <w:r>
        <w:rPr>
          <w:rFonts w:ascii="Arial" w:cs="Arial" w:eastAsia="Arial" w:hAnsi="Arial"/>
          <w:sz w:val="18"/>
          <w:szCs w:val="18"/>
          <w:color w:val="00070E"/>
        </w:rPr>
        <w:t>|</w:t>
      </w:r>
      <w:r>
        <w:rPr>
          <w:rFonts w:ascii="Arial" w:cs="Arial" w:eastAsia="Arial" w:hAnsi="Arial"/>
          <w:sz w:val="18"/>
          <w:szCs w:val="18"/>
          <w:b w:val="1"/>
          <w:bCs w:val="1"/>
          <w:color w:val="00070E"/>
        </w:rPr>
        <w:t xml:space="preserve"> G C E . C O M</w:t>
      </w:r>
    </w:p>
    <w:p>
      <w:pPr>
        <w:spacing w:after="0" w:line="20" w:lineRule="exact"/>
        <w:rPr>
          <w:sz w:val="20"/>
          <w:szCs w:val="20"/>
          <w:color w:val="auto"/>
        </w:rPr>
      </w:pPr>
    </w:p>
    <w:sectPr>
      <w:pgSz w:w="12240" w:h="15840" w:orient="portrait"/>
      <w:cols w:equalWidth="0" w:num="1">
        <w:col w:w="9660"/>
      </w:cols>
      <w:pgMar w:left="1200" w:top="1440" w:right="1380" w:bottom="17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ց"/>
      <w:numFmt w:val="bullet"/>
      <w:start w:val="1"/>
    </w:lvl>
  </w:abstractNum>
  <w:abstractNum w:abstractNumId="2">
    <w:nsid w:val="71F32454"/>
    <w:multiLevelType w:val="hybridMultilevel"/>
    <w:lvl w:ilvl="0">
      <w:lvlJc w:val="left"/>
      <w:lvlText w:val="տ"/>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lowerLetter"/>
      <w:start w:val="15"/>
    </w:lvl>
  </w:abstractNum>
  <w:abstractNum w:abstractNumId="23">
    <w:nsid w:val="5C482A97"/>
    <w:multiLevelType w:val="hybridMultilevel"/>
    <w:lvl w:ilvl="0">
      <w:lvlJc w:val="left"/>
      <w:lvlText w:val="%1"/>
      <w:numFmt w:val="lowerLetter"/>
      <w:start w:val="15"/>
    </w:lvl>
  </w:abstractNum>
  <w:abstractNum w:abstractNumId="24">
    <w:nsid w:val="2463B9EA"/>
    <w:multiLevelType w:val="hybridMultilevel"/>
    <w:lvl w:ilvl="0">
      <w:lvlJc w:val="left"/>
      <w:lvlText w:val="%1"/>
      <w:numFmt w:val="lowerLetter"/>
      <w:start w:val="15"/>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lowerRoman"/>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decimal"/>
      <w:start w:val="2"/>
    </w:lvl>
  </w:abstractNum>
  <w:abstractNum w:abstractNumId="40">
    <w:nsid w:val="542289EC"/>
    <w:multiLevelType w:val="hybridMultilevel"/>
    <w:lvl w:ilvl="0">
      <w:lvlJc w:val="left"/>
      <w:lvlText w:val="%1."/>
      <w:numFmt w:val="decimal"/>
      <w:start w:val="7"/>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9"/>
    </w:lvl>
  </w:abstractNum>
  <w:abstractNum w:abstractNumId="43">
    <w:nsid w:val="7644A45C"/>
    <w:multiLevelType w:val="hybridMultilevel"/>
    <w:lvl w:ilvl="0">
      <w:lvlJc w:val="left"/>
      <w:lvlText w:val="%1."/>
      <w:numFmt w:val="decimal"/>
      <w:start w:val="1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1."/>
      <w:numFmt w:val="decimal"/>
      <w:start w:val="2"/>
    </w:lvl>
  </w:abstractNum>
  <w:abstractNum w:abstractNumId="47">
    <w:nsid w:val="749ABB43"/>
    <w:multiLevelType w:val="hybridMultilevel"/>
    <w:lvl w:ilvl="0">
      <w:lvlJc w:val="left"/>
      <w:lvlText w:val="%1."/>
      <w:numFmt w:val="decimal"/>
      <w:start w:val="3"/>
    </w:lvl>
  </w:abstractNum>
  <w:abstractNum w:abstractNumId="48">
    <w:nsid w:val="3DC240FB"/>
    <w:multiLevelType w:val="hybridMultilevel"/>
    <w:lvl w:ilvl="0">
      <w:lvlJc w:val="left"/>
      <w:lvlText w:val="%1"/>
      <w:numFmt w:val="decimal"/>
      <w:start w:val="10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2025-04-24T23:38:01Z</dcterms:created>
  <dcterms:modified xsi:type="dcterms:W3CDTF">2025-04-24T23:38:01Z</dcterms:modified>
</cp:coreProperties>
</file>