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Date of Report (Date of earliest event reported): July 6,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559" w:firstLine="187"/>
        <w:spacing w:after="0" w:line="259" w:lineRule="auto"/>
        <w:rPr>
          <w:sz w:val="20"/>
          <w:szCs w:val="20"/>
          <w:color w:val="auto"/>
        </w:rPr>
      </w:pPr>
      <w:r>
        <w:rPr>
          <w:rFonts w:ascii="Arial" w:cs="Arial" w:eastAsia="Arial" w:hAnsi="Arial"/>
          <w:sz w:val="18"/>
          <w:szCs w:val="18"/>
          <w:color w:val="auto"/>
        </w:rPr>
        <w:t xml:space="preserve">On June 14, 2010, Grand Canyon Education, Inc. (the “Company”) filed a Current Report on Form 8-K that contained an update relating to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the U.S. Department of Education (“DOE”), Office of Inspector General (“OIG”) investigation. In light of the ongoing nature of these matters, and the current regulatory environment affecting education companies generally, the Company is providing the following regulatory update:</w:t>
      </w:r>
    </w:p>
    <w:p>
      <w:pPr>
        <w:spacing w:after="0" w:line="160" w:lineRule="exact"/>
        <w:rPr>
          <w:sz w:val="20"/>
          <w:szCs w:val="20"/>
          <w:color w:val="auto"/>
        </w:rPr>
      </w:pPr>
    </w:p>
    <w:p>
      <w:pPr>
        <w:jc w:val="both"/>
        <w:ind w:right="559" w:firstLine="187"/>
        <w:spacing w:after="0" w:line="255" w:lineRule="auto"/>
        <w:rPr>
          <w:sz w:val="20"/>
          <w:szCs w:val="20"/>
          <w:color w:val="auto"/>
        </w:rPr>
      </w:pPr>
      <w:r>
        <w:rPr>
          <w:rFonts w:ascii="Arial" w:cs="Arial" w:eastAsia="Arial" w:hAnsi="Arial"/>
          <w:sz w:val="18"/>
          <w:szCs w:val="18"/>
          <w:color w:val="auto"/>
        </w:rPr>
        <w:t>As part of its oversight of the educational institutions participating in the Title IV programs under the Higher Education Act of 1965, as amended, the DOE periodically conducts program reviews at selected schools that receive Title IV funds for the purpose of evaluating the school’s compliance with the Title IV requirements, identifying any liabilities to the DOE for errors in compliance, and improving future institutional capabilities. On July 6, 2010, the Company was notified by the DOE of the DOE’s intent to conduct a program review at Grand Canyon University of the University’s administration of the Title IV programs in which it participates.</w:t>
      </w:r>
    </w:p>
    <w:p>
      <w:pPr>
        <w:spacing w:after="0" w:line="153" w:lineRule="exact"/>
        <w:rPr>
          <w:sz w:val="20"/>
          <w:szCs w:val="20"/>
          <w:color w:val="auto"/>
        </w:rPr>
      </w:pPr>
    </w:p>
    <w:p>
      <w:pPr>
        <w:jc w:val="both"/>
        <w:ind w:right="559" w:firstLine="187"/>
        <w:spacing w:after="0" w:line="271" w:lineRule="auto"/>
        <w:rPr>
          <w:sz w:val="20"/>
          <w:szCs w:val="20"/>
          <w:color w:val="auto"/>
        </w:rPr>
      </w:pPr>
      <w:r>
        <w:rPr>
          <w:rFonts w:ascii="Arial" w:cs="Arial" w:eastAsia="Arial" w:hAnsi="Arial"/>
          <w:sz w:val="17"/>
          <w:szCs w:val="17"/>
          <w:color w:val="auto"/>
        </w:rPr>
        <w:t>The Company’s policies and procedures are planned and implemented to comply with the applicable standards and regulations under Title IV. If and to the extent the DOE’s program review identifies any compliance issues, the Company is committed to resolving such issues and ensuring that Grand Canyon University operates in compliance with all DOE requirements. Program reviews may be unresolved for several months or years with little or no communication from the DOE, and may involve additional exchanges of information following the site visit. The Company cannot presently predict the outcome of this program review or when the final program review determination will be issued. If the DOE were to make significant findings of non-compliance in the final program review determination, it could have a material adverse effect on the Company’s business, results of operations, cash flows,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369570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5720" w:type="dxa"/>
            <w:vAlign w:val="bottom"/>
            <w:gridSpan w:val="3"/>
          </w:tcPr>
          <w:p>
            <w:pPr>
              <w:ind w:left="1800"/>
              <w:spacing w:after="0"/>
              <w:rPr>
                <w:sz w:val="20"/>
                <w:szCs w:val="20"/>
                <w:color w:val="auto"/>
              </w:rPr>
            </w:pPr>
            <w:r>
              <w:rPr>
                <w:rFonts w:ascii="Arial" w:cs="Arial" w:eastAsia="Arial" w:hAnsi="Arial"/>
                <w:sz w:val="18"/>
                <w:szCs w:val="18"/>
                <w:color w:val="auto"/>
              </w:rPr>
              <w:t>GRAND CANYON EDUCATION, INC.</w:t>
            </w:r>
          </w:p>
        </w:tc>
      </w:tr>
      <w:tr>
        <w:trPr>
          <w:trHeight w:val="392"/>
        </w:trPr>
        <w:tc>
          <w:tcPr>
            <w:tcW w:w="3100" w:type="dxa"/>
            <w:vAlign w:val="bottom"/>
          </w:tcPr>
          <w:p>
            <w:pPr>
              <w:spacing w:after="0"/>
              <w:rPr>
                <w:sz w:val="20"/>
                <w:szCs w:val="20"/>
                <w:color w:val="auto"/>
              </w:rPr>
            </w:pPr>
            <w:r>
              <w:rPr>
                <w:rFonts w:ascii="Arial" w:cs="Arial" w:eastAsia="Arial" w:hAnsi="Arial"/>
                <w:sz w:val="18"/>
                <w:szCs w:val="18"/>
                <w:color w:val="auto"/>
              </w:rPr>
              <w:t>Date: July 8, 2010</w:t>
            </w:r>
          </w:p>
        </w:tc>
        <w:tc>
          <w:tcPr>
            <w:tcW w:w="5720" w:type="dxa"/>
            <w:vAlign w:val="bottom"/>
            <w:gridSpan w:val="3"/>
          </w:tcPr>
          <w:p>
            <w:pPr>
              <w:ind w:left="1800"/>
              <w:spacing w:after="0"/>
              <w:rPr>
                <w:sz w:val="20"/>
                <w:szCs w:val="20"/>
                <w:color w:val="auto"/>
              </w:rPr>
            </w:pPr>
            <w:r>
              <w:rPr>
                <w:rFonts w:ascii="Arial" w:cs="Arial" w:eastAsia="Arial" w:hAnsi="Arial"/>
                <w:sz w:val="18"/>
                <w:szCs w:val="18"/>
                <w:color w:val="auto"/>
              </w:rPr>
              <w:t>By: /s/ Daniel E. Bachus</w:t>
            </w:r>
          </w:p>
        </w:tc>
      </w:tr>
      <w:tr>
        <w:trPr>
          <w:trHeight w:val="20"/>
        </w:trPr>
        <w:tc>
          <w:tcPr>
            <w:tcW w:w="3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100" w:type="dxa"/>
            <w:vAlign w:val="bottom"/>
          </w:tcPr>
          <w:p>
            <w:pPr>
              <w:spacing w:after="0"/>
              <w:rPr>
                <w:sz w:val="19"/>
                <w:szCs w:val="19"/>
                <w:color w:val="auto"/>
              </w:rPr>
            </w:pPr>
          </w:p>
        </w:tc>
        <w:tc>
          <w:tcPr>
            <w:tcW w:w="5720" w:type="dxa"/>
            <w:vAlign w:val="bottom"/>
            <w:gridSpan w:val="3"/>
          </w:tcPr>
          <w:p>
            <w:pPr>
              <w:ind w:left="1800"/>
              <w:spacing w:after="0"/>
              <w:rPr>
                <w:sz w:val="20"/>
                <w:szCs w:val="20"/>
                <w:color w:val="auto"/>
              </w:rPr>
            </w:pPr>
            <w:r>
              <w:rPr>
                <w:rFonts w:ascii="Arial" w:cs="Arial" w:eastAsia="Arial" w:hAnsi="Arial"/>
                <w:sz w:val="18"/>
                <w:szCs w:val="18"/>
                <w:color w:val="auto"/>
              </w:rPr>
              <w:t>Daniel E. Bachus</w:t>
            </w:r>
          </w:p>
        </w:tc>
      </w:tr>
      <w:tr>
        <w:trPr>
          <w:trHeight w:val="216"/>
        </w:trPr>
        <w:tc>
          <w:tcPr>
            <w:tcW w:w="3100" w:type="dxa"/>
            <w:vAlign w:val="bottom"/>
          </w:tcPr>
          <w:p>
            <w:pPr>
              <w:spacing w:after="0"/>
              <w:rPr>
                <w:sz w:val="18"/>
                <w:szCs w:val="18"/>
                <w:color w:val="auto"/>
              </w:rPr>
            </w:pPr>
          </w:p>
        </w:tc>
        <w:tc>
          <w:tcPr>
            <w:tcW w:w="5720" w:type="dxa"/>
            <w:vAlign w:val="bottom"/>
            <w:gridSpan w:val="3"/>
          </w:tcPr>
          <w:p>
            <w:pPr>
              <w:ind w:left="1800"/>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5720" w:type="dxa"/>
            <w:vAlign w:val="bottom"/>
            <w:gridSpan w:val="3"/>
          </w:tcPr>
          <w:p>
            <w:pPr>
              <w:ind w:left="1800"/>
              <w:spacing w:after="0"/>
              <w:rPr>
                <w:sz w:val="20"/>
                <w:szCs w:val="20"/>
                <w:color w:val="auto"/>
              </w:rPr>
            </w:pPr>
            <w:r>
              <w:rPr>
                <w:rFonts w:ascii="Arial" w:cs="Arial" w:eastAsia="Arial" w:hAnsi="Arial"/>
                <w:sz w:val="18"/>
                <w:szCs w:val="18"/>
                <w:color w:val="auto"/>
                <w:w w:val="93"/>
              </w:rPr>
              <w:t>(Principal Financial and Principal Accounting Officer)</w:t>
            </w: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2019-12-11T06:35:29Z</dcterms:created>
  <dcterms:modified xsi:type="dcterms:W3CDTF">2019-12-11T06:35:29Z</dcterms:modified>
</cp:coreProperties>
</file>