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Grand Canyon Education, Inc.</w:t>
      </w:r>
    </w:p>
    <w:p>
      <w:pPr>
        <w:jc w:val="center"/>
        <w:ind w:right="241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38526M106</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2018</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38526M106</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World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470" w:lineRule="auto"/>
        <w:tabs>
          <w:tab w:leader="none" w:pos="179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2,510,400</w:t>
      </w:r>
    </w:p>
    <w:p>
      <w:pPr>
        <w:spacing w:after="0" w:line="209"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2,510,400</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2,510,400</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5.2%</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38526M106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Grand Canyon Education, Inc.</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3300 W. Camelback Road</w:t>
      </w:r>
    </w:p>
    <w:p>
      <w:pPr>
        <w:ind w:left="740"/>
        <w:spacing w:after="0"/>
        <w:rPr>
          <w:sz w:val="20"/>
          <w:szCs w:val="20"/>
          <w:color w:val="auto"/>
        </w:rPr>
      </w:pPr>
      <w:r>
        <w:rPr>
          <w:rFonts w:ascii="Courier New" w:cs="Courier New" w:eastAsia="Courier New" w:hAnsi="Courier New"/>
          <w:sz w:val="18"/>
          <w:szCs w:val="18"/>
          <w:color w:val="auto"/>
        </w:rPr>
        <w:t>Phoenix, AZ 85017</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Citizenship:</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Title of Class</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of Securities:</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2(e)</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CUSIP Number:</w:t>
            </w:r>
          </w:p>
        </w:tc>
        <w:tc>
          <w:tcPr>
            <w:tcW w:w="446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38526M106</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0" w:type="dxa"/>
            <w:vAlign w:val="bottom"/>
          </w:tcPr>
          <w:p>
            <w:pPr>
              <w:ind w:left="460"/>
              <w:spacing w:after="0"/>
              <w:rPr>
                <w:sz w:val="20"/>
                <w:szCs w:val="20"/>
                <w:color w:val="auto"/>
              </w:rPr>
            </w:pPr>
            <w:r>
              <w:rPr>
                <w:rFonts w:ascii="Courier New" w:cs="Courier New" w:eastAsia="Courier New" w:hAnsi="Courier New"/>
                <w:sz w:val="18"/>
                <w:szCs w:val="18"/>
                <w:color w:val="auto"/>
              </w:rPr>
              <w:t>If</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this statement</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w w:val="96"/>
              </w:rPr>
              <w:t>is filed pursuant to sections 240.13d-1(b)</w:t>
            </w:r>
          </w:p>
        </w:tc>
      </w:tr>
      <w:tr>
        <w:trPr>
          <w:trHeight w:val="203"/>
        </w:trPr>
        <w:tc>
          <w:tcPr>
            <w:tcW w:w="700" w:type="dxa"/>
            <w:vAlign w:val="bottom"/>
          </w:tcPr>
          <w:p>
            <w:pPr>
              <w:spacing w:after="0"/>
              <w:rPr>
                <w:sz w:val="17"/>
                <w:szCs w:val="17"/>
                <w:color w:val="auto"/>
              </w:rPr>
            </w:pPr>
          </w:p>
        </w:tc>
        <w:tc>
          <w:tcPr>
            <w:tcW w:w="67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or 240.13d-2(b) or (c), check whether the person filing is a:</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w:t>
            </w:r>
          </w:p>
        </w:tc>
        <w:tc>
          <w:tcPr>
            <w:tcW w:w="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[X]</w:t>
            </w:r>
          </w:p>
        </w:tc>
        <w:tc>
          <w:tcPr>
            <w:tcW w:w="5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investment adviser in accordance with</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Capital World Investors divisions of CRMC and Capital International Limited collectively provide investment management services under the name Capital World Investors. Capital World Investors is deemed to be the beneficial owner of 2,510,400 shares or 5.2% of the 48,133,425 shares believed to be outstanding.</w:t>
      </w:r>
    </w:p>
    <w:p>
      <w:pPr>
        <w:spacing w:after="0" w:line="20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38526M106</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2380" w:type="dxa"/>
            <w:vAlign w:val="bottom"/>
          </w:tcPr>
          <w:p>
            <w:pPr>
              <w:ind w:left="220"/>
              <w:spacing w:after="0"/>
              <w:rPr>
                <w:sz w:val="20"/>
                <w:szCs w:val="20"/>
                <w:color w:val="auto"/>
              </w:rPr>
            </w:pPr>
            <w:r>
              <w:rPr>
                <w:rFonts w:ascii="Courier New" w:cs="Courier New" w:eastAsia="Courier New" w:hAnsi="Courier New"/>
                <w:sz w:val="18"/>
                <w:szCs w:val="18"/>
                <w:color w:val="auto"/>
              </w:rPr>
              <w:t>February 12, 2019</w:t>
            </w:r>
          </w:p>
        </w:tc>
        <w:tc>
          <w:tcPr>
            <w:tcW w:w="1940" w:type="dxa"/>
            <w:vAlign w:val="bottom"/>
          </w:tcPr>
          <w:p>
            <w:pPr>
              <w:spacing w:after="0"/>
              <w:rPr>
                <w:sz w:val="17"/>
                <w:szCs w:val="17"/>
                <w:color w:val="auto"/>
              </w:rPr>
            </w:pP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43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 Michael J. Triessl</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Michael J. Triessl -</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Senior Vice</w:t>
            </w:r>
          </w:p>
        </w:tc>
      </w:tr>
      <w:tr>
        <w:trPr>
          <w:trHeight w:val="203"/>
        </w:trPr>
        <w:tc>
          <w:tcPr>
            <w:tcW w:w="1360" w:type="dxa"/>
            <w:vAlign w:val="bottom"/>
          </w:tcPr>
          <w:p>
            <w:pPr>
              <w:spacing w:after="0"/>
              <w:rPr>
                <w:sz w:val="17"/>
                <w:szCs w:val="17"/>
                <w:color w:val="auto"/>
              </w:rPr>
            </w:pPr>
          </w:p>
        </w:tc>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President and Senior</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Counsel, Fund</w:t>
            </w:r>
          </w:p>
        </w:tc>
      </w:tr>
      <w:tr>
        <w:trPr>
          <w:trHeight w:val="203"/>
        </w:trPr>
        <w:tc>
          <w:tcPr>
            <w:tcW w:w="1360" w:type="dxa"/>
            <w:vAlign w:val="bottom"/>
          </w:tcPr>
          <w:p>
            <w:pPr>
              <w:spacing w:after="0"/>
              <w:rPr>
                <w:sz w:val="17"/>
                <w:szCs w:val="17"/>
                <w:color w:val="auto"/>
              </w:rPr>
            </w:pPr>
          </w:p>
        </w:tc>
        <w:tc>
          <w:tcPr>
            <w:tcW w:w="43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Business Management Group</w:t>
            </w:r>
          </w:p>
        </w:tc>
      </w:tr>
      <w:tr>
        <w:trPr>
          <w:trHeight w:val="203"/>
        </w:trPr>
        <w:tc>
          <w:tcPr>
            <w:tcW w:w="1360" w:type="dxa"/>
            <w:vAlign w:val="bottom"/>
          </w:tcPr>
          <w:p>
            <w:pPr>
              <w:spacing w:after="0"/>
              <w:rPr>
                <w:sz w:val="17"/>
                <w:szCs w:val="17"/>
                <w:color w:val="auto"/>
              </w:rPr>
            </w:pPr>
          </w:p>
        </w:tc>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Capital Research and</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Management Company</w:t>
            </w:r>
          </w:p>
        </w:tc>
      </w:tr>
    </w:tbl>
    <w:p>
      <w:pPr>
        <w:sectPr>
          <w:pgSz w:w="11900" w:h="16838" w:orient="portrait"/>
          <w:cols w:equalWidth="0" w:num="1">
            <w:col w:w="10219"/>
          </w:cols>
          <w:pgMar w:left="240" w:top="136" w:right="1440" w:bottom="1440" w:gutter="0" w:footer="0" w:header="0"/>
        </w:sectPr>
      </w:pPr>
    </w:p>
    <w:bookmarkStart w:id="3" w:name="page4"/>
    <w:bookmarkEnd w:id="3"/>
    <w:p>
      <w:pPr>
        <w:spacing w:after="0" w:line="1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38526M106</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2019-12-21T04:07:16Z</dcterms:created>
  <dcterms:modified xsi:type="dcterms:W3CDTF">2019-12-21T04:07:16Z</dcterms:modified>
</cp:coreProperties>
</file>