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116205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57"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135255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0"/>
          <w:szCs w:val="20"/>
          <w:color w:val="auto"/>
        </w:rPr>
      </w:pPr>
    </w:p>
    <w:p>
      <w:pPr>
        <w:ind w:left="1460" w:right="1799" w:hanging="890"/>
        <w:spacing w:after="0" w:line="243"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58" w:lineRule="exact"/>
        <w:rPr>
          <w:sz w:val="20"/>
          <w:szCs w:val="20"/>
          <w:color w:val="auto"/>
        </w:rPr>
      </w:pPr>
    </w:p>
    <w:p>
      <w:pPr>
        <w:jc w:val="right"/>
        <w:ind w:right="5139"/>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185" w:lineRule="exact"/>
        <w:rPr>
          <w:sz w:val="20"/>
          <w:szCs w:val="20"/>
          <w:color w:val="auto"/>
        </w:rPr>
      </w:pPr>
    </w:p>
    <w:p>
      <w:pPr>
        <w:jc w:val="right"/>
        <w:ind w:right="51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146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128905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116205</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3" w:lineRule="exact"/>
        <w:rPr>
          <w:sz w:val="20"/>
          <w:szCs w:val="20"/>
          <w:color w:val="auto"/>
        </w:rPr>
      </w:pPr>
    </w:p>
    <w:tbl>
      <w:tblPr>
        <w:tblLayout w:type="fixed"/>
        <w:tblInd w:w="1400" w:type="dxa"/>
        <w:tblCellMar>
          <w:top w:w="0" w:type="dxa"/>
          <w:left w:w="0" w:type="dxa"/>
          <w:bottom w:w="0" w:type="dxa"/>
          <w:right w:w="0" w:type="dxa"/>
        </w:tblCellMar>
      </w:tblPr>
      <w:tr>
        <w:trPr>
          <w:trHeight w:val="220"/>
        </w:trPr>
        <w:tc>
          <w:tcPr>
            <w:tcW w:w="3820" w:type="dxa"/>
            <w:vAlign w:val="bottom"/>
          </w:tcPr>
          <w:p>
            <w:pPr>
              <w:jc w:val="center"/>
              <w:ind w:right="1430"/>
              <w:spacing w:after="0"/>
              <w:rPr>
                <w:sz w:val="20"/>
                <w:szCs w:val="20"/>
                <w:color w:val="auto"/>
              </w:rPr>
            </w:pPr>
            <w:r>
              <w:rPr>
                <w:rFonts w:ascii="Arial" w:cs="Arial" w:eastAsia="Arial" w:hAnsi="Arial"/>
                <w:sz w:val="18"/>
                <w:szCs w:val="18"/>
                <w:b w:val="1"/>
                <w:bCs w:val="1"/>
                <w:color w:val="auto"/>
                <w:w w:val="98"/>
              </w:rPr>
              <w:t>DELAWARE</w:t>
            </w:r>
          </w:p>
        </w:tc>
        <w:tc>
          <w:tcPr>
            <w:tcW w:w="2920" w:type="dxa"/>
            <w:vAlign w:val="bottom"/>
          </w:tcPr>
          <w:p>
            <w:pPr>
              <w:jc w:val="center"/>
              <w:ind w:left="1430"/>
              <w:spacing w:after="0"/>
              <w:rPr>
                <w:sz w:val="20"/>
                <w:szCs w:val="20"/>
                <w:color w:val="auto"/>
              </w:rPr>
            </w:pPr>
            <w:r>
              <w:rPr>
                <w:rFonts w:ascii="Arial" w:cs="Arial" w:eastAsia="Arial" w:hAnsi="Arial"/>
                <w:sz w:val="18"/>
                <w:szCs w:val="18"/>
                <w:b w:val="1"/>
                <w:bCs w:val="1"/>
                <w:color w:val="auto"/>
                <w:w w:val="91"/>
              </w:rPr>
              <w:t>20-3356009</w:t>
            </w:r>
          </w:p>
        </w:tc>
      </w:tr>
      <w:tr>
        <w:trPr>
          <w:trHeight w:val="216"/>
        </w:trPr>
        <w:tc>
          <w:tcPr>
            <w:tcW w:w="3820" w:type="dxa"/>
            <w:vAlign w:val="bottom"/>
          </w:tcPr>
          <w:p>
            <w:pPr>
              <w:jc w:val="center"/>
              <w:ind w:right="145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2920" w:type="dxa"/>
            <w:vAlign w:val="bottom"/>
          </w:tcPr>
          <w:p>
            <w:pPr>
              <w:jc w:val="center"/>
              <w:ind w:left="1430"/>
              <w:spacing w:after="0"/>
              <w:rPr>
                <w:sz w:val="20"/>
                <w:szCs w:val="20"/>
                <w:color w:val="auto"/>
              </w:rPr>
            </w:pPr>
            <w:r>
              <w:rPr>
                <w:rFonts w:ascii="Arial" w:cs="Arial" w:eastAsia="Arial" w:hAnsi="Arial"/>
                <w:sz w:val="18"/>
                <w:szCs w:val="18"/>
                <w:b w:val="1"/>
                <w:bCs w:val="1"/>
                <w:i w:val="1"/>
                <w:iCs w:val="1"/>
                <w:color w:val="auto"/>
                <w:w w:val="89"/>
              </w:rPr>
              <w:t>(I.R.S. Employer</w:t>
            </w:r>
          </w:p>
        </w:tc>
      </w:tr>
      <w:tr>
        <w:trPr>
          <w:trHeight w:val="230"/>
        </w:trPr>
        <w:tc>
          <w:tcPr>
            <w:tcW w:w="3820" w:type="dxa"/>
            <w:vAlign w:val="bottom"/>
          </w:tcPr>
          <w:p>
            <w:pPr>
              <w:jc w:val="center"/>
              <w:ind w:right="143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2920" w:type="dxa"/>
            <w:vAlign w:val="bottom"/>
          </w:tcPr>
          <w:p>
            <w:pPr>
              <w:jc w:val="center"/>
              <w:ind w:left="145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(602) 639-7500</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70" w:lineRule="exact"/>
        <w:rPr>
          <w:sz w:val="20"/>
          <w:szCs w:val="20"/>
          <w:color w:val="auto"/>
        </w:rPr>
      </w:pPr>
    </w:p>
    <w:p>
      <w:pPr>
        <w:ind w:left="340" w:right="79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56" w:lineRule="exact"/>
        <w:rPr>
          <w:sz w:val="20"/>
          <w:szCs w:val="20"/>
          <w:color w:val="auto"/>
        </w:rPr>
      </w:pPr>
    </w:p>
    <w:p>
      <w:pPr>
        <w:ind w:left="340" w:right="959" w:firstLine="373"/>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46" w:lineRule="exact"/>
        <w:rPr>
          <w:sz w:val="20"/>
          <w:szCs w:val="20"/>
          <w:color w:val="auto"/>
        </w:rPr>
      </w:pPr>
    </w:p>
    <w:p>
      <w:pPr>
        <w:jc w:val="both"/>
        <w:ind w:left="340" w:right="799" w:firstLine="37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81"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24" w:lineRule="exact"/>
        <w:rPr>
          <w:sz w:val="20"/>
          <w:szCs w:val="20"/>
          <w:color w:val="auto"/>
        </w:rPr>
      </w:pPr>
    </w:p>
    <w:p>
      <w:pPr>
        <w:sectPr>
          <w:pgSz w:w="11900" w:h="16838" w:orient="portrait"/>
          <w:cols w:equalWidth="0" w:num="4">
            <w:col w:w="2180" w:space="460"/>
            <w:col w:w="1340" w:space="220"/>
            <w:col w:w="3340" w:space="0"/>
            <w:col w:w="2679"/>
          </w:cols>
          <w:pgMar w:left="240" w:top="122" w:right="1440" w:bottom="1440" w:gutter="0" w:footer="0" w:header="0"/>
          <w:type w:val="continuous"/>
        </w:sectPr>
      </w:pPr>
    </w:p>
    <w:p>
      <w:pPr>
        <w:ind w:left="340" w:right="1339" w:firstLine="373"/>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total number of shares of common stock outstanding as of April 23, 2009, was 45,485,765.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135255</wp:posOffset>
            </wp:positionV>
            <wp:extent cx="5925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152400</wp:posOffset>
            </wp:positionV>
            <wp:extent cx="59258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819150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p>
      <w:pPr>
        <w:jc w:val="center"/>
        <w:ind w:right="142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8180" w:type="dxa"/>
            <w:vAlign w:val="bottom"/>
            <w:gridSpan w:val="1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2860" w:type="dxa"/>
            <w:vAlign w:val="bottom"/>
            <w:gridSpan w:val="2"/>
          </w:tcPr>
          <w:p>
            <w:pPr>
              <w:jc w:val="right"/>
              <w:ind w:right="2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8180" w:type="dxa"/>
            <w:vAlign w:val="bottom"/>
            <w:gridSpan w:val="17"/>
            <w:vMerge w:val="continue"/>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3200" w:type="dxa"/>
            <w:vAlign w:val="bottom"/>
            <w:tcBorders>
              <w:top w:val="single" w:sz="8" w:color="0000EE"/>
            </w:tcBorders>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4980" w:type="dxa"/>
            <w:vAlign w:val="bottom"/>
            <w:gridSpan w:val="5"/>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8180" w:type="dxa"/>
            <w:vAlign w:val="bottom"/>
            <w:gridSpan w:val="1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48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22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Item 4 Controls and Procedures</w:t>
              </w:r>
            </w:hyperlink>
          </w:p>
        </w:tc>
        <w:tc>
          <w:tcPr>
            <w:tcW w:w="5940" w:type="dxa"/>
            <w:vAlign w:val="bottom"/>
            <w:gridSpan w:val="8"/>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180" w:type="dxa"/>
            <w:vAlign w:val="bottom"/>
            <w:gridSpan w:val="17"/>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 OTHER INFORMATION</w:t>
              </w:r>
            </w:hyperlink>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Item 1 Legal Proceedings</w:t>
              </w:r>
            </w:hyperlink>
          </w:p>
        </w:tc>
        <w:tc>
          <w:tcPr>
            <w:tcW w:w="1100" w:type="dxa"/>
            <w:vAlign w:val="bottom"/>
            <w:tcBorders>
              <w:top w:val="single" w:sz="8" w:color="0000EE"/>
            </w:tcBorders>
            <w:gridSpan w:val="4"/>
          </w:tcPr>
          <w:p>
            <w:pPr>
              <w:spacing w:after="0"/>
              <w:rPr>
                <w:sz w:val="24"/>
                <w:szCs w:val="24"/>
                <w:color w:val="auto"/>
              </w:rPr>
            </w:pPr>
          </w:p>
        </w:tc>
        <w:tc>
          <w:tcPr>
            <w:tcW w:w="5280" w:type="dxa"/>
            <w:vAlign w:val="bottom"/>
            <w:gridSpan w:val="6"/>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5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Item 1A Risk Factors</w:t>
              </w:r>
            </w:hyperlink>
          </w:p>
        </w:tc>
        <w:tc>
          <w:tcPr>
            <w:tcW w:w="6680" w:type="dxa"/>
            <w:vAlign w:val="bottom"/>
            <w:gridSpan w:val="12"/>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48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Item 2 Unregistered Sales of Equity Securities and Use of Proceeds</w:t>
              </w:r>
            </w:hyperlink>
          </w:p>
        </w:tc>
        <w:tc>
          <w:tcPr>
            <w:tcW w:w="3360" w:type="dxa"/>
            <w:vAlign w:val="bottom"/>
            <w:gridSpan w:val="3"/>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18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3 Defaults Upon Senior Securities</w:t>
              </w:r>
            </w:hyperlink>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818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4 Submission of Matters to a Vote of Security Holders</w:t>
              </w:r>
            </w:hyperlink>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5 Other Information</w:t>
              </w:r>
            </w:hyperlink>
          </w:p>
        </w:tc>
        <w:tc>
          <w:tcPr>
            <w:tcW w:w="2440" w:type="dxa"/>
            <w:vAlign w:val="bottom"/>
            <w:tcBorders>
              <w:top w:val="single" w:sz="8" w:color="0000EE"/>
            </w:tcBorders>
            <w:gridSpan w:val="7"/>
          </w:tcPr>
          <w:p>
            <w:pPr>
              <w:spacing w:after="0"/>
              <w:rPr>
                <w:sz w:val="24"/>
                <w:szCs w:val="24"/>
                <w:color w:val="auto"/>
              </w:rPr>
            </w:pPr>
          </w:p>
        </w:tc>
        <w:tc>
          <w:tcPr>
            <w:tcW w:w="3960" w:type="dxa"/>
            <w:vAlign w:val="bottom"/>
            <w:gridSpan w:val="4"/>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0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Item 6 Exhibits</w:t>
              </w:r>
            </w:hyperlink>
          </w:p>
        </w:tc>
        <w:tc>
          <w:tcPr>
            <w:tcW w:w="7100" w:type="dxa"/>
            <w:vAlign w:val="bottom"/>
            <w:gridSpan w:val="13"/>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0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SIGNATURES</w:t>
              </w:r>
            </w:hyperlink>
          </w:p>
        </w:tc>
        <w:tc>
          <w:tcPr>
            <w:tcW w:w="7120" w:type="dxa"/>
            <w:vAlign w:val="bottom"/>
            <w:gridSpan w:val="14"/>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Exhibit 31.1</w:t>
            </w:r>
          </w:p>
        </w:tc>
        <w:tc>
          <w:tcPr>
            <w:tcW w:w="7300" w:type="dxa"/>
            <w:vAlign w:val="bottom"/>
            <w:gridSpan w:val="15"/>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Exhibit 31.2</w:t>
            </w:r>
          </w:p>
        </w:tc>
        <w:tc>
          <w:tcPr>
            <w:tcW w:w="7300" w:type="dxa"/>
            <w:vAlign w:val="bottom"/>
            <w:gridSpan w:val="15"/>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Exhibit 32.1</w:t>
            </w:r>
          </w:p>
        </w:tc>
        <w:tc>
          <w:tcPr>
            <w:tcW w:w="7300" w:type="dxa"/>
            <w:vAlign w:val="bottom"/>
            <w:gridSpan w:val="15"/>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180" w:type="dxa"/>
            <w:vAlign w:val="bottom"/>
            <w:gridSpan w:val="17"/>
          </w:tcPr>
          <w:p>
            <w:pPr>
              <w:spacing w:after="0" w:line="196" w:lineRule="exact"/>
              <w:rPr>
                <w:sz w:val="20"/>
                <w:szCs w:val="20"/>
                <w:color w:val="auto"/>
              </w:rPr>
            </w:pPr>
            <w:r>
              <w:rPr>
                <w:rFonts w:ascii="Arial" w:cs="Arial" w:eastAsia="Arial" w:hAnsi="Arial"/>
                <w:sz w:val="18"/>
                <w:szCs w:val="18"/>
                <w:color w:val="0000EE"/>
              </w:rPr>
              <w:t>Exhibit 32.2</w:t>
            </w: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38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960" w:type="dxa"/>
            <w:vAlign w:val="bottom"/>
            <w:gridSpan w:val="13"/>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8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4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rPr>
              <w:t>GRAND CANYON EDUCATION, INC.</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89"/>
              </w:rPr>
              <w:t>Statements of Operations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30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96"/>
              </w:rPr>
              <w:t>March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Borders>
              <w:bottom w:val="single" w:sz="8" w:color="auto"/>
            </w:tcBorders>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1"/>
              </w:rPr>
              <w:t>(Unaudited)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35,709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11,620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18,332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Selling and promotional, including $1,512 and $1,612 for the three months ended</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March 31, 2008 and 2009, respectively, to related parties</w:t>
            </w:r>
          </w:p>
        </w:tc>
        <w:tc>
          <w:tcPr>
            <w:tcW w:w="2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12,586</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19,670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Royalty to former owner</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Total costs and expenses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46,909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(813)</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Preferred dividends</w:t>
            </w:r>
          </w:p>
        </w:tc>
        <w:tc>
          <w:tcPr>
            <w:tcW w:w="2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(253)</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available to common stockholders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Basic income per share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rPr>
              <w:t>Diluted income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3"/>
            <w:vMerge w:val="continue"/>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Basic weighted average shares outstanding</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45,474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rPr>
              <w:t>Diluted weighted average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3"/>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33,849</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8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460" w:type="dxa"/>
            <w:vAlign w:val="bottom"/>
          </w:tcPr>
          <w:p>
            <w:pPr>
              <w:jc w:val="center"/>
              <w:ind w:left="1730"/>
              <w:spacing w:after="0"/>
              <w:rPr>
                <w:sz w:val="20"/>
                <w:szCs w:val="20"/>
                <w:color w:val="auto"/>
              </w:rPr>
            </w:pPr>
            <w:r>
              <w:rPr>
                <w:rFonts w:ascii="Arial" w:cs="Arial" w:eastAsia="Arial" w:hAnsi="Arial"/>
                <w:sz w:val="18"/>
                <w:szCs w:val="18"/>
                <w:b w:val="1"/>
                <w:bCs w:val="1"/>
                <w:color w:val="auto"/>
              </w:rPr>
              <w:t>GRAND CANYON EDUCATION, INC.</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60" w:type="dxa"/>
            <w:vAlign w:val="bottom"/>
          </w:tcPr>
          <w:p>
            <w:pPr>
              <w:jc w:val="center"/>
              <w:ind w:left="1730"/>
              <w:spacing w:after="0"/>
              <w:rPr>
                <w:sz w:val="20"/>
                <w:szCs w:val="20"/>
                <w:color w:val="auto"/>
              </w:rPr>
            </w:pPr>
            <w:r>
              <w:rPr>
                <w:rFonts w:ascii="Arial" w:cs="Arial" w:eastAsia="Arial" w:hAnsi="Arial"/>
                <w:sz w:val="18"/>
                <w:szCs w:val="18"/>
                <w:b w:val="1"/>
                <w:bCs w:val="1"/>
                <w:color w:val="auto"/>
                <w:w w:val="87"/>
              </w:rPr>
              <w:t>Balance Sheets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340" w:type="dxa"/>
            <w:vAlign w:val="bottom"/>
          </w:tcPr>
          <w:p>
            <w:pPr>
              <w:spacing w:after="0"/>
              <w:rPr>
                <w:sz w:val="20"/>
                <w:szCs w:val="20"/>
                <w:color w:val="auto"/>
              </w:rPr>
            </w:pPr>
          </w:p>
        </w:tc>
        <w:tc>
          <w:tcPr>
            <w:tcW w:w="6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share data)</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60" w:type="dxa"/>
            <w:vAlign w:val="bottom"/>
            <w:shd w:val="clear" w:color="auto" w:fill="CCEEFF"/>
          </w:tcPr>
          <w:p>
            <w:pPr>
              <w:jc w:val="center"/>
              <w:ind w:left="350"/>
              <w:spacing w:after="0"/>
              <w:rPr>
                <w:sz w:val="20"/>
                <w:szCs w:val="20"/>
                <w:color w:val="auto"/>
              </w:rPr>
            </w:pPr>
            <w:r>
              <w:rPr>
                <w:rFonts w:ascii="Arial" w:cs="Arial" w:eastAsia="Arial" w:hAnsi="Arial"/>
                <w:sz w:val="18"/>
                <w:szCs w:val="18"/>
                <w:b w:val="1"/>
                <w:bCs w:val="1"/>
                <w:color w:val="auto"/>
                <w:w w:val="94"/>
              </w:rPr>
              <w:t>ASSETS: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35,152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68,275</w:t>
            </w:r>
          </w:p>
        </w:tc>
      </w:tr>
      <w:tr>
        <w:trPr>
          <w:trHeight w:val="216"/>
        </w:trPr>
        <w:tc>
          <w:tcPr>
            <w:tcW w:w="34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Restricted cash and cash equivalents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2,197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3,946</w:t>
            </w:r>
          </w:p>
        </w:tc>
      </w:tr>
      <w:tr>
        <w:trPr>
          <w:trHeight w:val="202"/>
        </w:trPr>
        <w:tc>
          <w:tcPr>
            <w:tcW w:w="340" w:type="dxa"/>
            <w:vAlign w:val="bottom"/>
          </w:tcPr>
          <w:p>
            <w:pPr>
              <w:spacing w:after="0"/>
              <w:rPr>
                <w:sz w:val="17"/>
                <w:szCs w:val="17"/>
                <w:color w:val="auto"/>
              </w:rPr>
            </w:pPr>
          </w:p>
        </w:tc>
        <w:tc>
          <w:tcPr>
            <w:tcW w:w="64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Accounts receivable, net of allowance for doubtful accounts of $6,356 and $6,068 at</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December 31, 2008 and March 31, 2009, respectively</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9,442</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10,509</w:t>
            </w:r>
          </w:p>
        </w:tc>
      </w:tr>
      <w:tr>
        <w:trPr>
          <w:trHeight w:val="216"/>
        </w:trPr>
        <w:tc>
          <w:tcPr>
            <w:tcW w:w="34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Income taxes receivable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1,576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938</w:t>
            </w: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2,175</w:t>
            </w:r>
          </w:p>
        </w:tc>
      </w:tr>
      <w:tr>
        <w:trPr>
          <w:trHeight w:val="216"/>
        </w:trPr>
        <w:tc>
          <w:tcPr>
            <w:tcW w:w="34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2,660</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88,503</w:t>
            </w: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41,399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45,922</w:t>
            </w:r>
          </w:p>
        </w:tc>
      </w:tr>
      <w:tr>
        <w:trPr>
          <w:trHeight w:val="202"/>
        </w:trPr>
        <w:tc>
          <w:tcPr>
            <w:tcW w:w="340" w:type="dxa"/>
            <w:vAlign w:val="bottom"/>
          </w:tcPr>
          <w:p>
            <w:pPr>
              <w:spacing w:after="0"/>
              <w:rPr>
                <w:sz w:val="17"/>
                <w:szCs w:val="17"/>
                <w:color w:val="auto"/>
              </w:rPr>
            </w:pPr>
          </w:p>
        </w:tc>
        <w:tc>
          <w:tcPr>
            <w:tcW w:w="6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Restricted cash and investments (of which $2,928 and $0 is restricted at December 31,</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2008 and March 31, 2009, respectively)</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3,403</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w:t>
            </w: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8,043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7,860</w:t>
            </w: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2,941</w:t>
            </w: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7,404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12,018</w:t>
            </w: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w:t>
            </w:r>
          </w:p>
        </w:tc>
      </w:tr>
      <w:tr>
        <w:trPr>
          <w:trHeight w:val="230"/>
        </w:trPr>
        <w:tc>
          <w:tcPr>
            <w:tcW w:w="34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116,990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157,893</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60" w:type="dxa"/>
            <w:vAlign w:val="bottom"/>
            <w:shd w:val="clear" w:color="auto" w:fill="CCEEFF"/>
          </w:tcPr>
          <w:p>
            <w:pPr>
              <w:jc w:val="center"/>
              <w:ind w:left="35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7,547</w:t>
            </w:r>
          </w:p>
        </w:tc>
      </w:tr>
      <w:tr>
        <w:trPr>
          <w:trHeight w:val="216"/>
        </w:trPr>
        <w:tc>
          <w:tcPr>
            <w:tcW w:w="34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9,674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11,935</w:t>
            </w: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4,123</w:t>
            </w:r>
          </w:p>
        </w:tc>
      </w:tr>
      <w:tr>
        <w:trPr>
          <w:trHeight w:val="216"/>
        </w:trPr>
        <w:tc>
          <w:tcPr>
            <w:tcW w:w="34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Deferred revenue and student deposits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14,262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31,995</w:t>
            </w: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Due to related parties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2,429</w:t>
            </w:r>
          </w:p>
        </w:tc>
      </w:tr>
      <w:tr>
        <w:trPr>
          <w:trHeight w:val="216"/>
        </w:trPr>
        <w:tc>
          <w:tcPr>
            <w:tcW w:w="34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1,125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1,746</w:t>
            </w: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notes payable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w:t>
            </w:r>
          </w:p>
        </w:tc>
      </w:tr>
      <w:tr>
        <w:trPr>
          <w:trHeight w:val="223"/>
        </w:trPr>
        <w:tc>
          <w:tcPr>
            <w:tcW w:w="34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32,557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60,222</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29,384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30,332</w:t>
            </w: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Notes payable, less current portion and other</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1,713</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92,267</w:t>
            </w:r>
          </w:p>
        </w:tc>
      </w:tr>
      <w:tr>
        <w:trPr>
          <w:trHeight w:val="223"/>
        </w:trPr>
        <w:tc>
          <w:tcPr>
            <w:tcW w:w="34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480" w:type="dxa"/>
            <w:vAlign w:val="bottom"/>
            <w:gridSpan w:val="2"/>
          </w:tcPr>
          <w:p>
            <w:pPr>
              <w:spacing w:after="0" w:line="201" w:lineRule="exact"/>
              <w:rPr>
                <w:sz w:val="20"/>
                <w:szCs w:val="20"/>
                <w:color w:val="auto"/>
              </w:rPr>
            </w:pPr>
            <w:r>
              <w:rPr>
                <w:rFonts w:ascii="Arial" w:cs="Arial" w:eastAsia="Arial" w:hAnsi="Arial"/>
                <w:sz w:val="18"/>
                <w:szCs w:val="18"/>
                <w:color w:val="auto"/>
                <w:w w:val="95"/>
              </w:rPr>
              <w:t>Preferred stock, $0.01 par value, 10,000,000 shares authorized; 0 shares issued and</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outstanding at December 31, 2008 and March 31, 2009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340" w:type="dxa"/>
            <w:vAlign w:val="bottom"/>
          </w:tcPr>
          <w:p>
            <w:pPr>
              <w:spacing w:after="0"/>
              <w:rPr>
                <w:sz w:val="17"/>
                <w:szCs w:val="17"/>
                <w:color w:val="auto"/>
              </w:rPr>
            </w:pPr>
          </w:p>
        </w:tc>
        <w:tc>
          <w:tcPr>
            <w:tcW w:w="6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$0.01 par value, 100,000,000 shares authorized; 45,465,160 and</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45,485,765 shares issued and outstanding at December 31, 2008 and March 31, 2009,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w:t>
            </w: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64,808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69,935</w:t>
            </w: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(11,689)</w:t>
            </w: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(4,785)</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65,626</w:t>
            </w:r>
          </w:p>
        </w:tc>
      </w:tr>
      <w:tr>
        <w:trPr>
          <w:trHeight w:val="223"/>
        </w:trPr>
        <w:tc>
          <w:tcPr>
            <w:tcW w:w="34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116,990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157,893</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7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380" w:type="dxa"/>
            <w:vAlign w:val="bottom"/>
          </w:tcPr>
          <w:p>
            <w:pPr>
              <w:spacing w:after="0"/>
              <w:rPr>
                <w:sz w:val="24"/>
                <w:szCs w:val="24"/>
                <w:color w:val="auto"/>
              </w:rPr>
            </w:pPr>
          </w:p>
        </w:tc>
        <w:tc>
          <w:tcPr>
            <w:tcW w:w="4300" w:type="dxa"/>
            <w:vAlign w:val="bottom"/>
            <w:gridSpan w:val="10"/>
          </w:tcPr>
          <w:p>
            <w:pPr>
              <w:jc w:val="center"/>
              <w:ind w:left="130"/>
              <w:spacing w:after="0"/>
              <w:rPr>
                <w:sz w:val="20"/>
                <w:szCs w:val="20"/>
                <w:color w:val="auto"/>
              </w:rPr>
            </w:pPr>
            <w:r>
              <w:rPr>
                <w:rFonts w:ascii="Arial" w:cs="Arial" w:eastAsia="Arial" w:hAnsi="Arial"/>
                <w:sz w:val="18"/>
                <w:szCs w:val="18"/>
                <w:b w:val="1"/>
                <w:bCs w:val="1"/>
                <w:color w:val="auto"/>
              </w:rPr>
              <w:t>GRAND CANYON EDUCATION, INC.</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gridSpan w:val="8"/>
          </w:tcPr>
          <w:p>
            <w:pPr>
              <w:jc w:val="center"/>
              <w:ind w:right="610"/>
              <w:spacing w:after="0"/>
              <w:rPr>
                <w:sz w:val="20"/>
                <w:szCs w:val="20"/>
                <w:color w:val="auto"/>
              </w:rPr>
            </w:pPr>
            <w:r>
              <w:rPr>
                <w:rFonts w:ascii="Arial" w:cs="Arial" w:eastAsia="Arial" w:hAnsi="Arial"/>
                <w:sz w:val="18"/>
                <w:szCs w:val="18"/>
                <w:b w:val="1"/>
                <w:bCs w:val="1"/>
                <w:color w:val="auto"/>
                <w:w w:val="90"/>
              </w:rPr>
              <w:t>Statement of Stockholders’ Equity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80" w:type="dxa"/>
            <w:vAlign w:val="bottom"/>
            <w:gridSpan w:val="8"/>
          </w:tcPr>
          <w:p>
            <w:pPr>
              <w:jc w:val="center"/>
              <w:ind w:right="610"/>
              <w:spacing w:after="0"/>
              <w:rPr>
                <w:sz w:val="20"/>
                <w:szCs w:val="20"/>
                <w:color w:val="auto"/>
              </w:rPr>
            </w:pPr>
            <w:r>
              <w:rPr>
                <w:rFonts w:ascii="Arial" w:cs="Arial" w:eastAsia="Arial" w:hAnsi="Arial"/>
                <w:sz w:val="18"/>
                <w:szCs w:val="18"/>
                <w:b w:val="1"/>
                <w:bCs w:val="1"/>
                <w:color w:val="auto"/>
                <w:w w:val="89"/>
              </w:rPr>
              <w:t>(In thousands, except share data)</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(Unaudited)</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20" w:type="dxa"/>
            <w:vAlign w:val="bottom"/>
            <w:gridSpan w:val="4"/>
            <w:vMerge w:val="restart"/>
          </w:tcPr>
          <w:p>
            <w:pPr>
              <w:ind w:left="380"/>
              <w:spacing w:after="0"/>
              <w:rPr>
                <w:sz w:val="20"/>
                <w:szCs w:val="20"/>
                <w:color w:val="auto"/>
              </w:rPr>
            </w:pPr>
            <w:r>
              <w:rPr>
                <w:rFonts w:ascii="Arial" w:cs="Arial" w:eastAsia="Arial" w:hAnsi="Arial"/>
                <w:sz w:val="18"/>
                <w:szCs w:val="18"/>
                <w:b w:val="1"/>
                <w:bCs w:val="1"/>
                <w:color w:val="auto"/>
                <w:w w:val="92"/>
              </w:rPr>
              <w:t>Common Stock</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960" w:type="dxa"/>
            <w:vAlign w:val="bottom"/>
          </w:tcPr>
          <w:p>
            <w:pPr>
              <w:jc w:val="center"/>
              <w:ind w:left="17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2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Paid-in</w:t>
            </w:r>
          </w:p>
        </w:tc>
        <w:tc>
          <w:tcPr>
            <w:tcW w:w="15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Comprehensive</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w w:val="90"/>
              </w:rPr>
              <w:t>Par Value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Capital</w:t>
            </w:r>
          </w:p>
        </w:tc>
        <w:tc>
          <w:tcPr>
            <w:tcW w:w="96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4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Balance at December 31,</w:t>
            </w: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13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45,465,160</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455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64,808</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6,904</w:t>
            </w: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6,904</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Unrealized losses on available</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for-sale securities, net of</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taxes of $3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764</w:t>
            </w: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20,605</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247</w:t>
            </w:r>
          </w:p>
        </w:tc>
        <w:tc>
          <w:tcPr>
            <w:tcW w:w="96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Excess tax benefit from share-</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based compensation</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9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400" w:type="dxa"/>
            <w:vAlign w:val="bottom"/>
            <w:gridSpan w:val="2"/>
          </w:tcPr>
          <w:p>
            <w:pPr>
              <w:spacing w:after="0" w:line="201" w:lineRule="exact"/>
              <w:rPr>
                <w:sz w:val="20"/>
                <w:szCs w:val="20"/>
                <w:color w:val="auto"/>
              </w:rPr>
            </w:pPr>
            <w:r>
              <w:rPr>
                <w:rFonts w:ascii="Arial" w:cs="Arial" w:eastAsia="Arial" w:hAnsi="Arial"/>
                <w:sz w:val="18"/>
                <w:szCs w:val="18"/>
                <w:color w:val="auto"/>
              </w:rPr>
              <w:t>Tax benefit on Spirit warrant</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400" w:type="dxa"/>
            <w:vAlign w:val="bottom"/>
            <w:gridSpan w:val="2"/>
          </w:tcPr>
          <w:p>
            <w:pPr>
              <w:ind w:left="200"/>
              <w:spacing w:after="0"/>
              <w:rPr>
                <w:sz w:val="20"/>
                <w:szCs w:val="20"/>
                <w:color w:val="auto"/>
              </w:rPr>
            </w:pPr>
            <w:r>
              <w:rPr>
                <w:rFonts w:ascii="Arial" w:cs="Arial" w:eastAsia="Arial" w:hAnsi="Arial"/>
                <w:sz w:val="18"/>
                <w:szCs w:val="18"/>
                <w:color w:val="auto"/>
              </w:rPr>
              <w:t>intangible</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4,107</w:t>
            </w:r>
          </w:p>
        </w:tc>
        <w:tc>
          <w:tcPr>
            <w:tcW w:w="96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45,485,765</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455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69,935</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65,626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20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4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rPr>
              <w:t>GRAND CANYON EDUCATION, INC.</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87"/>
              </w:rPr>
              <w:t>Statements of Cash Flows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30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96"/>
              </w:rPr>
              <w:t>March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Borders>
              <w:bottom w:val="single" w:sz="8" w:color="auto"/>
            </w:tcBorders>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1"/>
              </w:rPr>
              <w:t>(Unaudited)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3,303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6,904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Provision for bad debts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1,680</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1,090</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(2,465)</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Due to/from related parties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809</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1,667</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659</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Royalty payable to former owner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1,022</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Deferred revenue and student deposits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8,958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17,733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18,540</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36,575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(1,583)</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(1,390)</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Purchases of investments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(2,399)</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(3,030)</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Repayment on line of credit</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(6,000)</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related party payable on preferred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5,725</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3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14,914</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18,930</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35,152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33,844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68,275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Cash paid for income taxes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Purchase of equipment through capital lease obligations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760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 included in accounts payable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Tax benefit of Spirit warrant intangible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Accretion of dividends on Series C convertible preferred stock</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left="340" w:right="879" w:firstLine="373"/>
        <w:spacing w:after="0" w:line="257" w:lineRule="auto"/>
        <w:rPr>
          <w:sz w:val="20"/>
          <w:szCs w:val="20"/>
          <w:color w:val="auto"/>
        </w:rPr>
      </w:pPr>
      <w:r>
        <w:rPr>
          <w:rFonts w:ascii="Arial" w:cs="Arial" w:eastAsia="Arial" w:hAnsi="Arial"/>
          <w:sz w:val="18"/>
          <w:szCs w:val="18"/>
          <w:color w:val="auto"/>
        </w:rPr>
        <w:t>Grand Canyon Education, Inc. (the “Company”) is a regionally accredited provider of online postsecondary education services focused on offering graduate and undergraduate degree programs in its core disciplines of education, business, and healthcare. In addition to online programs, the Company offers courses at its campus in Phoenix, Arizona and onsite at the facilities of employers. The Company is accredited by The Higher Learning Commission of the North Central Association of Colleges and Schools.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85" w:lineRule="exact"/>
        <w:rPr>
          <w:sz w:val="20"/>
          <w:szCs w:val="20"/>
          <w:color w:val="auto"/>
        </w:rPr>
      </w:pPr>
    </w:p>
    <w:p>
      <w:pPr>
        <w:ind w:left="340" w:right="559" w:firstLine="373"/>
        <w:spacing w:after="0" w:line="290" w:lineRule="auto"/>
        <w:rPr>
          <w:sz w:val="20"/>
          <w:szCs w:val="20"/>
          <w:color w:val="auto"/>
        </w:rPr>
      </w:pPr>
      <w:r>
        <w:rPr>
          <w:rFonts w:ascii="Arial" w:cs="Arial" w:eastAsia="Arial" w:hAnsi="Arial"/>
          <w:sz w:val="16"/>
          <w:szCs w:val="16"/>
          <w:color w:val="auto"/>
        </w:rPr>
        <w:t>The accompanying unaudited interim financial statements of the Company have been prepared in accordance with U.S. generally accepted accounting principles, consistent in all material respects with those applied in its financial statements included in its Annual Report on Form 10-K for the fiscal year ended December 31, 2008. Accordingly, they do not include all of the information and footnotes required by accounting principles generally accepted in the United States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This Quarterly Report on Form 10-Q should be read in conjunction with the Company’s financial statements and footnotes included in its Annual Report on Form 10-K for the fiscal year ended December 31, 2008.</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left="340" w:right="859" w:firstLine="373"/>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in the financial statements and accompanying notes. Actual results could differ from those estimates.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5" w:lineRule="exact"/>
        <w:rPr>
          <w:sz w:val="20"/>
          <w:szCs w:val="20"/>
          <w:color w:val="auto"/>
        </w:rPr>
      </w:pPr>
    </w:p>
    <w:p>
      <w:pPr>
        <w:jc w:val="both"/>
        <w:ind w:left="340" w:right="619" w:firstLine="373"/>
        <w:spacing w:after="0" w:line="259" w:lineRule="auto"/>
        <w:rPr>
          <w:sz w:val="20"/>
          <w:szCs w:val="20"/>
          <w:color w:val="auto"/>
        </w:rPr>
      </w:pPr>
      <w:r>
        <w:rPr>
          <w:rFonts w:ascii="Arial" w:cs="Arial" w:eastAsia="Arial" w:hAnsi="Arial"/>
          <w:sz w:val="18"/>
          <w:szCs w:val="18"/>
          <w:color w:val="auto"/>
        </w:rPr>
        <w:t>The Company operates as a single educational delivery operation using a core infrastructure that serves the curriculum and educational delivery needs of both its ground and online students regardless of geography. The Company’s chief decision maker manages the Company’s operations as a whole and no expense or operating income information is generated or evaluated on any component level.</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Certain reclassification of prior year amounts have been made to the prior year balances to conform to the current period.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98" w:lineRule="exact"/>
        <w:rPr>
          <w:sz w:val="20"/>
          <w:szCs w:val="20"/>
          <w:color w:val="auto"/>
        </w:rPr>
      </w:pPr>
    </w:p>
    <w:p>
      <w:pPr>
        <w:ind w:left="340" w:right="579" w:firstLine="373"/>
        <w:spacing w:after="0" w:line="264" w:lineRule="auto"/>
        <w:rPr>
          <w:sz w:val="20"/>
          <w:szCs w:val="20"/>
          <w:color w:val="auto"/>
        </w:rPr>
      </w:pPr>
      <w:r>
        <w:rPr>
          <w:rFonts w:ascii="Arial" w:cs="Arial" w:eastAsia="Arial" w:hAnsi="Arial"/>
          <w:sz w:val="18"/>
          <w:szCs w:val="18"/>
          <w:color w:val="auto"/>
        </w:rPr>
        <w:t>Total comprehensive income includes net income and other comprehensive income (loss), which consists solely of unrealized gains and losses on available-for-sale investments. Total comprehensive income for the three months ended March 31, 2009 and 2008 was $6,909 and $3,308, respectively.</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Earnings Per Share</w:t>
      </w:r>
    </w:p>
    <w:p>
      <w:pPr>
        <w:spacing w:after="0" w:line="189"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preferred stock and common stock warrants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1239" w:firstLine="373"/>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8"/>
          </w:tcPr>
          <w:p>
            <w:pPr>
              <w:jc w:val="right"/>
              <w:ind w:right="4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8"/>
          </w:tcPr>
          <w:p>
            <w:pPr>
              <w:jc w:val="right"/>
              <w:ind w:right="88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40" w:type="dxa"/>
            <w:vAlign w:val="bottom"/>
          </w:tcPr>
          <w:p>
            <w:pPr>
              <w:ind w:left="200"/>
              <w:spacing w:after="0"/>
              <w:rPr>
                <w:sz w:val="20"/>
                <w:szCs w:val="20"/>
                <w:color w:val="auto"/>
              </w:rPr>
            </w:pPr>
            <w:r>
              <w:rPr>
                <w:rFonts w:ascii="Arial" w:cs="Arial" w:eastAsia="Arial" w:hAnsi="Arial"/>
                <w:sz w:val="18"/>
                <w:szCs w:val="18"/>
                <w:color w:val="auto"/>
              </w:rPr>
              <w:t>Basic common shares outstanding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19,036,050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45,474,318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preferred stock</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10,870,178</w:t>
            </w: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4340" w:type="dxa"/>
            <w:vAlign w:val="bottom"/>
          </w:tcPr>
          <w:p>
            <w:pPr>
              <w:ind w:left="200"/>
              <w:spacing w:after="0"/>
              <w:rPr>
                <w:sz w:val="20"/>
                <w:szCs w:val="20"/>
                <w:color w:val="auto"/>
              </w:rPr>
            </w:pPr>
            <w:r>
              <w:rPr>
                <w:rFonts w:ascii="Arial" w:cs="Arial" w:eastAsia="Arial" w:hAnsi="Arial"/>
                <w:sz w:val="18"/>
                <w:szCs w:val="18"/>
                <w:color w:val="auto"/>
              </w:rPr>
              <w:t>Effect of dilutive warrants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3,943,187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stock options and restricted stock</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40" w:type="dxa"/>
            <w:vAlign w:val="bottom"/>
          </w:tcPr>
          <w:p>
            <w:pPr>
              <w:ind w:left="200"/>
              <w:spacing w:after="0"/>
              <w:rPr>
                <w:sz w:val="20"/>
                <w:szCs w:val="20"/>
                <w:color w:val="auto"/>
              </w:rPr>
            </w:pPr>
            <w:r>
              <w:rPr>
                <w:rFonts w:ascii="Arial" w:cs="Arial" w:eastAsia="Arial" w:hAnsi="Arial"/>
                <w:sz w:val="18"/>
                <w:szCs w:val="18"/>
                <w:color w:val="auto"/>
              </w:rPr>
              <w:t>Diluted common shares outstanding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33,849,415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45,821,318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rPr>
              <w:t>4. Valuation and Qualifying Accounts</w:t>
            </w: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4"/>
                <w:szCs w:val="24"/>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Balance at</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3"/>
              </w:rPr>
              <w:t>Balance at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Beginning of</w:t>
            </w:r>
          </w:p>
        </w:tc>
        <w:tc>
          <w:tcPr>
            <w:tcW w:w="128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0"/>
              </w:rPr>
              <w:t>Charged to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End of</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Year</w:t>
            </w:r>
          </w:p>
        </w:tc>
        <w:tc>
          <w:tcPr>
            <w:tcW w:w="128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6"/>
              </w:rPr>
              <w:t>Expense</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7"/>
              </w:rPr>
              <w:t>Deductions</w:t>
            </w:r>
            <w:r>
              <w:rPr>
                <w:rFonts w:ascii="Arial" w:cs="Arial" w:eastAsia="Arial" w:hAnsi="Arial"/>
                <w:sz w:val="15"/>
                <w:szCs w:val="15"/>
                <w:b w:val="1"/>
                <w:bCs w:val="1"/>
                <w:color w:val="auto"/>
                <w:w w:val="87"/>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Three months ended March 31, 2008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12,158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1,680</w:t>
            </w:r>
          </w:p>
        </w:tc>
        <w:tc>
          <w:tcPr>
            <w:tcW w:w="16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(424)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13,414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6,356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3,295</w:t>
            </w:r>
          </w:p>
        </w:tc>
        <w:tc>
          <w:tcPr>
            <w:tcW w:w="16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6,068</w:t>
            </w:r>
          </w:p>
        </w:tc>
        <w:tc>
          <w:tcPr>
            <w:tcW w:w="0" w:type="dxa"/>
            <w:vAlign w:val="bottom"/>
          </w:tcPr>
          <w:p>
            <w:pPr>
              <w:spacing w:after="0"/>
              <w:rPr>
                <w:sz w:val="1"/>
                <w:szCs w:val="1"/>
                <w:color w:val="auto"/>
              </w:rPr>
            </w:pPr>
          </w:p>
        </w:tc>
      </w:tr>
      <w:tr>
        <w:trPr>
          <w:trHeight w:val="338"/>
        </w:trPr>
        <w:tc>
          <w:tcPr>
            <w:tcW w:w="5660" w:type="dxa"/>
            <w:vAlign w:val="bottom"/>
            <w:gridSpan w:val="4"/>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340" w:type="dxa"/>
            <w:vAlign w:val="bottom"/>
          </w:tcPr>
          <w:p>
            <w:pPr>
              <w:spacing w:after="0"/>
              <w:rPr>
                <w:sz w:val="20"/>
                <w:szCs w:val="20"/>
                <w:color w:val="auto"/>
              </w:rPr>
            </w:pPr>
            <w:r>
              <w:rPr>
                <w:rFonts w:ascii="Arial" w:cs="Arial" w:eastAsia="Arial" w:hAnsi="Arial"/>
                <w:sz w:val="18"/>
                <w:szCs w:val="18"/>
                <w:b w:val="1"/>
                <w:bCs w:val="1"/>
                <w:color w:val="auto"/>
              </w:rPr>
              <w:t>5. Accrued Liabilities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40" w:type="dxa"/>
            <w:vAlign w:val="bottom"/>
          </w:tcPr>
          <w:p>
            <w:pPr>
              <w:ind w:left="360"/>
              <w:spacing w:after="0"/>
              <w:rPr>
                <w:sz w:val="20"/>
                <w:szCs w:val="20"/>
                <w:color w:val="auto"/>
              </w:rPr>
            </w:pPr>
            <w:r>
              <w:rPr>
                <w:rFonts w:ascii="Arial" w:cs="Arial" w:eastAsia="Arial" w:hAnsi="Arial"/>
                <w:sz w:val="18"/>
                <w:szCs w:val="18"/>
                <w:color w:val="auto"/>
              </w:rPr>
              <w:t>Accrued liabilities consist of the following: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4"/>
                <w:szCs w:val="24"/>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5,340</w:t>
            </w: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Tax reserves, non-income tax related</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FIN 48 accrual</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9,674</w:t>
            </w: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8" w:lineRule="exact"/>
        <w:rPr>
          <w:sz w:val="20"/>
          <w:szCs w:val="20"/>
          <w:color w:val="auto"/>
        </w:rPr>
      </w:pPr>
    </w:p>
    <w:p>
      <w:pPr>
        <w:ind w:left="340" w:right="659" w:firstLine="373"/>
        <w:spacing w:after="0" w:line="342" w:lineRule="auto"/>
        <w:rPr>
          <w:sz w:val="20"/>
          <w:szCs w:val="20"/>
          <w:color w:val="auto"/>
        </w:rPr>
      </w:pPr>
      <w:r>
        <w:rPr>
          <w:rFonts w:ascii="Arial" w:cs="Arial" w:eastAsia="Arial" w:hAnsi="Arial"/>
          <w:sz w:val="16"/>
          <w:szCs w:val="16"/>
          <w:color w:val="auto"/>
        </w:rPr>
        <w:t>The Company leases certain land, buildings and equipment under non-cancelable operating leases expiring at various dates through 2023. Future minimum lease payments under operating leases due each year are as follows at March 31, 2009:</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2,753</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2010</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4,487</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4,187</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3,688</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3,538</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20,319</w:t>
            </w:r>
          </w:p>
        </w:tc>
      </w:tr>
      <w:tr>
        <w:trPr>
          <w:trHeight w:val="27"/>
        </w:trPr>
        <w:tc>
          <w:tcPr>
            <w:tcW w:w="8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38,972</w:t>
            </w:r>
          </w:p>
        </w:tc>
      </w:tr>
      <w:tr>
        <w:trPr>
          <w:trHeight w:val="20"/>
        </w:trPr>
        <w:tc>
          <w:tcPr>
            <w:tcW w:w="8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037" w:gutter="0" w:footer="0" w:header="0"/>
        </w:sect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37"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799" w:firstLine="373"/>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three months ended March 31, 2008 and 2009 was $553, and $1,135,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Matters</w:t>
      </w:r>
    </w:p>
    <w:p>
      <w:pPr>
        <w:spacing w:after="0" w:line="185" w:lineRule="exact"/>
        <w:rPr>
          <w:sz w:val="20"/>
          <w:szCs w:val="20"/>
          <w:color w:val="auto"/>
        </w:rPr>
      </w:pPr>
    </w:p>
    <w:p>
      <w:pPr>
        <w:ind w:left="340" w:right="619" w:firstLine="373"/>
        <w:spacing w:after="0" w:line="271" w:lineRule="auto"/>
        <w:rPr>
          <w:sz w:val="20"/>
          <w:szCs w:val="20"/>
          <w:color w:val="auto"/>
        </w:rPr>
      </w:pPr>
      <w:r>
        <w:rPr>
          <w:rFonts w:ascii="Arial" w:cs="Arial" w:eastAsia="Arial" w:hAnsi="Arial"/>
          <w:sz w:val="17"/>
          <w:szCs w:val="17"/>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were previously a party to a dispute with SunGard Higher Education Managed Services Inc. (“SunGard”). 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October 22, 2008, an arbitration panel issued a final award pursuant to which the Company and SunGard were awarded damages,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with a net award to SunGard in the amount of approximately $250 plus interest. The arbitration panel also held that each party</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would be responsible for its own attorneys’ fees and that the parties would equally share the arbitration costs. On January 14,</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2009, we entered into a settlement agreement with SunGard regarding payment of the arbitration award and effecting a mutual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release between the parties regarding all claims that were brought, or could have been brought, in the litigation and related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arbitration, and all administrative matters relating to this dispute have been resolved. Therefore, as of March 31, 2009 there are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reserves for litigation related to this matter.</w:t>
      </w:r>
    </w:p>
    <w:p>
      <w:pPr>
        <w:spacing w:after="0" w:line="170" w:lineRule="exact"/>
        <w:rPr>
          <w:sz w:val="20"/>
          <w:szCs w:val="20"/>
          <w:color w:val="auto"/>
        </w:rPr>
      </w:pPr>
    </w:p>
    <w:p>
      <w:pPr>
        <w:ind w:left="340" w:right="679" w:firstLine="373"/>
        <w:spacing w:after="0" w:line="297" w:lineRule="auto"/>
        <w:rPr>
          <w:sz w:val="20"/>
          <w:szCs w:val="20"/>
          <w:color w:val="auto"/>
        </w:rPr>
      </w:pPr>
      <w:r>
        <w:rPr>
          <w:rFonts w:ascii="Arial" w:cs="Arial" w:eastAsia="Arial" w:hAnsi="Arial"/>
          <w:sz w:val="16"/>
          <w:szCs w:val="16"/>
          <w:color w:val="auto"/>
        </w:rPr>
        <w:t>On August 14, 2008, the Office of Inspector General of the United States Department of Education (“OIG”) served an administrative subpoena on the Company requiring it to provide certain records and information related to performance reviews and salary adjustments for all of its enrollment counselors and managers from January 1, 2004 to the present. The Company is cooperating with the OIG to facilitate its investigation and is now in the discovery phase of this investigation. The Company cannot presently predict the ultimate outcome of the investigation or any liability or other sanctions that may result.</w:t>
      </w:r>
    </w:p>
    <w:p>
      <w:pPr>
        <w:spacing w:after="0" w:line="118" w:lineRule="exact"/>
        <w:rPr>
          <w:sz w:val="20"/>
          <w:szCs w:val="20"/>
          <w:color w:val="auto"/>
        </w:rPr>
      </w:pPr>
    </w:p>
    <w:p>
      <w:pPr>
        <w:ind w:left="340" w:right="579" w:firstLine="373"/>
        <w:spacing w:after="0" w:line="284" w:lineRule="auto"/>
        <w:rPr>
          <w:sz w:val="20"/>
          <w:szCs w:val="20"/>
          <w:color w:val="auto"/>
        </w:rPr>
      </w:pPr>
      <w:r>
        <w:rPr>
          <w:rFonts w:ascii="Arial" w:cs="Arial" w:eastAsia="Arial" w:hAnsi="Arial"/>
          <w:sz w:val="16"/>
          <w:szCs w:val="16"/>
          <w:color w:val="auto"/>
        </w:rPr>
        <w:t xml:space="preserve">On September 11, 2008, the Company was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the Company in August 2007 in the United States District Court for the District of Arizona by a then-current employee on behalf of the federal government. All proceedings in the lawsuit had been under seal until September 5, 2008, when the court unsealed the first amended complaint, which was filed on August 11, 2008.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the Company violated the False Claims Act by knowingly making false statements, and submitting false records or statements, from at least 2001 to the present, to get false or fraudulent claims paid or approved, and asserts that the Company improperly compensated certain of its enrollment counselors in violation of the Title IV law governing compensation of such employees, and as a result, improperly received Title IV program funds. The complaint specifically alleges that some of the Company’s compensation practices with respect to its enrollment personnel, including providing non-cash awards, have violated the Title IV law governing compensation. While the Company believes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are not within the scope of any explicit “safe harbor” provided in the compensation regulations. The complaint seeks treble the amount of unspecified damages sustained by the federal government in connection with the Company’s receipt of Title IV funding, a civil penalty for each violation of the False Claims Act, attorneys’ fees, costs, and interest. A number of similar lawsuits have been filed in recent years against for-profit educational institutions that receive Title IV funds. While the Company’s motion to dismiss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has been denied, the Company is currently conducting discovery and plans to vigorously contest the lawsuit. Based on information available to date, management does not believe that the outcome of this proceeding would have a material adverse effect on the Company’s financial condition, results of operations or cash flows. However, the outcome of this proceeding is uncertain and the Company cannot presently predict the ultimate outcome of this case or any liability or other sanctions that may result. If it were determined that any of the Company’s compensation practices violated the incentive compensation law, the Company could be subject to substantial monetary liabilities, fines, and other sanctions or could suffer monetary damages.</w:t>
      </w:r>
    </w:p>
    <w:p>
      <w:pPr>
        <w:spacing w:after="0" w:line="152" w:lineRule="exact"/>
        <w:rPr>
          <w:sz w:val="20"/>
          <w:szCs w:val="20"/>
          <w:color w:val="auto"/>
        </w:rPr>
      </w:pPr>
    </w:p>
    <w:p>
      <w:pPr>
        <w:ind w:left="340" w:right="579" w:firstLine="373"/>
        <w:spacing w:after="0" w:line="264" w:lineRule="auto"/>
        <w:rPr>
          <w:sz w:val="20"/>
          <w:szCs w:val="20"/>
          <w:color w:val="auto"/>
        </w:rPr>
      </w:pPr>
      <w:r>
        <w:rPr>
          <w:rFonts w:ascii="Arial" w:cs="Arial" w:eastAsia="Arial" w:hAnsi="Arial"/>
          <w:sz w:val="18"/>
          <w:szCs w:val="18"/>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85" w:lineRule="exact"/>
        <w:rPr>
          <w:sz w:val="20"/>
          <w:szCs w:val="20"/>
          <w:color w:val="auto"/>
        </w:rPr>
      </w:pPr>
    </w:p>
    <w:p>
      <w:pPr>
        <w:jc w:val="both"/>
        <w:ind w:left="340" w:right="619" w:firstLine="373"/>
        <w:spacing w:after="0" w:line="312" w:lineRule="auto"/>
        <w:rPr>
          <w:sz w:val="20"/>
          <w:szCs w:val="20"/>
          <w:color w:val="auto"/>
        </w:rPr>
      </w:pPr>
      <w:r>
        <w:rPr>
          <w:rFonts w:ascii="Arial" w:cs="Arial" w:eastAsia="Arial" w:hAnsi="Arial"/>
          <w:sz w:val="16"/>
          <w:szCs w:val="16"/>
          <w:color w:val="auto"/>
        </w:rPr>
        <w:t>From time to time the Company has exposure to various non-income tax related matters that arise in the ordinary course of business. At March 31, 2009 and December 31, 2008, the Company has reserved approximately $810 and $710, respectively, for tax matters where its ultimate exposure is considered probable and the potential loss can be reasonably estimated.</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Income Taxes</w:t>
      </w:r>
    </w:p>
    <w:p>
      <w:pPr>
        <w:spacing w:after="0" w:line="202" w:lineRule="exact"/>
        <w:rPr>
          <w:sz w:val="20"/>
          <w:szCs w:val="20"/>
          <w:color w:val="auto"/>
        </w:rPr>
      </w:pPr>
    </w:p>
    <w:p>
      <w:pPr>
        <w:ind w:left="340" w:right="559" w:firstLine="373"/>
        <w:spacing w:after="0" w:line="259" w:lineRule="auto"/>
        <w:rPr>
          <w:sz w:val="20"/>
          <w:szCs w:val="20"/>
          <w:color w:val="auto"/>
        </w:rPr>
      </w:pPr>
      <w:r>
        <w:rPr>
          <w:rFonts w:ascii="Arial" w:cs="Arial" w:eastAsia="Arial" w:hAnsi="Arial"/>
          <w:sz w:val="18"/>
          <w:szCs w:val="18"/>
          <w:color w:val="auto"/>
        </w:rPr>
        <w:t>The Company’s uncertain tax positions are related to tax years that remain subject to examination by tax authorities. As of March 31, 2009, the earliest tax year still subject to examination for federal and state purposes is 2005. During the second quarter ended June 30, 2008, the Internal Revenue Service (“IRS”) commenced an examination of the Company’s 2005 income tax return.</w:t>
      </w:r>
    </w:p>
    <w:p>
      <w:pPr>
        <w:spacing w:after="0" w:line="146" w:lineRule="exact"/>
        <w:rPr>
          <w:sz w:val="20"/>
          <w:szCs w:val="20"/>
          <w:color w:val="auto"/>
        </w:rPr>
      </w:pPr>
    </w:p>
    <w:p>
      <w:pPr>
        <w:ind w:left="340" w:right="599" w:firstLine="373"/>
        <w:spacing w:after="0" w:line="257" w:lineRule="auto"/>
        <w:rPr>
          <w:sz w:val="20"/>
          <w:szCs w:val="20"/>
          <w:color w:val="auto"/>
        </w:rPr>
      </w:pPr>
      <w:r>
        <w:rPr>
          <w:rFonts w:ascii="Arial" w:cs="Arial" w:eastAsia="Arial" w:hAnsi="Arial"/>
          <w:sz w:val="18"/>
          <w:szCs w:val="18"/>
          <w:color w:val="auto"/>
        </w:rPr>
        <w:t>During the three months ended March 31, 2009, the Company determined that it was entitled to a deferred tax benefit in the amount of $4,107 related to the fair value of the exercised warrant by Spirit Management Company. This exercise generated a leasehold intangible for income tax purposes that will be amortized over the life of the original term of the lease agreement. Given that the tax benefit related to an equity transaction, the benefit of this long-term deferred tax asset has been recorded as a credit to additional paid-in capital.</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Share-Based Compensation</w:t>
      </w:r>
    </w:p>
    <w:p>
      <w:pPr>
        <w:spacing w:after="0" w:line="202" w:lineRule="exact"/>
        <w:rPr>
          <w:sz w:val="20"/>
          <w:szCs w:val="20"/>
          <w:color w:val="auto"/>
        </w:rPr>
      </w:pPr>
    </w:p>
    <w:p>
      <w:pPr>
        <w:ind w:left="340" w:right="599" w:firstLine="373"/>
        <w:spacing w:after="0" w:line="272" w:lineRule="auto"/>
        <w:rPr>
          <w:sz w:val="20"/>
          <w:szCs w:val="20"/>
          <w:color w:val="auto"/>
        </w:rPr>
      </w:pPr>
      <w:r>
        <w:rPr>
          <w:rFonts w:ascii="Arial" w:cs="Arial" w:eastAsia="Arial" w:hAnsi="Arial"/>
          <w:sz w:val="17"/>
          <w:szCs w:val="17"/>
          <w:color w:val="auto"/>
        </w:rPr>
        <w:t>On September 27, 2008 the Company’s shareholders approved the adoption of the 2008 Equity Incentive Plan (“Incentive Plan”) and the 2008 Employee Stock Purchase (“ESPP”). A total of 4,199,937 shares of our common stock were originally authorized for issuance under the Incentive Plan. On January 1, 2009 and in accordance with the terms of the Incentive Plan, the number of shares authorized for issuance under the Incentive Plan automatically increased by 2.5% of the number of shares of common stock issued and outstanding on December 31, 2008, or 1,136,629 shares, raising the total number of shares of common stock authorized for issuance under the Incentive Plan to 5,336,566 shares. Although the ESPP is not in use, a total of 1,049,984 shares of our common stock have been authorized for sale under the ESPP.</w:t>
      </w:r>
    </w:p>
    <w:p>
      <w:pPr>
        <w:spacing w:after="0" w:line="137" w:lineRule="exact"/>
        <w:rPr>
          <w:sz w:val="20"/>
          <w:szCs w:val="20"/>
          <w:color w:val="auto"/>
        </w:rPr>
      </w:pPr>
    </w:p>
    <w:p>
      <w:pPr>
        <w:ind w:left="340" w:right="699" w:firstLine="373"/>
        <w:spacing w:after="0" w:line="277" w:lineRule="auto"/>
        <w:rPr>
          <w:sz w:val="20"/>
          <w:szCs w:val="20"/>
          <w:color w:val="auto"/>
        </w:rPr>
      </w:pPr>
      <w:r>
        <w:rPr>
          <w:rFonts w:ascii="Arial" w:cs="Arial" w:eastAsia="Arial" w:hAnsi="Arial"/>
          <w:sz w:val="18"/>
          <w:szCs w:val="18"/>
          <w:color w:val="auto"/>
        </w:rPr>
        <w:t>The table below reflects our share-based compensation expense recognized in the three months ended March 31, 2008 and 2009 related to stock options granted under the Incentive Plan:</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Selling and promotional</w:t>
            </w:r>
          </w:p>
        </w:tc>
        <w:tc>
          <w:tcPr>
            <w:tcW w:w="72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Stock-based compensation expense included in operating expenses</w:t>
            </w:r>
          </w:p>
        </w:tc>
        <w:tc>
          <w:tcPr>
            <w:tcW w:w="72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761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(304)</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Share-based compensation expense, net of tax</w:t>
            </w:r>
          </w:p>
        </w:tc>
        <w:tc>
          <w:tcPr>
            <w:tcW w:w="720" w:type="dxa"/>
            <w:vAlign w:val="bottom"/>
          </w:tcPr>
          <w:p>
            <w:pPr>
              <w:jc w:val="right"/>
              <w:ind w:right="55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457</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Grant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March 3, 2009, the Company granted 1,307 shares of restricted common stock with a fair value of $15.30 per share to</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of David J. Johnson and Jack A. Henry, each of whom was appointed to the Company’s board of directors in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November 2008. The fair value of this grant is reflected as share-based compensation expense in the first quarter of 2009 in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amount of $3 in general and administrative expense. The restricted shares have voting rights and vest on March 3, 2010.</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Regulatory</w:t>
      </w:r>
    </w:p>
    <w:p>
      <w:pPr>
        <w:spacing w:after="0" w:line="189" w:lineRule="exact"/>
        <w:rPr>
          <w:sz w:val="20"/>
          <w:szCs w:val="20"/>
          <w:color w:val="auto"/>
        </w:rPr>
      </w:pPr>
    </w:p>
    <w:p>
      <w:pPr>
        <w:ind w:left="340" w:right="659" w:firstLine="373"/>
        <w:spacing w:after="0" w:line="257" w:lineRule="auto"/>
        <w:rPr>
          <w:sz w:val="20"/>
          <w:szCs w:val="20"/>
          <w:color w:val="auto"/>
        </w:rPr>
      </w:pPr>
      <w:r>
        <w:rPr>
          <w:rFonts w:ascii="Arial" w:cs="Arial" w:eastAsia="Arial" w:hAnsi="Arial"/>
          <w:sz w:val="18"/>
          <w:szCs w:val="18"/>
          <w:color w:val="auto"/>
        </w:rPr>
        <w:t>The Company is subject to extensive regulation by federal and state governmental agencies and accrediting bodies. In particular, the Higher Education Act of 1965, as amended (the “Higher Education Act”), and the regulations promulgated thereunder by the Department of Education subject the Company to significant regulatory scrutiny on the basis of numerous standards that schools must satisfy in order to participate in the various federal student financial assistance programs under Title IV of the Higher Education Act.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559" w:firstLine="373"/>
        <w:spacing w:after="0" w:line="269" w:lineRule="auto"/>
        <w:rPr>
          <w:sz w:val="20"/>
          <w:szCs w:val="20"/>
          <w:color w:val="auto"/>
        </w:rPr>
      </w:pPr>
      <w:r>
        <w:rPr>
          <w:rFonts w:ascii="Arial" w:cs="Arial" w:eastAsia="Arial" w:hAnsi="Arial"/>
          <w:sz w:val="17"/>
          <w:szCs w:val="17"/>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Company submitted its application for recertification in March 2008 in anticipation of the expiration of its provisional certification on June 30, 2008. The Department of Education did not make a decision on the Company’s recertification application by June 30, 2008, and therefore the Company’s participation in the Title IV programs has been automatically extended on a month-to-month basis until the Department of Education makes its decision. As of December 31, 2008 and March 31, 2009, management believes the Company is in compliance with the applicable regulations in all material respects.</w:t>
      </w:r>
    </w:p>
    <w:p>
      <w:pPr>
        <w:spacing w:after="0" w:line="142" w:lineRule="exact"/>
        <w:rPr>
          <w:sz w:val="20"/>
          <w:szCs w:val="20"/>
          <w:color w:val="auto"/>
        </w:rPr>
      </w:pPr>
    </w:p>
    <w:p>
      <w:pPr>
        <w:ind w:left="340" w:right="559" w:firstLine="373"/>
        <w:spacing w:after="0" w:line="257" w:lineRule="auto"/>
        <w:rPr>
          <w:sz w:val="20"/>
          <w:szCs w:val="20"/>
          <w:color w:val="auto"/>
        </w:rPr>
      </w:pPr>
      <w:r>
        <w:rPr>
          <w:rFonts w:ascii="Arial" w:cs="Arial" w:eastAsia="Arial" w:hAnsi="Arial"/>
          <w:sz w:val="18"/>
          <w:szCs w:val="18"/>
          <w:color w:val="auto"/>
        </w:rPr>
        <w:t>The Higher Education Act requires accrediting agencies to review many aspects of an institution’s operations in order to ensure that the training offered is of sufficiently high quality to achieve satisfactory outcomes, and that the institution is complying with accrediting standards. Failure to demonstrate compliance with accrediting standards may result in the imposition of probation or Show Cause orders, or the requirements of periodic reports, and ultimately the loss of accreditation if deficiencies are not remediated.</w:t>
      </w:r>
    </w:p>
    <w:p>
      <w:pPr>
        <w:spacing w:after="0" w:line="148" w:lineRule="exact"/>
        <w:rPr>
          <w:sz w:val="20"/>
          <w:szCs w:val="20"/>
          <w:color w:val="auto"/>
        </w:rPr>
      </w:pPr>
    </w:p>
    <w:p>
      <w:pPr>
        <w:ind w:left="340" w:right="599" w:firstLine="373"/>
        <w:spacing w:after="0" w:line="253" w:lineRule="auto"/>
        <w:rPr>
          <w:sz w:val="20"/>
          <w:szCs w:val="20"/>
          <w:color w:val="auto"/>
        </w:rPr>
      </w:pPr>
      <w:r>
        <w:rPr>
          <w:rFonts w:ascii="Arial" w:cs="Arial" w:eastAsia="Arial" w:hAnsi="Arial"/>
          <w:sz w:val="18"/>
          <w:szCs w:val="18"/>
          <w:color w:val="auto"/>
        </w:rPr>
        <w:t>Political and budgetary concerns significantly affect the Title IV programs. Congress must reauthorize the student financial assistance programs of the Higher Education Act on a periodic basis. On July 31, 2008, Congress passed the Higher Education Opportunity Act (the “2008 Act”), which reauthorized and made numerous changes to the Higher Education Act and its programs. President Bush signed the 2008 Act on August 14, 2008. The Higher Education Act, as reauthorized and amended by the 2008 Act, continues the access of the Company and its students to Title IV funds. In addition, changes made by the 2008 Act will affect how the Company complies with the requirement that it receive a certain proportion of its revenue from other than the Title IV programs. Other recent changes made by Congress expanded the access of the Company and its students to Title IV funds by increasing loan limits for first and second year students and lifting restrictions on online education programs and students.</w:t>
      </w:r>
    </w:p>
    <w:p>
      <w:pPr>
        <w:spacing w:after="0" w:line="170" w:lineRule="exact"/>
        <w:rPr>
          <w:sz w:val="20"/>
          <w:szCs w:val="20"/>
          <w:color w:val="auto"/>
        </w:rPr>
      </w:pPr>
    </w:p>
    <w:p>
      <w:pPr>
        <w:ind w:left="340" w:right="599" w:firstLine="373"/>
        <w:spacing w:after="0" w:line="288" w:lineRule="auto"/>
        <w:rPr>
          <w:sz w:val="20"/>
          <w:szCs w:val="20"/>
          <w:color w:val="auto"/>
        </w:rPr>
      </w:pPr>
      <w:r>
        <w:rPr>
          <w:rFonts w:ascii="Arial" w:cs="Arial" w:eastAsia="Arial" w:hAnsi="Arial"/>
          <w:sz w:val="16"/>
          <w:szCs w:val="16"/>
          <w:color w:val="auto"/>
        </w:rPr>
        <w:t>A significant component of Congress’ initiative to reduce abuse in the Title IV programs has been the imposition of limitations on institutions whose former students default on the repayment of their federally guaranteed or funded student loans above specific rates (cohort default rate). Although the Company is not obligated to repay any of its students’ or former students’ defaults on payments of their federally guaranteed student loans, if such default rates equal or exceed 25% for three consecutive years, the institution may lose its eligibility to participate in, and its students will be denied access to, the federally guaranteed and funded student loan programs and the Federal Pell Grant program. An institution whose cohort default rate for any federal fiscal year exceeds 40% may have its eligibility to participate in all of the Title IV programs limited, suspended or terminated by the Department of Education. The 2008 Act included significant revisions to the requirements concerning institutions’ cohort default rates, including revisions to the formula for calculating an institution’s annual cohort default rate, and increases to the threshold for ending an institution’s participation in the relevant Title IV programs from 25% to 30%.</w:t>
      </w:r>
    </w:p>
    <w:p>
      <w:pPr>
        <w:spacing w:after="0" w:line="129" w:lineRule="exact"/>
        <w:rPr>
          <w:sz w:val="20"/>
          <w:szCs w:val="20"/>
          <w:color w:val="auto"/>
        </w:rPr>
      </w:pPr>
    </w:p>
    <w:p>
      <w:pPr>
        <w:ind w:left="340" w:right="739" w:firstLine="373"/>
        <w:spacing w:after="0" w:line="312" w:lineRule="auto"/>
        <w:rPr>
          <w:sz w:val="20"/>
          <w:szCs w:val="20"/>
          <w:color w:val="auto"/>
        </w:rPr>
      </w:pPr>
      <w:r>
        <w:rPr>
          <w:rFonts w:ascii="Arial" w:cs="Arial" w:eastAsia="Arial" w:hAnsi="Arial"/>
          <w:sz w:val="16"/>
          <w:szCs w:val="16"/>
          <w:color w:val="auto"/>
        </w:rPr>
        <w:t>All institutions participating in the Title IV programs must satisfy specific standards of financial responsibility. The Department of Education evaluates institutions for compliance with these standards each year, based on the institution’s annual audited financial statements, and also following a change in ownership, as defined by the Department of Education.</w:t>
      </w:r>
    </w:p>
    <w:p>
      <w:pPr>
        <w:spacing w:after="0" w:line="106" w:lineRule="exact"/>
        <w:rPr>
          <w:sz w:val="20"/>
          <w:szCs w:val="20"/>
          <w:color w:val="auto"/>
        </w:rPr>
      </w:pPr>
    </w:p>
    <w:p>
      <w:pPr>
        <w:ind w:left="340" w:right="559" w:firstLine="373"/>
        <w:spacing w:after="0" w:line="272" w:lineRule="auto"/>
        <w:rPr>
          <w:sz w:val="20"/>
          <w:szCs w:val="20"/>
          <w:color w:val="auto"/>
        </w:rPr>
      </w:pPr>
      <w:r>
        <w:rPr>
          <w:rFonts w:ascii="Arial" w:cs="Arial" w:eastAsia="Arial" w:hAnsi="Arial"/>
          <w:sz w:val="17"/>
          <w:szCs w:val="17"/>
          <w:color w:val="auto"/>
        </w:rPr>
        <w:t>The Higher Learning Commission considered our initial public offering to be a change in control under its policies. While we obtained the Higher Learning Commission’s approval to consummate the offering, as a result of its determination that the public offering constituted a change in control, the Higher Learning Commission informed us that it would conduct a site visit to confirm the appropriateness of the approval and to evaluate whether we continue to meet the Higher Learning Commission’s eligibility criteria. The Higher Learning Commission conducted its site visit in March 2009 and determined, among other things, that the initial public offering was conducted in a manner that did not disrupt the ongoing operations of the University and that no further action would be required as a result of the change in control.</w:t>
      </w:r>
    </w:p>
    <w:p>
      <w:pPr>
        <w:spacing w:after="0" w:line="151" w:lineRule="exact"/>
        <w:rPr>
          <w:sz w:val="20"/>
          <w:szCs w:val="20"/>
          <w:color w:val="auto"/>
        </w:rPr>
      </w:pPr>
    </w:p>
    <w:p>
      <w:pPr>
        <w:ind w:left="340" w:right="619" w:firstLine="373"/>
        <w:spacing w:after="0" w:line="273" w:lineRule="auto"/>
        <w:rPr>
          <w:sz w:val="20"/>
          <w:szCs w:val="20"/>
          <w:color w:val="auto"/>
        </w:rPr>
      </w:pPr>
      <w:r>
        <w:rPr>
          <w:rFonts w:ascii="Arial" w:cs="Arial" w:eastAsia="Arial" w:hAnsi="Arial"/>
          <w:sz w:val="17"/>
          <w:szCs w:val="17"/>
          <w:color w:val="auto"/>
        </w:rPr>
        <w:t>Because the Company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Company, or that such claims, if made, will not have a material adverse effect on the Company’s business, results of operations or financial condition, management believes it has materially complied with all regulatory requirements.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Subsequent Events</w:t>
      </w:r>
    </w:p>
    <w:p>
      <w:pPr>
        <w:spacing w:after="0" w:line="189" w:lineRule="exact"/>
        <w:rPr>
          <w:sz w:val="20"/>
          <w:szCs w:val="20"/>
          <w:color w:val="auto"/>
        </w:rPr>
      </w:pPr>
    </w:p>
    <w:p>
      <w:pPr>
        <w:ind w:left="340" w:right="719"/>
        <w:spacing w:after="0" w:line="289" w:lineRule="auto"/>
        <w:rPr>
          <w:sz w:val="20"/>
          <w:szCs w:val="20"/>
          <w:color w:val="auto"/>
        </w:rPr>
      </w:pPr>
      <w:r>
        <w:rPr>
          <w:rFonts w:ascii="Arial" w:cs="Arial" w:eastAsia="Arial" w:hAnsi="Arial"/>
          <w:sz w:val="16"/>
          <w:szCs w:val="16"/>
          <w:color w:val="auto"/>
        </w:rPr>
        <w:t>On April 27, 2009, we signed a purchase agreement pursuant to which we agreed to acquire our campus land and buildings and 909,348 shares of our common stock from Spirit Master Funding, LLC and Spirit Management Company, respectively (collectively, “Spirit”) for an aggregate purchase price of $50 million. Prior to the acquisition, we had leased the land and buildings from Spirit accounting for the land as an operating lease and the buildings and improvements as capital lease obligations. To finance this purchase, we also entered into a loan agreement with a financial institution pursuant to which we agreed to borrow $25.7 million, all of which will be used to fund a portion of the purchase price. Under the terms of the loan agreement, the Company will make principal payments in equal monthly installments of $143 plus accrued interest at 30 day LIBOR plus 3.5% (approximately 4.0% at April 27, 2009). All remaining unpaid principal is due on March 31, 2014. The transaction and funding are expected to close promptly and, in any event, by no later than April 30, 2009.</w:t>
      </w: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left="340" w:right="859" w:firstLine="373"/>
        <w:spacing w:after="0" w:line="277" w:lineRule="auto"/>
        <w:rPr>
          <w:sz w:val="20"/>
          <w:szCs w:val="20"/>
          <w:color w:val="auto"/>
        </w:rPr>
      </w:pPr>
      <w:r>
        <w:rPr>
          <w:rFonts w:ascii="Arial" w:cs="Arial" w:eastAsia="Arial" w:hAnsi="Arial"/>
          <w:sz w:val="18"/>
          <w:szCs w:val="18"/>
          <w:i w:val="1"/>
          <w:iCs w:val="1"/>
          <w:color w:val="auto"/>
        </w:rPr>
        <w:t>The following discussion of our historical results of operations and our liquidity and capital resources should be read in conjunction with the financial statements and related notes that appear elsewhere in this report.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left="340" w:right="599" w:firstLine="373"/>
        <w:spacing w:after="0" w:line="270" w:lineRule="auto"/>
        <w:rPr>
          <w:sz w:val="20"/>
          <w:szCs w:val="20"/>
          <w:color w:val="auto"/>
        </w:rPr>
      </w:pPr>
      <w:r>
        <w:rPr>
          <w:rFonts w:ascii="Arial" w:cs="Arial" w:eastAsia="Arial" w:hAnsi="Arial"/>
          <w:sz w:val="17"/>
          <w:szCs w:val="17"/>
          <w:color w:val="auto"/>
        </w:rPr>
        <w:t xml:space="preserve">This Quarterly Report on Form 10-Q, including Item 2,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contains certain “forward-looking statements,” which include information relating to future events, future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51" w:lineRule="exact"/>
        <w:rPr>
          <w:sz w:val="20"/>
          <w:szCs w:val="20"/>
          <w:color w:val="auto"/>
        </w:rPr>
      </w:pPr>
    </w:p>
    <w:p>
      <w:pPr>
        <w:ind w:left="340" w:right="719" w:firstLine="373"/>
        <w:spacing w:after="0" w:line="273"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38" w:lineRule="exact"/>
        <w:rPr>
          <w:sz w:val="20"/>
          <w:szCs w:val="20"/>
          <w:color w:val="auto"/>
        </w:rPr>
      </w:pPr>
    </w:p>
    <w:p>
      <w:pPr>
        <w:ind w:left="1420" w:right="579" w:hanging="345"/>
        <w:spacing w:after="0" w:line="264"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140" w:lineRule="exact"/>
        <w:rPr>
          <w:rFonts w:ascii="Arial" w:cs="Arial" w:eastAsia="Arial" w:hAnsi="Arial"/>
          <w:sz w:val="18"/>
          <w:szCs w:val="18"/>
          <w:b w:val="1"/>
          <w:bCs w:val="1"/>
          <w:color w:val="auto"/>
        </w:rPr>
      </w:pPr>
    </w:p>
    <w:p>
      <w:pPr>
        <w:ind w:left="1420" w:right="919" w:hanging="345"/>
        <w:spacing w:after="0" w:line="264"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 xml:space="preserve">the results of the ongoing investigation by the Department of Education’s Office of Inspector General and the pending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regarding the manner in which we have compensated our enrollment personnel, and possible remedial actions or other liability resulting therefrom;</w:t>
      </w:r>
    </w:p>
    <w:p>
      <w:pPr>
        <w:spacing w:after="0" w:line="15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84" w:lineRule="exact"/>
        <w:rPr>
          <w:rFonts w:ascii="Arial" w:cs="Arial" w:eastAsia="Arial" w:hAnsi="Arial"/>
          <w:sz w:val="18"/>
          <w:szCs w:val="18"/>
          <w:b w:val="1"/>
          <w:bCs w:val="1"/>
          <w:color w:val="auto"/>
        </w:rPr>
      </w:pPr>
    </w:p>
    <w:p>
      <w:pPr>
        <w:ind w:left="1420" w:right="89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risks associated with changes in applicable federal and state laws and regulations and accrediting commission standards;</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hire and train new, and develop and train existing, enrollment counselors;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pace of growth of our enrollment;</w:t>
      </w:r>
    </w:p>
    <w:p>
      <w:pPr>
        <w:spacing w:after="0" w:line="198"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convert prospective students to enrolled students and to retain active students;</w:t>
      </w:r>
    </w:p>
    <w:p>
      <w:pPr>
        <w:spacing w:after="0" w:line="184" w:lineRule="exact"/>
        <w:rPr>
          <w:rFonts w:ascii="Arial" w:cs="Arial" w:eastAsia="Arial" w:hAnsi="Arial"/>
          <w:sz w:val="18"/>
          <w:szCs w:val="18"/>
          <w:b w:val="1"/>
          <w:bCs w:val="1"/>
          <w:color w:val="auto"/>
        </w:rPr>
      </w:pPr>
    </w:p>
    <w:p>
      <w:pPr>
        <w:ind w:left="1420" w:right="71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129"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industry competition, including competition for qualified executives and other personnel;</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risks associated with the competitive environment for marketing our programs;</w:t>
      </w:r>
    </w:p>
    <w:p>
      <w:pPr>
        <w:spacing w:after="0" w:line="198" w:lineRule="exact"/>
        <w:rPr>
          <w:rFonts w:ascii="Arial" w:cs="Arial" w:eastAsia="Arial" w:hAnsi="Arial"/>
          <w:sz w:val="18"/>
          <w:szCs w:val="18"/>
          <w:b w:val="1"/>
          <w:bCs w:val="1"/>
          <w:color w:val="auto"/>
        </w:rPr>
      </w:pPr>
    </w:p>
    <w:p>
      <w:pPr>
        <w:ind w:left="1420" w:right="107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manage future growth effectively;</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general adverse economic conditions or other developments that affect job prospects in our core disciplines; and</w:t>
      </w:r>
    </w:p>
    <w:p>
      <w:pPr>
        <w:spacing w:after="0" w:line="207" w:lineRule="exact"/>
        <w:rPr>
          <w:rFonts w:ascii="Arial" w:cs="Arial" w:eastAsia="Arial" w:hAnsi="Arial"/>
          <w:sz w:val="16"/>
          <w:szCs w:val="16"/>
          <w:b w:val="1"/>
          <w:bCs w:val="1"/>
          <w:color w:val="auto"/>
        </w:rPr>
      </w:pPr>
    </w:p>
    <w:p>
      <w:pPr>
        <w:ind w:left="1420" w:right="113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other factors discussed under the headings “Risk Factors” and “Management’s Discussion and Analysis of Financial Condition and Results of Operations.”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color w:val="auto"/>
        </w:rPr>
        <w:t>Forward-looking statements speak only as of the date the statements are made. Factors that could cause actual results to differ from those discussed in the forward-looking statements include, but are not limited to, those described in “Risk Factors” in Part I, Item 1A of our Annual Report on Form 10-K for the fiscal year ended December 31, 2008, as updated in our subsequent reports filed with the Securities and Exchange Commission (“SEC”), including any updates found in Part II, Item 1A of this or other reports on Form 10-Q.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340" w:right="579" w:firstLine="373"/>
        <w:spacing w:after="0" w:line="270" w:lineRule="auto"/>
        <w:rPr>
          <w:sz w:val="20"/>
          <w:szCs w:val="20"/>
          <w:color w:val="auto"/>
        </w:rPr>
      </w:pPr>
      <w:r>
        <w:rPr>
          <w:rFonts w:ascii="Arial" w:cs="Arial" w:eastAsia="Arial" w:hAnsi="Arial"/>
          <w:sz w:val="17"/>
          <w:szCs w:val="17"/>
          <w:color w:val="auto"/>
        </w:rPr>
        <w:t>We are a regionally accredited provider of online postsecondary education services focused on offering graduate and undergraduate degree programs in our core disciplines of education, business, and healthcare. In addition to our online programs, we offer programs at our traditional campus in Phoenix, Arizona and onsite at the facilities of employers. In February 2004, several of our current stockholders acquired the assets of the school and converted its operations to a for-profit institution. Since then, we have enhanced our senior management team, expanded our online platform, increased our program offerings, and initiated a marketing and branding effort to further differentiate us in the markets in which we operate. We have also made investments to enhance our traditional campus and student and technology support services. We believe the changes we have instituted, combined with our management expertise, provide a platform that will support continued enrollment and revenue growth.</w:t>
      </w:r>
    </w:p>
    <w:p>
      <w:pPr>
        <w:spacing w:after="0" w:line="141" w:lineRule="exact"/>
        <w:rPr>
          <w:sz w:val="20"/>
          <w:szCs w:val="20"/>
          <w:color w:val="auto"/>
        </w:rPr>
      </w:pPr>
    </w:p>
    <w:p>
      <w:pPr>
        <w:ind w:left="340" w:right="659" w:firstLine="373"/>
        <w:spacing w:after="0" w:line="270" w:lineRule="auto"/>
        <w:rPr>
          <w:sz w:val="20"/>
          <w:szCs w:val="20"/>
          <w:color w:val="auto"/>
        </w:rPr>
      </w:pPr>
      <w:r>
        <w:rPr>
          <w:rFonts w:ascii="Arial" w:cs="Arial" w:eastAsia="Arial" w:hAnsi="Arial"/>
          <w:sz w:val="17"/>
          <w:szCs w:val="17"/>
          <w:color w:val="auto"/>
        </w:rPr>
        <w:t>At March 31, 2009, we had approximately 28,400 students, an increase of 62.4% over 17,500 students at March 31, 2008. At March 31, 2009, 90.7% of students were enrolled in our online programs, with 49.8% pursuing master’s or doctoral degrees. In addition, we increased tuition for students in our online and professional studies programs by 5.0% to 5.3% for our 2008-09 academic year, as compared to 2.6% to 4.2% for the prior academic year. Tuition for our traditional programs increased 11.2% for our 2008-09 academic year, as compared to 16.0% for the prior academic year. The enrollment and tuition price increases were partially offset by the continuing mix shift towards online programs, which have a lower tuition price per credit hour and with respect to which our online students take fewer credit hours per semester than our traditional students. Operating income was $12.1 million for the quarter ended March 31, 2009 an increase of 102.9% over the $5.9 million in operating income for the quarter ended March 31, 2008.</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02" w:lineRule="exact"/>
        <w:rPr>
          <w:sz w:val="20"/>
          <w:szCs w:val="20"/>
          <w:color w:val="auto"/>
        </w:rPr>
      </w:pPr>
    </w:p>
    <w:p>
      <w:pPr>
        <w:ind w:left="340" w:right="639" w:firstLine="373"/>
        <w:spacing w:after="0" w:line="342" w:lineRule="auto"/>
        <w:rPr>
          <w:sz w:val="20"/>
          <w:szCs w:val="20"/>
          <w:color w:val="auto"/>
        </w:rPr>
      </w:pPr>
      <w:r>
        <w:rPr>
          <w:rFonts w:ascii="Arial" w:cs="Arial" w:eastAsia="Arial" w:hAnsi="Arial"/>
          <w:sz w:val="16"/>
          <w:szCs w:val="16"/>
          <w:color w:val="auto"/>
        </w:rPr>
        <w:t>Our critical accounting policies are disclosed in our Annual Report on Form 10-K for the fiscal year ended December 31, 2008. During the three months ended March 31, 2009, there have been no significant changes in our critical accounting policies.</w:t>
      </w:r>
    </w:p>
    <w:p>
      <w:pPr>
        <w:spacing w:after="0" w:line="83" w:lineRule="exact"/>
        <w:rPr>
          <w:sz w:val="20"/>
          <w:szCs w:val="20"/>
          <w:color w:val="auto"/>
        </w:rPr>
      </w:pPr>
    </w:p>
    <w:p>
      <w:pPr>
        <w:ind w:left="340" w:right="719" w:firstLine="373"/>
        <w:spacing w:after="0" w:line="277" w:lineRule="auto"/>
        <w:rPr>
          <w:sz w:val="20"/>
          <w:szCs w:val="20"/>
          <w:color w:val="auto"/>
        </w:rPr>
      </w:pPr>
      <w:r>
        <w:rPr>
          <w:rFonts w:ascii="Arial" w:cs="Arial" w:eastAsia="Arial" w:hAnsi="Arial"/>
          <w:sz w:val="18"/>
          <w:szCs w:val="18"/>
          <w:color w:val="auto"/>
        </w:rPr>
        <w:t>The following is a summary of our student enrollment at March 31, 2008 and 2009 (which included less than 150 students pursuing non-degree certificates in each period) by degree type and by instructional delivery method: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1160"/>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20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2008</w:t>
            </w:r>
          </w:p>
        </w:tc>
        <w:tc>
          <w:tcPr>
            <w:tcW w:w="9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Pr>
          <w:p>
            <w:pPr>
              <w:spacing w:after="0"/>
              <w:rPr>
                <w:sz w:val="18"/>
                <w:szCs w:val="18"/>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 of Total</w:t>
            </w:r>
          </w:p>
        </w:tc>
        <w:tc>
          <w:tcPr>
            <w:tcW w:w="4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Pr>
          <w:p>
            <w:pPr>
              <w:spacing w:after="0"/>
              <w:rPr>
                <w:sz w:val="18"/>
                <w:szCs w:val="18"/>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Master’s degree</w:t>
            </w:r>
            <w:r>
              <w:rPr>
                <w:rFonts w:ascii="Arial" w:cs="Arial" w:eastAsia="Arial" w:hAnsi="Arial"/>
                <w:sz w:val="15"/>
                <w:szCs w:val="15"/>
                <w:color w:val="auto"/>
              </w:rPr>
              <w:t>(1)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10,276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58.8%</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Bachelor’s degree</w:t>
            </w:r>
          </w:p>
        </w:tc>
        <w:tc>
          <w:tcPr>
            <w:tcW w:w="1000" w:type="dxa"/>
            <w:vAlign w:val="bottom"/>
          </w:tcPr>
          <w:p>
            <w:pPr>
              <w:jc w:val="right"/>
              <w:spacing w:after="0"/>
              <w:rPr>
                <w:sz w:val="20"/>
                <w:szCs w:val="20"/>
                <w:color w:val="auto"/>
              </w:rPr>
            </w:pPr>
            <w:r>
              <w:rPr>
                <w:rFonts w:ascii="Arial" w:cs="Arial" w:eastAsia="Arial" w:hAnsi="Arial"/>
                <w:sz w:val="18"/>
                <w:szCs w:val="18"/>
                <w:color w:val="auto"/>
              </w:rPr>
              <w:t>7,210</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41.2%</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14,265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50.2%</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28,393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1160"/>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20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2008</w:t>
            </w:r>
          </w:p>
        </w:tc>
        <w:tc>
          <w:tcPr>
            <w:tcW w:w="9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Pr>
          <w:p>
            <w:pPr>
              <w:spacing w:after="0"/>
              <w:rPr>
                <w:sz w:val="18"/>
                <w:szCs w:val="18"/>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 of Total</w:t>
            </w:r>
          </w:p>
        </w:tc>
        <w:tc>
          <w:tcPr>
            <w:tcW w:w="4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Pr>
          <w:p>
            <w:pPr>
              <w:spacing w:after="0"/>
              <w:rPr>
                <w:sz w:val="18"/>
                <w:szCs w:val="18"/>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15,133</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86.5%</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(2)</w:t>
            </w:r>
          </w:p>
        </w:tc>
        <w:tc>
          <w:tcPr>
            <w:tcW w:w="1000" w:type="dxa"/>
            <w:vAlign w:val="bottom"/>
          </w:tcPr>
          <w:p>
            <w:pPr>
              <w:jc w:val="right"/>
              <w:spacing w:after="0"/>
              <w:rPr>
                <w:sz w:val="20"/>
                <w:szCs w:val="20"/>
                <w:color w:val="auto"/>
              </w:rPr>
            </w:pPr>
            <w:r>
              <w:rPr>
                <w:rFonts w:ascii="Arial" w:cs="Arial" w:eastAsia="Arial" w:hAnsi="Arial"/>
                <w:sz w:val="18"/>
                <w:szCs w:val="18"/>
                <w:color w:val="auto"/>
              </w:rPr>
              <w:t>2,353</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2,635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28,393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162 students pursuing doctoral degrees at March 31, 2009.</w:t>
      </w:r>
    </w:p>
    <w:p>
      <w:pPr>
        <w:spacing w:after="0" w:line="76" w:lineRule="exact"/>
        <w:rPr>
          <w:rFonts w:ascii="Arial" w:cs="Arial" w:eastAsia="Arial" w:hAnsi="Arial"/>
          <w:sz w:val="15"/>
          <w:szCs w:val="15"/>
          <w:color w:val="auto"/>
        </w:rPr>
      </w:pPr>
    </w:p>
    <w:p>
      <w:pPr>
        <w:ind w:left="680" w:hanging="348"/>
        <w:spacing w:after="0"/>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our traditional students, as well as our professional students.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Factors Affecting Comparability</w:t>
      </w:r>
    </w:p>
    <w:p>
      <w:pPr>
        <w:spacing w:after="0" w:line="202" w:lineRule="exact"/>
        <w:rPr>
          <w:sz w:val="20"/>
          <w:szCs w:val="20"/>
          <w:color w:val="auto"/>
        </w:rPr>
      </w:pPr>
    </w:p>
    <w:p>
      <w:pPr>
        <w:ind w:left="340" w:right="859" w:firstLine="373"/>
        <w:spacing w:after="0" w:line="277" w:lineRule="auto"/>
        <w:rPr>
          <w:sz w:val="20"/>
          <w:szCs w:val="20"/>
          <w:color w:val="auto"/>
        </w:rPr>
      </w:pPr>
      <w:r>
        <w:rPr>
          <w:rFonts w:ascii="Arial" w:cs="Arial" w:eastAsia="Arial" w:hAnsi="Arial"/>
          <w:sz w:val="18"/>
          <w:szCs w:val="18"/>
          <w:color w:val="auto"/>
        </w:rPr>
        <w:t>We have set forth below selected factors that we believe have had, or can be expected to have, a significant effect on the comparability of recent or future results of operations:</w:t>
      </w:r>
    </w:p>
    <w:p>
      <w:pPr>
        <w:spacing w:after="0" w:line="130" w:lineRule="exact"/>
        <w:rPr>
          <w:sz w:val="20"/>
          <w:szCs w:val="20"/>
          <w:color w:val="auto"/>
        </w:rPr>
      </w:pPr>
    </w:p>
    <w:p>
      <w:pPr>
        <w:ind w:left="340" w:right="559" w:firstLine="373"/>
        <w:spacing w:after="0" w:line="287" w:lineRule="auto"/>
        <w:rPr>
          <w:sz w:val="20"/>
          <w:szCs w:val="20"/>
          <w:color w:val="auto"/>
        </w:rPr>
      </w:pPr>
      <w:r>
        <w:rPr>
          <w:rFonts w:ascii="Arial" w:cs="Arial" w:eastAsia="Arial" w:hAnsi="Arial"/>
          <w:sz w:val="16"/>
          <w:szCs w:val="16"/>
          <w:b w:val="1"/>
          <w:bCs w:val="1"/>
          <w:i w:val="1"/>
          <w:iCs w:val="1"/>
          <w:color w:val="auto"/>
        </w:rPr>
        <w:t>Public company expenses</w:t>
      </w:r>
      <w:r>
        <w:rPr>
          <w:rFonts w:ascii="Arial" w:cs="Arial" w:eastAsia="Arial" w:hAnsi="Arial"/>
          <w:sz w:val="16"/>
          <w:szCs w:val="16"/>
          <w:color w:val="auto"/>
        </w:rPr>
        <w:t>. In November 2008, we completed an initial public offering of shares of our common stock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shares are listed for trading on the Nasdaq Global Market. As a result, we will now need to comply with laws, regulations, and requirements that we did not need to comply with as a private company, including certain provisions of the Sarbanes-Oxley Act of 2002, related SEC regulations, and the requirements of Nasdaq. Compliance with the requirements of being a public company will require us to increase our general and administrative expenses in order to pay our employees, legal counsel, and accountants to assist us in, among other things, external reporting, instituting and monitoring a more comprehensive compliance and board governance function, establishing and maintaining internal control over financial reporting in accordance with Section 404 of the Sarbanes-Oxley Act of 2002, and preparing and distributing periodic public reports in compliance with our obligations under the federal securities laws. In addition, being a public company has made it more expensive for us to obtain director and officer liability insurance. We estimate that incremental annual public company costs will be between $3.0 million and $4.0 million in fiscal 2009, which will primarily be reflected in general and administrative costs.</w:t>
      </w:r>
    </w:p>
    <w:p>
      <w:pPr>
        <w:spacing w:after="0" w:line="132" w:lineRule="exact"/>
        <w:rPr>
          <w:sz w:val="20"/>
          <w:szCs w:val="20"/>
          <w:color w:val="auto"/>
        </w:rPr>
      </w:pPr>
    </w:p>
    <w:p>
      <w:pPr>
        <w:ind w:left="340" w:right="639" w:firstLine="373"/>
        <w:spacing w:after="0" w:line="271" w:lineRule="auto"/>
        <w:rPr>
          <w:sz w:val="20"/>
          <w:szCs w:val="20"/>
          <w:color w:val="auto"/>
        </w:rPr>
      </w:pPr>
      <w:r>
        <w:rPr>
          <w:rFonts w:ascii="Arial" w:cs="Arial" w:eastAsia="Arial" w:hAnsi="Arial"/>
          <w:sz w:val="17"/>
          <w:szCs w:val="17"/>
          <w:b w:val="1"/>
          <w:bCs w:val="1"/>
          <w:i w:val="1"/>
          <w:iCs w:val="1"/>
          <w:color w:val="auto"/>
        </w:rPr>
        <w:t>Settlement with former owner</w:t>
      </w:r>
      <w:r>
        <w:rPr>
          <w:rFonts w:ascii="Arial" w:cs="Arial" w:eastAsia="Arial" w:hAnsi="Arial"/>
          <w:sz w:val="17"/>
          <w:szCs w:val="17"/>
          <w:color w:val="auto"/>
        </w:rPr>
        <w:t>. To resolve a dispute with our former owner arising from our acquisition of Grand Canyon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University and subsequent lease of our campus, we entered into a standstill agreement in September 2007 pursuant to which we agreed with the former owner to stay all pending legal proceedings through April 15, 2008. In accordance with the terms of the standstill agreement, we made an initial non-refundable $3.0 million payment to the former owner in October 2007 and made an additional $19.5 million payment to the former owner in April 2008, with these amounts serving as consideration for, among other things, final resolution of the dispute and related matters. A portion of the settlement payments has been treated as a prepaid royalty asset that will be amortized over 20 years at approximately $0.3 million per year, which differs from the historical royalty expense.</w:t>
      </w:r>
    </w:p>
    <w:p>
      <w:pPr>
        <w:spacing w:after="0" w:line="152" w:lineRule="exact"/>
        <w:rPr>
          <w:sz w:val="20"/>
          <w:szCs w:val="20"/>
          <w:color w:val="auto"/>
        </w:rPr>
      </w:pPr>
    </w:p>
    <w:p>
      <w:pPr>
        <w:ind w:left="340" w:right="619" w:firstLine="373"/>
        <w:spacing w:after="0" w:line="302" w:lineRule="auto"/>
        <w:rPr>
          <w:sz w:val="20"/>
          <w:szCs w:val="20"/>
          <w:color w:val="auto"/>
        </w:rPr>
      </w:pPr>
      <w:r>
        <w:rPr>
          <w:rFonts w:ascii="Arial" w:cs="Arial" w:eastAsia="Arial" w:hAnsi="Arial"/>
          <w:sz w:val="16"/>
          <w:szCs w:val="16"/>
          <w:b w:val="1"/>
          <w:bCs w:val="1"/>
          <w:i w:val="1"/>
          <w:iCs w:val="1"/>
          <w:color w:val="auto"/>
        </w:rPr>
        <w:t>Management fees and expenses</w:t>
      </w:r>
      <w:r>
        <w:rPr>
          <w:rFonts w:ascii="Arial" w:cs="Arial" w:eastAsia="Arial" w:hAnsi="Arial"/>
          <w:sz w:val="16"/>
          <w:szCs w:val="16"/>
          <w:color w:val="auto"/>
        </w:rPr>
        <w:t>. In connection with an August 2005 investment in us led by Endeavour Capital Fund IV,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L.P. and affiliates (collectively, the “Endeavour Entities”), we entered into a professional services agreement with the Endeavour Entities’ general partner. Concurrent with the completion of the public offering, the professional services agreement terminated by its terms. For the quarter ended March 31, 2008, we incurred $0.1 million in fees and expenses under this agreement.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859" w:firstLine="373"/>
        <w:spacing w:after="0" w:line="271" w:lineRule="auto"/>
        <w:rPr>
          <w:sz w:val="20"/>
          <w:szCs w:val="20"/>
          <w:color w:val="auto"/>
        </w:rPr>
      </w:pPr>
      <w:r>
        <w:rPr>
          <w:rFonts w:ascii="Arial" w:cs="Arial" w:eastAsia="Arial" w:hAnsi="Arial"/>
          <w:sz w:val="17"/>
          <w:szCs w:val="17"/>
          <w:b w:val="1"/>
          <w:bCs w:val="1"/>
          <w:i w:val="1"/>
          <w:iCs w:val="1"/>
          <w:color w:val="auto"/>
        </w:rPr>
        <w:t>Share-based and other executive compensation</w:t>
      </w:r>
      <w:r>
        <w:rPr>
          <w:rFonts w:ascii="Arial" w:cs="Arial" w:eastAsia="Arial" w:hAnsi="Arial"/>
          <w:sz w:val="17"/>
          <w:szCs w:val="17"/>
          <w:color w:val="auto"/>
        </w:rPr>
        <w:t>. Prior to becoming a public company, we had not granted or issued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stock-based compensation. Accordingly, we had not recognized any stock-based compensation expense in prior periods. On November 19, 2008, in connection with our initial public offering, we made substantial awards to our directors, officers, and employees. In addition, on March 3, 2009, the Company granted 1,307 shares of restricted common stock with a fair value of $15.30 per share to each of David J. Johnson and Jack A. Henry, each of whom was appointed to the Company’s board of directors in November 2008. As a result, we incurred share-based compensation expenses in the first quarter of 2009 totaling $0.8 million and will continue to incur expense in future periods as compared to no share-based compensation in the quarters ending prior to September 30, 2008.</w:t>
      </w:r>
    </w:p>
    <w:p>
      <w:pPr>
        <w:spacing w:after="0" w:line="152" w:lineRule="exact"/>
        <w:rPr>
          <w:sz w:val="20"/>
          <w:szCs w:val="20"/>
          <w:color w:val="auto"/>
        </w:rPr>
      </w:pPr>
    </w:p>
    <w:p>
      <w:pPr>
        <w:ind w:left="340" w:right="719" w:firstLine="373"/>
        <w:spacing w:after="0" w:line="259" w:lineRule="auto"/>
        <w:rPr>
          <w:sz w:val="20"/>
          <w:szCs w:val="20"/>
          <w:color w:val="auto"/>
        </w:rPr>
      </w:pPr>
      <w:r>
        <w:rPr>
          <w:rFonts w:ascii="Arial" w:cs="Arial" w:eastAsia="Arial" w:hAnsi="Arial"/>
          <w:sz w:val="18"/>
          <w:szCs w:val="18"/>
          <w:b w:val="1"/>
          <w:bCs w:val="1"/>
          <w:i w:val="1"/>
          <w:iCs w:val="1"/>
          <w:color w:val="auto"/>
        </w:rPr>
        <w:t>General and administrative expenses and tax expense</w:t>
      </w:r>
      <w:r>
        <w:rPr>
          <w:rFonts w:ascii="Arial" w:cs="Arial" w:eastAsia="Arial" w:hAnsi="Arial"/>
          <w:sz w:val="18"/>
          <w:szCs w:val="18"/>
          <w:color w:val="auto"/>
        </w:rPr>
        <w:t>. In July 2008, we hired a new Chief Executive Officer,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and Executive Vice President, and have since hired other financial, accounting, and administrative personnel. Accordingly, compensation expenses, as reflected in our general and administrative expenses, are higher beginning in the third quarter of 2008.</w:t>
      </w:r>
    </w:p>
    <w:p>
      <w:pPr>
        <w:spacing w:after="0" w:line="146" w:lineRule="exact"/>
        <w:rPr>
          <w:sz w:val="20"/>
          <w:szCs w:val="20"/>
          <w:color w:val="auto"/>
        </w:rPr>
      </w:pPr>
    </w:p>
    <w:p>
      <w:pPr>
        <w:ind w:left="340" w:right="559" w:firstLine="373"/>
        <w:spacing w:after="0" w:line="288" w:lineRule="auto"/>
        <w:rPr>
          <w:sz w:val="20"/>
          <w:szCs w:val="20"/>
          <w:color w:val="auto"/>
        </w:rPr>
      </w:pPr>
      <w:r>
        <w:rPr>
          <w:rFonts w:ascii="Arial" w:cs="Arial" w:eastAsia="Arial" w:hAnsi="Arial"/>
          <w:sz w:val="16"/>
          <w:szCs w:val="16"/>
          <w:b w:val="1"/>
          <w:bCs w:val="1"/>
          <w:i w:val="1"/>
          <w:iCs w:val="1"/>
          <w:color w:val="auto"/>
        </w:rPr>
        <w:t>License agreement</w:t>
      </w:r>
      <w:r>
        <w:rPr>
          <w:rFonts w:ascii="Arial" w:cs="Arial" w:eastAsia="Arial" w:hAnsi="Arial"/>
          <w:sz w:val="16"/>
          <w:szCs w:val="16"/>
          <w:color w:val="auto"/>
        </w:rPr>
        <w:t>. In June 2004, we entered into a license agreement with Blanchard Education, LLC (“Blanchard”)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our use of the Ken Blanchard name for our College of Business. The license agreement remains in effect (unless terminated earlier) until February 6, 2016. Under the terms of that agreement, we agreed to pay Blanchard royalties and to issue to Blanchard up to 909,348 shares of common stock, with the actual number of shares to be issued to be contingent upon our achievement of stated enrollment levels in the College of Business programs during the term of the agreement. On May 9, 2008, the terms of the agreement were amended, pursuant to which Blanchard was issued a total of 365,200 shares of common stock in full settlement of all shares owed and contingently owed under this agreement. Thus, all remaining performance conditions based on enrollment thresholds were terminated. The shares issued were valued at the date the shares were earned and have been treated as a prepaid royalty asset that will be amortized over the remaining term of the license agreement. We will recognize approximately $0.4 million per year in amortization expense related to the issuance of the common stock through February 2016.</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sets forth statements of operations data as a percentage of net revenue for each of the periods indicated:</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5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676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6760" w:type="dxa"/>
            <w:vAlign w:val="bottom"/>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2009</w:t>
            </w:r>
          </w:p>
        </w:tc>
        <w:tc>
          <w:tcPr>
            <w:tcW w:w="180" w:type="dxa"/>
            <w:vAlign w:val="bottom"/>
          </w:tcPr>
          <w:p>
            <w:pPr>
              <w:spacing w:after="0"/>
              <w:rPr>
                <w:sz w:val="18"/>
                <w:szCs w:val="18"/>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 and services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35.2</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r>
      <w:tr>
        <w:trPr>
          <w:trHeight w:val="216"/>
        </w:trPr>
        <w:tc>
          <w:tcPr>
            <w:tcW w:w="6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r>
      <w:tr>
        <w:trPr>
          <w:trHeight w:val="216"/>
        </w:trPr>
        <w:tc>
          <w:tcPr>
            <w:tcW w:w="6760" w:type="dxa"/>
            <w:vAlign w:val="bottom"/>
          </w:tcPr>
          <w:p>
            <w:pPr>
              <w:ind w:left="200"/>
              <w:spacing w:after="0"/>
              <w:rPr>
                <w:sz w:val="20"/>
                <w:szCs w:val="20"/>
                <w:color w:val="auto"/>
              </w:rPr>
            </w:pPr>
            <w:r>
              <w:rPr>
                <w:rFonts w:ascii="Arial" w:cs="Arial" w:eastAsia="Arial" w:hAnsi="Arial"/>
                <w:sz w:val="18"/>
                <w:szCs w:val="18"/>
                <w:color w:val="auto"/>
              </w:rPr>
              <w:t>Royalty to former owner</w:t>
            </w: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7"/>
        </w:trPr>
        <w:tc>
          <w:tcPr>
            <w:tcW w:w="67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6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Operating income</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4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9"/>
                <w:szCs w:val="19"/>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Interest income</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r>
      <w:tr>
        <w:trPr>
          <w:trHeight w:val="223"/>
        </w:trPr>
        <w:tc>
          <w:tcPr>
            <w:tcW w:w="67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Income tax expense</w:t>
            </w: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r>
      <w:tr>
        <w:trPr>
          <w:trHeight w:val="27"/>
        </w:trPr>
        <w:tc>
          <w:tcPr>
            <w:tcW w:w="67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r>
      <w:tr>
        <w:trPr>
          <w:trHeight w:val="20"/>
        </w:trPr>
        <w:tc>
          <w:tcPr>
            <w:tcW w:w="6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March 31, 2009 Compared to Three Months Ended March 31, 2008</w:t>
      </w:r>
    </w:p>
    <w:p>
      <w:pPr>
        <w:spacing w:after="0" w:line="185" w:lineRule="exact"/>
        <w:rPr>
          <w:sz w:val="20"/>
          <w:szCs w:val="20"/>
          <w:color w:val="auto"/>
        </w:rPr>
      </w:pPr>
    </w:p>
    <w:p>
      <w:pPr>
        <w:ind w:left="340" w:right="739" w:firstLine="373"/>
        <w:spacing w:after="0" w:line="271"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quarter ended March 31, 2009 was $59.0 million, an increase of $23.3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65.1%, as compared to net revenue of $35.7 million for the quarter ended March 31, 2008. This increase was primarily due to increased online enrollment and, to a lesser extent, increases in the average tuition per student caused by tuition price increases and an increase in the average credits per student, partially offset by an increase in institutional scholarships. End-of-period enrollment increased 62.4% between March 31, 2008 and 2009, as we were able to continue our growth and increase our recruitment, marketing, and enrollment operations. The year-over-year increase in net revenue exceeded the year-over-year increase in enrollment due to an increase in the average revenue per student partially offset by the continuing decrease in traditional students as a percentage of the total student base.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19" w:firstLine="373"/>
        <w:spacing w:after="0" w:line="291" w:lineRule="auto"/>
        <w:rPr>
          <w:sz w:val="20"/>
          <w:szCs w:val="20"/>
          <w:color w:val="auto"/>
        </w:rPr>
      </w:pPr>
      <w:r>
        <w:rPr>
          <w:rFonts w:ascii="Arial" w:cs="Arial" w:eastAsia="Arial" w:hAnsi="Arial"/>
          <w:sz w:val="16"/>
          <w:szCs w:val="16"/>
          <w:i w:val="1"/>
          <w:iCs w:val="1"/>
          <w:color w:val="auto"/>
        </w:rPr>
        <w:t>Instructional cost and services expenses</w:t>
      </w:r>
      <w:r>
        <w:rPr>
          <w:rFonts w:ascii="Arial" w:cs="Arial" w:eastAsia="Arial" w:hAnsi="Arial"/>
          <w:sz w:val="16"/>
          <w:szCs w:val="16"/>
          <w:color w:val="auto"/>
        </w:rPr>
        <w:t>. Our instructional cost and services expenses for the quarter ended March 31, 2009</w:t>
      </w:r>
      <w:r>
        <w:rPr>
          <w:rFonts w:ascii="Arial" w:cs="Arial" w:eastAsia="Arial" w:hAnsi="Arial"/>
          <w:sz w:val="16"/>
          <w:szCs w:val="16"/>
          <w:i w:val="1"/>
          <w:iCs w:val="1"/>
          <w:color w:val="auto"/>
        </w:rPr>
        <w:t xml:space="preserve"> </w:t>
      </w:r>
      <w:r>
        <w:rPr>
          <w:rFonts w:ascii="Arial" w:cs="Arial" w:eastAsia="Arial" w:hAnsi="Arial"/>
          <w:sz w:val="16"/>
          <w:szCs w:val="16"/>
          <w:color w:val="auto"/>
        </w:rPr>
        <w:t>were $18.3 million, an increase of $6.7 million, or 57.8%, as compared to instructional cost and services expenses of</w:t>
      </w:r>
    </w:p>
    <w:p>
      <w:pPr>
        <w:ind w:left="340" w:right="739"/>
        <w:spacing w:after="0" w:line="281" w:lineRule="auto"/>
        <w:rPr>
          <w:sz w:val="20"/>
          <w:szCs w:val="20"/>
          <w:color w:val="auto"/>
        </w:rPr>
      </w:pPr>
      <w:r>
        <w:rPr>
          <w:rFonts w:ascii="Arial" w:cs="Arial" w:eastAsia="Arial" w:hAnsi="Arial"/>
          <w:sz w:val="16"/>
          <w:szCs w:val="16"/>
          <w:color w:val="auto"/>
        </w:rPr>
        <w:t>$11.6 million for the quarter ended March 31, 2008. This increase was primarily due to increases in instructional compensation and related expenses, faculty compensation, occupancy, depreciation and amortization, share-based compensation, and other miscellaneous instructional costs and services of $3.0 million, $1.6 million, $0.7 million, $0.4 million, $0.1 million, and</w:t>
      </w:r>
    </w:p>
    <w:p>
      <w:pPr>
        <w:spacing w:after="0" w:line="2" w:lineRule="exact"/>
        <w:rPr>
          <w:sz w:val="20"/>
          <w:szCs w:val="20"/>
          <w:color w:val="auto"/>
        </w:rPr>
      </w:pPr>
    </w:p>
    <w:p>
      <w:pPr>
        <w:ind w:left="340" w:right="599"/>
        <w:spacing w:after="0" w:line="287" w:lineRule="auto"/>
        <w:rPr>
          <w:sz w:val="20"/>
          <w:szCs w:val="20"/>
          <w:color w:val="auto"/>
        </w:rPr>
      </w:pPr>
      <w:r>
        <w:rPr>
          <w:rFonts w:ascii="Arial" w:cs="Arial" w:eastAsia="Arial" w:hAnsi="Arial"/>
          <w:sz w:val="16"/>
          <w:szCs w:val="16"/>
          <w:color w:val="auto"/>
        </w:rPr>
        <w:t>$0.9 million, respectively. These increases are primarily attributable to the increased headcount (both staff and faculty) needed to provide student instruction and support services, including increased occupancy and equipment costs for the increased headcount, as a result of the increase in enrollments. Our instructional cost and services expenses as a percentage of net revenue decreased by 1.4% to 31.1% for the quarter ended March 31, 2009, as compared to 32.5% for the quarter ended March 31, 2008. This decrease was a result of the continued shift of our student population to online programs and our ability to leverage the relatively fixed cost structure of our campus-based facilities and traditional faculty across an increasing revenue base, as well as increased class size, partially offset by an increase in employee compensation and related expenses as a percentage of revenue as we have increased the student to support personnel ratios to further improve the customer service to our students.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Selling and promotional expenses</w:t>
      </w:r>
      <w:r>
        <w:rPr>
          <w:rFonts w:ascii="Arial" w:cs="Arial" w:eastAsia="Arial" w:hAnsi="Arial"/>
          <w:sz w:val="17"/>
          <w:szCs w:val="17"/>
          <w:color w:val="auto"/>
        </w:rPr>
        <w:t>. Our selling and promotional expenses for the quarter ended March 31, 2009 were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$19.7 million, an increase of $7.1 million, or 56.3%, as compared to selling and promotional expenses of $12.6 million for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quarter ended March 31, 2008. This increase was primarily due to increases in selling and promotional employee compensation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and related expenses, advertising, occupancy, and other selling and promotional related costs of $3.2 million, $2.3 million,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$0.4 million, and $1.2 million, respectively. These increases were driven by a substantial expansion in our marketing efforts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the removal of our growth restrictions by the Department of Education, which resulted in an increase in recruitment,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marketing, and enrollment staffing, and expenses related to our revenue sharing arrangement. Our selling and promotional</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expenses as a percentage of net revenue decreased by 1.8% to 33.4% for the quarter ended March 31, 2009, from 35.2% for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quarter ended March 31, 2008. This decrease occurred as a result of an increase in the productivity of our enrollment counselors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that were hired during the third and fourth quarters of 2008, coupled with a focus on higher quality leads to enhance our efforts to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enroll prospective students. In this regard, we incur immediate expenses in connection with hiring new enrollment counselors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while these individuals undergo training, and typically do not achieve full productivity or generate enrollments from these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enrollment counselors until four to six months after their dates of hire. We plan to continue to add additional enrollment</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counselors in the future, although the number of additional hires as a percentage of the total headcount is expected to decrease,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and we therefore plan to continue to reduce selling and promotional expenses as a percentage of net revenue in the future.</w:t>
      </w:r>
    </w:p>
    <w:p>
      <w:pPr>
        <w:spacing w:after="0" w:line="182" w:lineRule="exact"/>
        <w:rPr>
          <w:sz w:val="20"/>
          <w:szCs w:val="20"/>
          <w:color w:val="auto"/>
        </w:rPr>
      </w:pPr>
    </w:p>
    <w:p>
      <w:pPr>
        <w:ind w:left="340" w:right="599" w:firstLine="373"/>
        <w:spacing w:after="0" w:line="28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quarter ended March 31, 2009 were</w:t>
      </w:r>
      <w:r>
        <w:rPr>
          <w:rFonts w:ascii="Arial" w:cs="Arial" w:eastAsia="Arial" w:hAnsi="Arial"/>
          <w:sz w:val="16"/>
          <w:szCs w:val="16"/>
          <w:i w:val="1"/>
          <w:iCs w:val="1"/>
          <w:color w:val="auto"/>
        </w:rPr>
        <w:t xml:space="preserve"> </w:t>
      </w:r>
      <w:r>
        <w:rPr>
          <w:rFonts w:ascii="Arial" w:cs="Arial" w:eastAsia="Arial" w:hAnsi="Arial"/>
          <w:sz w:val="16"/>
          <w:szCs w:val="16"/>
          <w:color w:val="auto"/>
        </w:rPr>
        <w:t>$8.8 million, an increase of $4.2 million, or 94.5%, as compared to general and administrative expenses of $4.6 million for the quarter ended March 31, 2008. This increase was primarily due to increases in bad debt expense; employee compensation; share-based compensation; legal, audit and corporate insurance expenses; and other general and administrative expenses of</w:t>
      </w:r>
    </w:p>
    <w:p>
      <w:pPr>
        <w:spacing w:after="0" w:line="2" w:lineRule="exact"/>
        <w:rPr>
          <w:sz w:val="20"/>
          <w:szCs w:val="20"/>
          <w:color w:val="auto"/>
        </w:rPr>
      </w:pPr>
    </w:p>
    <w:p>
      <w:pPr>
        <w:ind w:left="340" w:right="599"/>
        <w:spacing w:after="0" w:line="285" w:lineRule="auto"/>
        <w:rPr>
          <w:sz w:val="20"/>
          <w:szCs w:val="20"/>
          <w:color w:val="auto"/>
        </w:rPr>
      </w:pPr>
      <w:r>
        <w:rPr>
          <w:rFonts w:ascii="Arial" w:cs="Arial" w:eastAsia="Arial" w:hAnsi="Arial"/>
          <w:sz w:val="16"/>
          <w:szCs w:val="16"/>
          <w:color w:val="auto"/>
        </w:rPr>
        <w:t>$1.6 million, $1.3 million, $0.6 million, $0.6 million and $0.1 million, respectively. Bad debt expense increased to $3.3 million for the quarter ended March 31, 2009 from $1.7 million for the quarter ended March 31, 2008 as a result of an increase in net revenue and the increase in aged receivables between periods. Employee compensation increased primarily as a result of the additions in July 2008 to our executive management team and the hiring of other personnel needed to operate as a public company. Share based compensation increased as prior to November 2008 no equity awards had been granted. The increase in legal, audit, and corporate insurance is primarily related to insurance and audit costs associated with being a public company. Our general and administrative expenses as a percentage of net revenue increased by 2.3% to 15.0% for the quarter ended March 31, 2009, from 12.7% for the quarter ended March 31, 2008, primarily due to an increase in our bad debt expense as a percentage of net revenue between periods from 4.7% of net revenue during the first quarter of 2008 to 5.6% of net revenue during the first quarter of 2009, increased employee compensation and related expenses as a percentage of net revenue as discussed above, and share-based compensation, which represented 1.1% of net revenue in 2009, partially offset by our ability to leverage our fixed infrastructure over higher net revenue.</w:t>
      </w:r>
    </w:p>
    <w:p>
      <w:pPr>
        <w:spacing w:after="0" w:line="132" w:lineRule="exact"/>
        <w:rPr>
          <w:sz w:val="20"/>
          <w:szCs w:val="20"/>
          <w:color w:val="auto"/>
        </w:rPr>
      </w:pPr>
    </w:p>
    <w:p>
      <w:pPr>
        <w:ind w:left="340" w:right="639" w:firstLine="373"/>
        <w:spacing w:after="0" w:line="272" w:lineRule="auto"/>
        <w:rPr>
          <w:sz w:val="20"/>
          <w:szCs w:val="20"/>
          <w:color w:val="auto"/>
        </w:rPr>
      </w:pPr>
      <w:r>
        <w:rPr>
          <w:rFonts w:ascii="Arial" w:cs="Arial" w:eastAsia="Arial" w:hAnsi="Arial"/>
          <w:sz w:val="17"/>
          <w:szCs w:val="17"/>
          <w:i w:val="1"/>
          <w:iCs w:val="1"/>
          <w:color w:val="auto"/>
        </w:rPr>
        <w:t>Royalty to former owner</w:t>
      </w:r>
      <w:r>
        <w:rPr>
          <w:rFonts w:ascii="Arial" w:cs="Arial" w:eastAsia="Arial" w:hAnsi="Arial"/>
          <w:sz w:val="17"/>
          <w:szCs w:val="17"/>
          <w:color w:val="auto"/>
        </w:rPr>
        <w:t>. In connection with our royalty fee arrangement with the former owner related to online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we incurred royalty expenses for the quarter ended March 31, 2009 of $0.1 million, a decrease of $0.9 million, or 92.8%, as compared to royalty expenses incurred of $1.0 million for the quarter ended March 31, 2008 as a result of the elimination of the obligation to pay royalties to the former owner effective April 15, 2008. As discussed above, the only related expense in future periods will be the approximately $0.3 million in annual amortization of the prepaid royalty asset that was established as a result of payments made to eliminate this future obligation. Our royalty expense as a percentage of net revenue decreased to 0.1% for the quarter ended March 31, 2009 from 2.9% for the quarter ended March 31, 2008.</w:t>
      </w:r>
    </w:p>
    <w:p>
      <w:pPr>
        <w:spacing w:after="0" w:line="151" w:lineRule="exact"/>
        <w:rPr>
          <w:sz w:val="20"/>
          <w:szCs w:val="20"/>
          <w:color w:val="auto"/>
        </w:rPr>
      </w:pPr>
    </w:p>
    <w:p>
      <w:pPr>
        <w:jc w:val="both"/>
        <w:ind w:left="340" w:right="799" w:firstLine="373"/>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quarter ended March 31, 2009 was $0.7 million, a decrease of $0.1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$0.8 million for the quarter ended March 31, 2008, as the average level of borrowings and related interest rates remained fairly consistent between periods.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939" w:firstLine="373"/>
        <w:spacing w:after="0" w:line="342"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Our interest income for the quarter ended March 31, 2009 was $0.1 million, a decrease of $0.2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$0.3 million for the quarter ended March 31, 2008, as a result of decreased short-term interest rates in 2009.</w:t>
      </w:r>
    </w:p>
    <w:p>
      <w:pPr>
        <w:spacing w:after="0" w:line="97" w:lineRule="exact"/>
        <w:rPr>
          <w:sz w:val="20"/>
          <w:szCs w:val="20"/>
          <w:color w:val="auto"/>
        </w:rPr>
      </w:pPr>
    </w:p>
    <w:p>
      <w:pPr>
        <w:ind w:left="340" w:right="579" w:firstLine="373"/>
        <w:spacing w:after="0" w:line="302"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quarter ended March 31, 2009 was $4.6 million, an increase of $2.5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$2.1 million for the quarter ended March 31, 2008. This increase was primarily attributable to increased income before income taxes. Our effective tax rate was 40.0% during the first quarter of 2009 compared to 38.6% during the first quarter of 2008. This slight increase is the result of income before taxes growing in excess of our permanent tax deductions.</w:t>
      </w:r>
    </w:p>
    <w:p>
      <w:pPr>
        <w:spacing w:after="0" w:line="114" w:lineRule="exact"/>
        <w:rPr>
          <w:sz w:val="20"/>
          <w:szCs w:val="20"/>
          <w:color w:val="auto"/>
        </w:rPr>
      </w:pPr>
    </w:p>
    <w:p>
      <w:pPr>
        <w:ind w:left="340" w:right="599" w:firstLine="373"/>
        <w:spacing w:after="0" w:line="342"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Our net income for the quarter ended March 31, 2009 was $6.9 million, an increase of $3.6 million, or 109.0%,</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net income of $3.3 million for the quarter ended March 31, 2008, due to the factors discussed above.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ind w:left="340" w:right="579" w:firstLine="373"/>
        <w:spacing w:after="0" w:line="287"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A portion of our traditional students do not attend courses during the summer months (June through August), which affects our results for our second and third fiscal quarters. Since a significant amount of our campus costs are fixed, the lower revenue resulting from the decreased enrollment has historically contributed to operating losses during those periods. As we increase the relative proportion of our online students, we expect this summer effect to lessen.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fluctuation in net revenue, resulting in higher operating income in the first and fourth quarters relative to other quarters. We expect quarterly fluctuation in operating results to continue as a result of these seasonal patterns.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340" w:right="619" w:firstLine="373"/>
        <w:spacing w:after="0" w:line="257"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We financed our operating activities and capital expenditures during the quarter ended March 31, 2008, and 2009</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through cash provided by operating activities. Our unrestricted cash, cash equivalents, and marketable securities were $33.8 million, $68.3 million, and $35.2 million at March 31, 2008 and 2009 and December 31, 2008, respectively. Our restricted cash, cash equivalents and investments at March 31, 2008 and 2009 and December 31, 2008 were $9.0 million, $4.4 million and $5.6 million, respectively.</w:t>
      </w:r>
    </w:p>
    <w:p>
      <w:pPr>
        <w:spacing w:after="0" w:line="161" w:lineRule="exact"/>
        <w:rPr>
          <w:sz w:val="20"/>
          <w:szCs w:val="20"/>
          <w:color w:val="auto"/>
        </w:rPr>
      </w:pPr>
    </w:p>
    <w:p>
      <w:pPr>
        <w:ind w:left="340" w:right="559" w:firstLine="373"/>
        <w:spacing w:after="0" w:line="290" w:lineRule="auto"/>
        <w:rPr>
          <w:sz w:val="20"/>
          <w:szCs w:val="20"/>
          <w:color w:val="auto"/>
        </w:rPr>
      </w:pPr>
      <w:r>
        <w:rPr>
          <w:rFonts w:ascii="Arial" w:cs="Arial" w:eastAsia="Arial" w:hAnsi="Arial"/>
          <w:sz w:val="16"/>
          <w:szCs w:val="16"/>
          <w:color w:val="auto"/>
        </w:rPr>
        <w:t>A significant portion of our net revenue is derived from tuition financed by the Title IV programs. Federal regulations dictate the timing of disbursements under the Title IV programs. Students must apply for new loans and grants each academic year, which starts July 1 for Title IV purposes. Loan funds are generally provided by lenders in multiple disbursements for each academic year. The disbursements are usually received by the start of the second week of the semester. These factors, together with the timing of our students beginning their programs, affect our operating cash flow. We believe we have a favorable working capital profile as these Title IV funds and a significant portion of other tuition and fees are typically received by the start of the second week of a semester and the revenue is recognized and the related expenses are incurred over the duration of the semester, which reduces the impact of the growth in our accounts receivables associated with our enrollment growth.</w:t>
      </w:r>
    </w:p>
    <w:p>
      <w:pPr>
        <w:spacing w:after="0" w:line="126" w:lineRule="exact"/>
        <w:rPr>
          <w:sz w:val="20"/>
          <w:szCs w:val="20"/>
          <w:color w:val="auto"/>
        </w:rPr>
      </w:pPr>
    </w:p>
    <w:p>
      <w:pPr>
        <w:jc w:val="both"/>
        <w:ind w:left="340" w:right="819" w:firstLine="373"/>
        <w:spacing w:after="0" w:line="286" w:lineRule="auto"/>
        <w:rPr>
          <w:sz w:val="20"/>
          <w:szCs w:val="20"/>
          <w:color w:val="auto"/>
        </w:rPr>
      </w:pPr>
      <w:r>
        <w:rPr>
          <w:rFonts w:ascii="Arial" w:cs="Arial" w:eastAsia="Arial" w:hAnsi="Arial"/>
          <w:sz w:val="17"/>
          <w:szCs w:val="17"/>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ind w:left="340" w:right="739" w:firstLine="373"/>
        <w:spacing w:after="0" w:line="308" w:lineRule="auto"/>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quarter ended March 31, 2009 was $36.6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$18.5 million for the quarter ended March 31, 2008 primarily due to increased enrollment.</w:t>
      </w:r>
    </w:p>
    <w:p>
      <w:pPr>
        <w:spacing w:after="0" w:line="106" w:lineRule="exact"/>
        <w:rPr>
          <w:sz w:val="20"/>
          <w:szCs w:val="20"/>
          <w:color w:val="auto"/>
        </w:rPr>
      </w:pPr>
    </w:p>
    <w:p>
      <w:pPr>
        <w:ind w:left="340" w:right="579" w:firstLine="373"/>
        <w:spacing w:after="0" w:line="297"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$3.0 million and $3.3 million for the quarters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2008, and 2009, respectively. Our cash used in investing activities is primarily related to the purchase of property, and equipment, leasehold improvements, and changes in restricted cash and cash equivalents. Capital expenditures were $1.6 million and $4.5 million for the quarters ended March 31, 2008, and 2009, respectively. Capital expenditures primarily consist of computer equipment, leasehold improvements, and office furniture and fixtures to support our increasing employee headcounts.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819" w:firstLine="373"/>
        <w:spacing w:after="0" w:line="302"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used in financing activities was $0.6 million and $0.1 million for the quarters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2008 and 2009, respectively. During the first quarter of 2008 principal payments on notes payable, capital lease obligations and our line of credit were offset by proceeds from preferred stock issuances. During the first quarter of 2009, principal payments on notes payable and capital lease obligations were offset by cash received from exercise of stock options.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340" w:right="679" w:firstLine="373"/>
        <w:spacing w:after="0" w:line="286" w:lineRule="auto"/>
        <w:rPr>
          <w:sz w:val="20"/>
          <w:szCs w:val="20"/>
          <w:color w:val="auto"/>
        </w:rPr>
      </w:pPr>
      <w:r>
        <w:rPr>
          <w:rFonts w:ascii="Arial" w:cs="Arial" w:eastAsia="Arial" w:hAnsi="Arial"/>
          <w:sz w:val="17"/>
          <w:szCs w:val="17"/>
          <w:color w:val="auto"/>
        </w:rPr>
        <w:t>There have been no material changes in our contractual obligations and other commercial commitments other than in the ordinary course of business since the end of fiscal year 2008. Information regarding our contractual obligations and commercial commitments is provided in our Annual Report on Form 10-K for the year ended December 31, 2008.</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ind w:left="340" w:right="939" w:firstLine="373"/>
        <w:spacing w:after="0" w:line="264"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Non-GAAP Discussion</w:t>
      </w:r>
    </w:p>
    <w:p>
      <w:pPr>
        <w:spacing w:after="0" w:line="189" w:lineRule="exact"/>
        <w:rPr>
          <w:sz w:val="20"/>
          <w:szCs w:val="20"/>
          <w:color w:val="auto"/>
        </w:rPr>
      </w:pPr>
    </w:p>
    <w:p>
      <w:pPr>
        <w:ind w:left="340" w:right="599" w:firstLine="373"/>
        <w:spacing w:after="0" w:line="279" w:lineRule="auto"/>
        <w:rPr>
          <w:sz w:val="20"/>
          <w:szCs w:val="20"/>
          <w:color w:val="auto"/>
        </w:rPr>
      </w:pPr>
      <w:r>
        <w:rPr>
          <w:rFonts w:ascii="Arial" w:cs="Arial" w:eastAsia="Arial" w:hAnsi="Arial"/>
          <w:sz w:val="17"/>
          <w:szCs w:val="17"/>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144" w:lineRule="exact"/>
        <w:rPr>
          <w:sz w:val="20"/>
          <w:szCs w:val="20"/>
          <w:color w:val="auto"/>
        </w:rPr>
      </w:pPr>
    </w:p>
    <w:p>
      <w:pPr>
        <w:ind w:left="340" w:right="759" w:firstLine="373"/>
        <w:spacing w:after="0" w:line="259" w:lineRule="auto"/>
        <w:rPr>
          <w:sz w:val="20"/>
          <w:szCs w:val="20"/>
          <w:color w:val="auto"/>
        </w:rPr>
      </w:pPr>
      <w:r>
        <w:rPr>
          <w:rFonts w:ascii="Arial" w:cs="Arial" w:eastAsia="Arial" w:hAnsi="Arial"/>
          <w:sz w:val="18"/>
          <w:szCs w:val="18"/>
          <w:color w:val="auto"/>
        </w:rPr>
        <w:t>We define Adjusted EBITDA as net income (loss) plus interest expense net of interest income, plus income tax expense (benefit), and plus depreciation and amortization (EBITDA), as adjusted for (i) royalty payments incurred pursuant to an agreement with our former owner that has been terminated as of April 15, 2008, (ii) management fees and expenses that are no longer paid, and (iii) share-based compensation.</w:t>
      </w:r>
    </w:p>
    <w:p>
      <w:pPr>
        <w:spacing w:after="0" w:line="146" w:lineRule="exact"/>
        <w:rPr>
          <w:sz w:val="20"/>
          <w:szCs w:val="20"/>
          <w:color w:val="auto"/>
        </w:rPr>
      </w:pPr>
    </w:p>
    <w:p>
      <w:pPr>
        <w:ind w:left="340" w:right="579" w:firstLine="373"/>
        <w:spacing w:after="0" w:line="286" w:lineRule="auto"/>
        <w:rPr>
          <w:sz w:val="20"/>
          <w:szCs w:val="20"/>
          <w:color w:val="auto"/>
        </w:rPr>
      </w:pPr>
      <w:r>
        <w:rPr>
          <w:rFonts w:ascii="Arial" w:cs="Arial" w:eastAsia="Arial" w:hAnsi="Arial"/>
          <w:sz w:val="16"/>
          <w:szCs w:val="16"/>
          <w:color w:val="auto"/>
        </w:rPr>
        <w:t>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royalty expenses paid to our former owner and share-based compensation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739" w:firstLine="373"/>
        <w:spacing w:after="0" w:line="257" w:lineRule="auto"/>
        <w:rPr>
          <w:sz w:val="20"/>
          <w:szCs w:val="20"/>
          <w:color w:val="auto"/>
        </w:rPr>
      </w:pPr>
      <w:r>
        <w:rPr>
          <w:rFonts w:ascii="Arial" w:cs="Arial" w:eastAsia="Arial" w:hAnsi="Arial"/>
          <w:sz w:val="18"/>
          <w:szCs w:val="18"/>
          <w:color w:val="auto"/>
        </w:rPr>
        <w:t>In evaluating Adjusted EBITDA, you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analysis of our results as reported under GAAP. Some of these limitations are that it does reflect:</w:t>
      </w:r>
    </w:p>
    <w:p>
      <w:pPr>
        <w:spacing w:after="0" w:line="161" w:lineRule="exact"/>
        <w:rPr>
          <w:sz w:val="20"/>
          <w:szCs w:val="20"/>
          <w:color w:val="auto"/>
        </w:rPr>
      </w:pPr>
    </w:p>
    <w:p>
      <w:pPr>
        <w:ind w:left="1420" w:hanging="345"/>
        <w:spacing w:after="0"/>
        <w:tabs>
          <w:tab w:leader="none" w:pos="14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cash expenditures for capital expenditures or contractual commitments;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changes in, or cash requirements for, our working capital requirements;</w:t>
      </w:r>
    </w:p>
    <w:p>
      <w:pPr>
        <w:spacing w:after="0" w:line="184" w:lineRule="exact"/>
        <w:rPr>
          <w:rFonts w:ascii="Arial" w:cs="Arial" w:eastAsia="Arial" w:hAnsi="Arial"/>
          <w:sz w:val="18"/>
          <w:szCs w:val="18"/>
          <w:b w:val="1"/>
          <w:bCs w:val="1"/>
          <w:color w:val="auto"/>
        </w:rPr>
      </w:pPr>
    </w:p>
    <w:p>
      <w:pPr>
        <w:ind w:left="1420" w:hanging="345"/>
        <w:spacing w:after="0"/>
        <w:tabs>
          <w:tab w:leader="none" w:pos="142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interest expense, or the cash requirements necessary to service interest or principal payments on our indebtedness;</w:t>
      </w:r>
    </w:p>
    <w:p>
      <w:pPr>
        <w:spacing w:after="0" w:line="221" w:lineRule="exact"/>
        <w:rPr>
          <w:rFonts w:ascii="Arial" w:cs="Arial" w:eastAsia="Arial" w:hAnsi="Arial"/>
          <w:sz w:val="16"/>
          <w:szCs w:val="16"/>
          <w:b w:val="1"/>
          <w:bCs w:val="1"/>
          <w:color w:val="auto"/>
        </w:rPr>
      </w:pPr>
    </w:p>
    <w:p>
      <w:pPr>
        <w:ind w:left="1420" w:hanging="345"/>
        <w:spacing w:after="0"/>
        <w:tabs>
          <w:tab w:leader="none" w:pos="14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 or cash required to replace assets that are being depreciated or amortized; and</w:t>
      </w:r>
    </w:p>
    <w:p>
      <w:pPr>
        <w:spacing w:after="0" w:line="184" w:lineRule="exact"/>
        <w:rPr>
          <w:rFonts w:ascii="Arial" w:cs="Arial" w:eastAsia="Arial" w:hAnsi="Arial"/>
          <w:sz w:val="18"/>
          <w:szCs w:val="18"/>
          <w:b w:val="1"/>
          <w:bCs w:val="1"/>
          <w:color w:val="auto"/>
        </w:rPr>
      </w:pPr>
    </w:p>
    <w:p>
      <w:pPr>
        <w:jc w:val="both"/>
        <w:ind w:left="1420" w:right="659" w:hanging="345"/>
        <w:spacing w:after="0" w:line="286" w:lineRule="auto"/>
        <w:tabs>
          <w:tab w:leader="none" w:pos="142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 impact on our reported results of earnings or charges resulting from (i) royalties to our prior owner, including amortization of royalties prepaid in connection with our settlement, (ii) management fees and expenses that were payable until completion of our public offering, and (iii) share-based compensation.</w:t>
      </w:r>
    </w:p>
    <w:p>
      <w:pPr>
        <w:spacing w:after="0" w:line="125" w:lineRule="exact"/>
        <w:rPr>
          <w:sz w:val="20"/>
          <w:szCs w:val="20"/>
          <w:color w:val="auto"/>
        </w:rPr>
      </w:pPr>
    </w:p>
    <w:p>
      <w:pPr>
        <w:ind w:left="340" w:right="739" w:firstLine="373"/>
        <w:spacing w:after="0" w:line="297" w:lineRule="auto"/>
        <w:rPr>
          <w:sz w:val="20"/>
          <w:szCs w:val="20"/>
          <w:color w:val="auto"/>
        </w:rPr>
      </w:pPr>
      <w:r>
        <w:rPr>
          <w:rFonts w:ascii="Arial" w:cs="Arial" w:eastAsia="Arial" w:hAnsi="Arial"/>
          <w:sz w:val="16"/>
          <w:szCs w:val="16"/>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presents data relating to Adjusted EBITDA, which is a non-GAAP measure, for the periods indicated: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96"/>
              </w:rPr>
              <w:t>March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auto"/>
            </w:tcBorders>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1"/>
              </w:rPr>
              <w:t>(Unaudited)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3,303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6,904</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Plus: interest expense net of interest income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561</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income tax expense (benefit)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2,076</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Plus: depreciation and amortization</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13,688</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5"/>
                <w:szCs w:val="15"/>
                <w:color w:val="auto"/>
              </w:rPr>
              <w:t>(a)</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management fees and expenses</w:t>
            </w:r>
            <w:r>
              <w:rPr>
                <w:rFonts w:ascii="Arial" w:cs="Arial" w:eastAsia="Arial" w:hAnsi="Arial"/>
                <w:sz w:val="15"/>
                <w:szCs w:val="15"/>
                <w:color w:val="auto"/>
              </w:rPr>
              <w:t>(b)</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Plus: share-based compensation</w:t>
            </w:r>
            <w:r>
              <w:rPr>
                <w:rFonts w:ascii="Arial" w:cs="Arial" w:eastAsia="Arial" w:hAnsi="Arial"/>
                <w:sz w:val="15"/>
                <w:szCs w:val="15"/>
                <w:color w:val="auto"/>
              </w:rPr>
              <w:t>(c)</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14,526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619" w:hanging="348"/>
        <w:spacing w:after="0" w:line="259"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2009 and future periods.</w:t>
      </w:r>
    </w:p>
    <w:p>
      <w:pPr>
        <w:spacing w:after="0" w:line="38" w:lineRule="exact"/>
        <w:rPr>
          <w:rFonts w:ascii="Arial" w:cs="Arial" w:eastAsia="Arial" w:hAnsi="Arial"/>
          <w:sz w:val="18"/>
          <w:szCs w:val="18"/>
          <w:color w:val="auto"/>
        </w:rPr>
      </w:pPr>
    </w:p>
    <w:p>
      <w:pPr>
        <w:ind w:left="680" w:right="739" w:hanging="348"/>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management fees and expenses of $0.1 million for the quarter ended March 31, 2008 to the general partner of the Endeavour Entities. The agreement relating to this arrangement has been terminated.</w:t>
      </w:r>
    </w:p>
    <w:p>
      <w:pPr>
        <w:spacing w:after="0" w:line="21" w:lineRule="exact"/>
        <w:rPr>
          <w:rFonts w:ascii="Arial" w:cs="Arial" w:eastAsia="Arial" w:hAnsi="Arial"/>
          <w:sz w:val="18"/>
          <w:szCs w:val="18"/>
          <w:color w:val="auto"/>
        </w:rPr>
      </w:pPr>
    </w:p>
    <w:p>
      <w:pPr>
        <w:ind w:left="680" w:right="819" w:hanging="348"/>
        <w:spacing w:after="0" w:line="308"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Reflects share based compensation expense recorded in the first quarter of 2009, related to share-based compensation for stock options granted to employees and directors in connection with our initial public offering.</w:t>
      </w:r>
    </w:p>
    <w:p>
      <w:pPr>
        <w:spacing w:after="0" w:line="200" w:lineRule="exact"/>
        <w:rPr>
          <w:sz w:val="20"/>
          <w:szCs w:val="20"/>
          <w:color w:val="auto"/>
        </w:rPr>
      </w:pP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left="340" w:right="619" w:firstLine="373"/>
        <w:spacing w:after="0" w:line="264"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2008, or 2009. There can be no assurance that future inflation will not have an adverse impact on our operating results and financial condition.</w:t>
      </w:r>
    </w:p>
    <w:p>
      <w:pPr>
        <w:spacing w:after="0" w:line="141" w:lineRule="exact"/>
        <w:rPr>
          <w:sz w:val="20"/>
          <w:szCs w:val="20"/>
          <w:color w:val="auto"/>
        </w:rPr>
      </w:pPr>
    </w:p>
    <w:p>
      <w:pPr>
        <w:ind w:left="340" w:right="659" w:firstLine="373"/>
        <w:spacing w:after="0" w:line="264" w:lineRule="auto"/>
        <w:rPr>
          <w:sz w:val="20"/>
          <w:szCs w:val="20"/>
          <w:color w:val="auto"/>
        </w:rPr>
      </w:pPr>
      <w:r>
        <w:rPr>
          <w:rFonts w:ascii="Arial" w:cs="Arial" w:eastAsia="Arial" w:hAnsi="Arial"/>
          <w:sz w:val="18"/>
          <w:szCs w:val="18"/>
          <w:i w:val="1"/>
          <w:iCs w:val="1"/>
          <w:color w:val="auto"/>
        </w:rPr>
        <w:t>Market risk</w:t>
      </w:r>
      <w:r>
        <w:rPr>
          <w:rFonts w:ascii="Arial" w:cs="Arial" w:eastAsia="Arial" w:hAnsi="Arial"/>
          <w:sz w:val="18"/>
          <w:szCs w:val="18"/>
          <w:color w:val="auto"/>
        </w:rPr>
        <w:t>. We have no derivative financial instruments or derivative commodity instruments. We invest cash in excess of</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operating requirements in short term certificates of deposit and money market instruments in multiple financial institutions.</w:t>
      </w:r>
    </w:p>
    <w:p>
      <w:pPr>
        <w:spacing w:after="0" w:line="141" w:lineRule="exact"/>
        <w:rPr>
          <w:sz w:val="20"/>
          <w:szCs w:val="20"/>
          <w:color w:val="auto"/>
        </w:rPr>
      </w:pPr>
    </w:p>
    <w:p>
      <w:pPr>
        <w:ind w:left="340" w:right="579" w:firstLine="373"/>
        <w:spacing w:after="0" w:line="273"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by investing excess funds in cash equivalents and AAA-rated marketable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bearing 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March 31, 2009, a 10% increase or decrease in interest rates would not have a material impact on our future earnings, fair values, or cash flows. All of our notes payable and capital lease obligations are fixed rate instruments and are not subject to fluctuations in interest rates.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left="340" w:right="579" w:firstLine="373"/>
        <w:spacing w:after="0" w:line="26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the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the company’s disclosure controls and procedures are effective, as of March 31, 2009,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left="340" w:right="579" w:firstLine="373"/>
        <w:spacing w:after="0" w:line="264"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were previously a party to a dispute with SunGard Higher Education Managed Services Inc. (“SunGard”). 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October 22, 2008, an arbitration panel issued a final award pursuant to which the Company and SunGard were awarded damages,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with a net award to SunGard in the amount of approximately $250,000 plus interest. The arbitration panel also held that each</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party would be responsible for its own attorneys’ fees and that the parties would equally share the arbitration costs. 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January 14, 2009, we entered into a settlement agreement with SunGard regarding payment of the arbitration award and effecting</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mutual release between the parties regarding all claims that were brought, or could have been brought, in the litigation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related arbitration, and all administrative matters relating to this dispute have been resolved. Therefore, as of March 31, 2009</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reserves for litigation related to this matter.</w:t>
      </w:r>
    </w:p>
    <w:p>
      <w:pPr>
        <w:spacing w:after="0" w:line="170" w:lineRule="exact"/>
        <w:rPr>
          <w:sz w:val="20"/>
          <w:szCs w:val="20"/>
          <w:color w:val="auto"/>
        </w:rPr>
      </w:pPr>
    </w:p>
    <w:p>
      <w:pPr>
        <w:ind w:left="340" w:right="719" w:firstLine="373"/>
        <w:spacing w:after="0" w:line="297" w:lineRule="auto"/>
        <w:rPr>
          <w:sz w:val="20"/>
          <w:szCs w:val="20"/>
          <w:color w:val="auto"/>
        </w:rPr>
      </w:pPr>
      <w:r>
        <w:rPr>
          <w:rFonts w:ascii="Arial" w:cs="Arial" w:eastAsia="Arial" w:hAnsi="Arial"/>
          <w:sz w:val="16"/>
          <w:szCs w:val="16"/>
          <w:color w:val="auto"/>
        </w:rPr>
        <w:t>On August 14, 2008, the OIG served an administrative subpoena on Grand Canyon University requiring us to provide certain records and information related to performance reviews and salary adjustments for all of our enrollment counselors and managers from January 1, 2004 to the present. We are cooperating with the OIG to facilitate its investigation and are nearing completion of our rolling responsive document production, which commenced in September 2008. We cannot presently predict the ultimate outcome of the investigation or any liability or other sanctions that may result.</w:t>
      </w:r>
    </w:p>
    <w:p>
      <w:pPr>
        <w:spacing w:after="0" w:line="131" w:lineRule="exact"/>
        <w:rPr>
          <w:sz w:val="20"/>
          <w:szCs w:val="20"/>
          <w:color w:val="auto"/>
        </w:rPr>
      </w:pPr>
    </w:p>
    <w:p>
      <w:pPr>
        <w:ind w:left="340" w:right="619" w:firstLine="373"/>
        <w:spacing w:after="0" w:line="285" w:lineRule="auto"/>
        <w:rPr>
          <w:sz w:val="20"/>
          <w:szCs w:val="20"/>
          <w:color w:val="auto"/>
        </w:rPr>
      </w:pPr>
      <w:r>
        <w:rPr>
          <w:rFonts w:ascii="Arial" w:cs="Arial" w:eastAsia="Arial" w:hAnsi="Arial"/>
          <w:sz w:val="16"/>
          <w:szCs w:val="16"/>
          <w:color w:val="auto"/>
        </w:rPr>
        <w:t xml:space="preserve">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was filed on August 11, 2008.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are not within the scope of any explicit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While our motion to dismiss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has been denied, we are currently conducting discovery and plan to vigorously contest the lawsuit.</w:t>
      </w:r>
    </w:p>
    <w:p>
      <w:pPr>
        <w:spacing w:after="0" w:line="137" w:lineRule="exact"/>
        <w:rPr>
          <w:sz w:val="20"/>
          <w:szCs w:val="20"/>
          <w:color w:val="auto"/>
        </w:rPr>
      </w:pPr>
    </w:p>
    <w:p>
      <w:pPr>
        <w:ind w:left="340" w:right="659" w:firstLine="373"/>
        <w:spacing w:after="0" w:line="255" w:lineRule="auto"/>
        <w:rPr>
          <w:sz w:val="20"/>
          <w:szCs w:val="20"/>
          <w:color w:val="auto"/>
        </w:rPr>
      </w:pPr>
      <w:r>
        <w:rPr>
          <w:rFonts w:ascii="Arial" w:cs="Arial" w:eastAsia="Arial" w:hAnsi="Arial"/>
          <w:sz w:val="18"/>
          <w:szCs w:val="18"/>
          <w:color w:val="auto"/>
        </w:rPr>
        <w:t xml:space="preserve">If it were determined that any of our compensation practices violated the incentive compensation law, we could experience an adverse outcome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litigation or any liability or other sanctions that may result. It is possible that, during the course of the litigation, other information may be discovered that would adversely affect the outcome of the litigation.</w:t>
      </w:r>
    </w:p>
    <w:p>
      <w:pPr>
        <w:spacing w:after="0" w:line="153" w:lineRule="exact"/>
        <w:rPr>
          <w:sz w:val="20"/>
          <w:szCs w:val="20"/>
          <w:color w:val="auto"/>
        </w:rPr>
      </w:pPr>
    </w:p>
    <w:p>
      <w:pPr>
        <w:ind w:left="340" w:right="679" w:firstLine="373"/>
        <w:spacing w:after="0" w:line="264"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left="340" w:right="879" w:firstLine="373"/>
        <w:spacing w:after="0" w:line="308" w:lineRule="auto"/>
        <w:rPr>
          <w:sz w:val="20"/>
          <w:szCs w:val="20"/>
          <w:color w:val="auto"/>
        </w:rPr>
      </w:pPr>
      <w:r>
        <w:rPr>
          <w:rFonts w:ascii="Arial" w:cs="Arial" w:eastAsia="Arial" w:hAnsi="Arial"/>
          <w:sz w:val="17"/>
          <w:szCs w:val="17"/>
          <w:color w:val="auto"/>
        </w:rPr>
        <w:t>Other than with respect to the risk factors below, there have been no material changes to the risk factors disclosed in the “Risk Factors” section of our Annual Report on Form 10-K for the year ended December 31, 2008.</w:t>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19"/>
        <w:spacing w:after="0" w:line="308" w:lineRule="auto"/>
        <w:rPr>
          <w:sz w:val="20"/>
          <w:szCs w:val="20"/>
          <w:color w:val="auto"/>
        </w:rPr>
      </w:pPr>
      <w:r>
        <w:rPr>
          <w:rFonts w:ascii="Arial" w:cs="Arial" w:eastAsia="Arial" w:hAnsi="Arial"/>
          <w:sz w:val="17"/>
          <w:szCs w:val="17"/>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120" w:lineRule="exact"/>
        <w:rPr>
          <w:sz w:val="20"/>
          <w:szCs w:val="20"/>
          <w:color w:val="auto"/>
        </w:rPr>
      </w:pPr>
    </w:p>
    <w:p>
      <w:pPr>
        <w:ind w:left="340" w:right="559" w:firstLine="373"/>
        <w:spacing w:after="0" w:line="268" w:lineRule="auto"/>
        <w:rPr>
          <w:sz w:val="20"/>
          <w:szCs w:val="20"/>
          <w:color w:val="auto"/>
        </w:rPr>
      </w:pPr>
      <w:r>
        <w:rPr>
          <w:rFonts w:ascii="Arial" w:cs="Arial" w:eastAsia="Arial" w:hAnsi="Arial"/>
          <w:sz w:val="17"/>
          <w:szCs w:val="17"/>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We were reaccredited by the Higher Learning Commission in 2007 for the maximum term of 10 years. While the Higher Learning Commission concluded that we were in compliance with its accreditation standards, it did note certain deficiencies to be addressed by us. In February 2009, we filed a monitoring report with the Higher Learning Commission addressing our progress in resolving these deficiencies. In March 2009, we received confirmation from the Higher Learning Commission our monitoring report was accepted and no further reports are required. If we fail to satisfy any of the Higher Learning Commission’s standards,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40" w:lineRule="exact"/>
        <w:rPr>
          <w:sz w:val="20"/>
          <w:szCs w:val="20"/>
          <w:color w:val="auto"/>
        </w:rPr>
      </w:pPr>
    </w:p>
    <w:p>
      <w:pPr>
        <w:ind w:left="340" w:right="1059"/>
        <w:spacing w:after="0" w:line="264" w:lineRule="auto"/>
        <w:rPr>
          <w:sz w:val="20"/>
          <w:szCs w:val="20"/>
          <w:color w:val="auto"/>
        </w:rPr>
      </w:pPr>
      <w:r>
        <w:rPr>
          <w:rFonts w:ascii="Arial" w:cs="Arial" w:eastAsia="Arial" w:hAnsi="Arial"/>
          <w:sz w:val="18"/>
          <w:szCs w:val="18"/>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141" w:lineRule="exact"/>
        <w:rPr>
          <w:sz w:val="20"/>
          <w:szCs w:val="20"/>
          <w:color w:val="auto"/>
        </w:rPr>
      </w:pPr>
    </w:p>
    <w:p>
      <w:pPr>
        <w:ind w:left="340" w:right="559" w:firstLine="373"/>
        <w:spacing w:after="0" w:line="286" w:lineRule="auto"/>
        <w:rPr>
          <w:sz w:val="20"/>
          <w:szCs w:val="20"/>
          <w:color w:val="auto"/>
        </w:rPr>
      </w:pPr>
      <w:r>
        <w:rPr>
          <w:rFonts w:ascii="Arial" w:cs="Arial" w:eastAsia="Arial" w:hAnsi="Arial"/>
          <w:sz w:val="16"/>
          <w:szCs w:val="16"/>
          <w:color w:val="auto"/>
        </w:rPr>
        <w:t>If we experience a change in control under the standards of the Department of Education, the Arizona State Board for Private Postsecondary Education, the Higher Learning Commission, or any other applicable state education agency or accrediting commission, we must notify 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Some of these transactions or events may be beyond our control. Our failure to obtain, or a delay in receiving, approval of any change in control from the Department of Education, the Arizona State Board for Private Postsecondary Education, or the Higher Learning Commission could impair our ability to operate or participate in the Title IV programs, which could have a material adverse effect on our business and financial condition.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142" w:lineRule="exact"/>
        <w:rPr>
          <w:sz w:val="20"/>
          <w:szCs w:val="20"/>
          <w:color w:val="auto"/>
        </w:rPr>
      </w:pPr>
    </w:p>
    <w:p>
      <w:pPr>
        <w:jc w:val="both"/>
        <w:ind w:left="340" w:right="699" w:firstLine="373"/>
        <w:spacing w:after="0" w:line="279" w:lineRule="auto"/>
        <w:rPr>
          <w:sz w:val="20"/>
          <w:szCs w:val="20"/>
          <w:color w:val="auto"/>
        </w:rPr>
      </w:pPr>
      <w:r>
        <w:rPr>
          <w:rFonts w:ascii="Arial" w:cs="Arial" w:eastAsia="Arial" w:hAnsi="Arial"/>
          <w:sz w:val="17"/>
          <w:szCs w:val="17"/>
          <w:color w:val="auto"/>
        </w:rPr>
        <w:t>In connection with our initial public offering, which we completed in November 2008, we submitted a description of the offering to the Department of Education, including a description of a voting agreement that certain of our stockholders entered into upon completion of the public offering. Based on this description, the Department of Education concluded that the offering did not result in a change in control under the Department of Education’s regulations.</w:t>
      </w:r>
    </w:p>
    <w:p>
      <w:pPr>
        <w:spacing w:after="0" w:line="131" w:lineRule="exact"/>
        <w:rPr>
          <w:sz w:val="20"/>
          <w:szCs w:val="20"/>
          <w:color w:val="auto"/>
        </w:rPr>
      </w:pPr>
    </w:p>
    <w:p>
      <w:pPr>
        <w:ind w:left="340" w:right="559" w:firstLine="373"/>
        <w:spacing w:after="0" w:line="272" w:lineRule="auto"/>
        <w:rPr>
          <w:sz w:val="20"/>
          <w:szCs w:val="20"/>
          <w:color w:val="auto"/>
        </w:rPr>
      </w:pPr>
      <w:r>
        <w:rPr>
          <w:rFonts w:ascii="Arial" w:cs="Arial" w:eastAsia="Arial" w:hAnsi="Arial"/>
          <w:sz w:val="17"/>
          <w:szCs w:val="17"/>
          <w:color w:val="auto"/>
        </w:rPr>
        <w:t>The Higher Learning Commission considered our initial public offering to be a change in control under its policies. While we obtained the Higher Learning Commission’s approval to consummate the offering, as a result of its determination that the public offering constituted a change in control, the Higher Learning Commission informed us that it would conduct a site visit to confirm the appropriateness of the approval and to evaluate whether we continue to meet the Higher Learning Commission’s eligibility criteria. The Higher Learning Commission conducted its site visit in March 2009 and determined, among other things, that the initial public offering was conducted in a manner that did not disrupt the ongoing operations of the University and that no further action would be required as a result of the change in control.</w:t>
      </w:r>
    </w:p>
    <w:p>
      <w:pPr>
        <w:spacing w:after="0" w:line="137" w:lineRule="exact"/>
        <w:rPr>
          <w:sz w:val="20"/>
          <w:szCs w:val="20"/>
          <w:color w:val="auto"/>
        </w:rPr>
      </w:pPr>
    </w:p>
    <w:p>
      <w:pPr>
        <w:ind w:left="340" w:right="719" w:firstLine="373"/>
        <w:spacing w:after="0" w:line="254" w:lineRule="auto"/>
        <w:rPr>
          <w:sz w:val="20"/>
          <w:szCs w:val="20"/>
          <w:color w:val="auto"/>
        </w:rPr>
      </w:pPr>
      <w:r>
        <w:rPr>
          <w:rFonts w:ascii="Arial" w:cs="Arial" w:eastAsia="Arial" w:hAnsi="Arial"/>
          <w:sz w:val="18"/>
          <w:szCs w:val="18"/>
          <w:color w:val="auto"/>
        </w:rPr>
        <w:t>In addition, we notified the Arizona State Board for Private Postsecondary Education of our initial public offering and, based on our communications with that agency, we do not believe that our initial public offering constituted a change in control under Arizona law. We also notified other accrediting commissions and state agencies, as we believed necessary, of our initial public offering and the reasons why we believed the offering did not constitute a change in control under their respective standards, or to determine what was required if any such commission or agency did consider the offering to constitute a change in control. None of the other accrediting commissions and state agencies that we notified of our initial public offering has advised us that it concluded that the offering constituted a change in control under its policies or that it required us to take any further action.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340" w:type="dxa"/>
            <w:vAlign w:val="bottom"/>
          </w:tcPr>
          <w:p>
            <w:pPr>
              <w:ind w:left="36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392"/>
        </w:trPr>
        <w:tc>
          <w:tcPr>
            <w:tcW w:w="1340" w:type="dxa"/>
            <w:vAlign w:val="bottom"/>
          </w:tcPr>
          <w:p>
            <w:pPr>
              <w:spacing w:after="0"/>
              <w:rPr>
                <w:sz w:val="20"/>
                <w:szCs w:val="20"/>
                <w:color w:val="auto"/>
              </w:rPr>
            </w:pPr>
            <w:r>
              <w:rPr>
                <w:rFonts w:ascii="Arial" w:cs="Arial" w:eastAsia="Arial" w:hAnsi="Arial"/>
                <w:sz w:val="18"/>
                <w:szCs w:val="18"/>
                <w:b w:val="1"/>
                <w:bCs w:val="1"/>
                <w:color w:val="auto"/>
                <w:w w:val="99"/>
              </w:rPr>
              <w:t>Item 6. Exhibits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92"/>
        </w:trPr>
        <w:tc>
          <w:tcPr>
            <w:tcW w:w="1340" w:type="dxa"/>
            <w:vAlign w:val="bottom"/>
          </w:tcPr>
          <w:p>
            <w:pPr>
              <w:ind w:left="360"/>
              <w:spacing w:after="0"/>
              <w:rPr>
                <w:sz w:val="20"/>
                <w:szCs w:val="20"/>
                <w:color w:val="auto"/>
              </w:rPr>
            </w:pPr>
            <w:r>
              <w:rPr>
                <w:rFonts w:ascii="Arial" w:cs="Arial" w:eastAsia="Arial" w:hAnsi="Arial"/>
                <w:sz w:val="18"/>
                <w:szCs w:val="18"/>
                <w:color w:val="auto"/>
              </w:rPr>
              <w:t>(a) Exhibits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32"/>
        </w:trPr>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Number</w:t>
            </w:r>
          </w:p>
        </w:tc>
        <w:tc>
          <w:tcPr>
            <w:tcW w:w="300" w:type="dxa"/>
            <w:vAlign w:val="bottom"/>
          </w:tcPr>
          <w:p>
            <w:pPr>
              <w:spacing w:after="0"/>
              <w:rPr>
                <w:sz w:val="24"/>
                <w:szCs w:val="24"/>
                <w:color w:val="auto"/>
              </w:rPr>
            </w:pPr>
          </w:p>
        </w:tc>
        <w:tc>
          <w:tcPr>
            <w:tcW w:w="368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Description</w:t>
            </w:r>
          </w:p>
        </w:tc>
        <w:tc>
          <w:tcPr>
            <w:tcW w:w="3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134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6"/>
                <w:szCs w:val="16"/>
                <w:color w:val="auto"/>
              </w:rPr>
            </w:pPr>
          </w:p>
        </w:tc>
        <w:tc>
          <w:tcPr>
            <w:tcW w:w="3680" w:type="dxa"/>
            <w:vAlign w:val="bottom"/>
          </w:tcPr>
          <w:p>
            <w:pPr>
              <w:spacing w:after="0" w:line="195" w:lineRule="exact"/>
              <w:rPr>
                <w:sz w:val="20"/>
                <w:szCs w:val="20"/>
                <w:color w:val="auto"/>
              </w:rPr>
            </w:pPr>
            <w:r>
              <w:rPr>
                <w:rFonts w:ascii="Arial" w:cs="Arial" w:eastAsia="Arial" w:hAnsi="Arial"/>
                <w:sz w:val="18"/>
                <w:szCs w:val="18"/>
                <w:color w:val="auto"/>
              </w:rPr>
              <w:t>Amended and Restated Certificate of</w:t>
            </w:r>
          </w:p>
        </w:tc>
        <w:tc>
          <w:tcPr>
            <w:tcW w:w="300" w:type="dxa"/>
            <w:vAlign w:val="bottom"/>
          </w:tcPr>
          <w:p>
            <w:pPr>
              <w:spacing w:after="0"/>
              <w:rPr>
                <w:sz w:val="16"/>
                <w:szCs w:val="16"/>
                <w:color w:val="auto"/>
              </w:rPr>
            </w:pPr>
          </w:p>
        </w:tc>
        <w:tc>
          <w:tcPr>
            <w:tcW w:w="3700" w:type="dxa"/>
            <w:vAlign w:val="bottom"/>
          </w:tcPr>
          <w:p>
            <w:pPr>
              <w:spacing w:after="0" w:line="195" w:lineRule="exact"/>
              <w:rPr>
                <w:sz w:val="20"/>
                <w:szCs w:val="20"/>
                <w:color w:val="auto"/>
              </w:rPr>
            </w:pPr>
            <w:r>
              <w:rPr>
                <w:rFonts w:ascii="Arial" w:cs="Arial" w:eastAsia="Arial" w:hAnsi="Arial"/>
                <w:sz w:val="18"/>
                <w:szCs w:val="18"/>
                <w:color w:val="auto"/>
              </w:rPr>
              <w:t>Incorporated by reference to Exhibit 3.1 to</w:t>
            </w:r>
          </w:p>
        </w:tc>
      </w:tr>
      <w:tr>
        <w:trPr>
          <w:trHeight w:val="216"/>
        </w:trPr>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Incorporation.</w:t>
            </w:r>
          </w:p>
        </w:tc>
        <w:tc>
          <w:tcPr>
            <w:tcW w:w="3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Amendment No. 6 to the Company’s Registration</w:t>
            </w:r>
          </w:p>
        </w:tc>
      </w:tr>
      <w:tr>
        <w:trPr>
          <w:trHeight w:val="216"/>
        </w:trPr>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November 12, 2008.</w:t>
            </w:r>
          </w:p>
        </w:tc>
      </w:tr>
      <w:tr>
        <w:trPr>
          <w:trHeight w:val="418"/>
        </w:trPr>
        <w:tc>
          <w:tcPr>
            <w:tcW w:w="1340" w:type="dxa"/>
            <w:vAlign w:val="bottom"/>
          </w:tcPr>
          <w:p>
            <w:pPr>
              <w:jc w:val="right"/>
              <w:ind w:right="41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Amended and Restated Bylaws.</w:t>
            </w:r>
          </w:p>
        </w:tc>
        <w:tc>
          <w:tcPr>
            <w:tcW w:w="3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Incorporated by reference to Exhibit 3.2 to</w:t>
            </w:r>
          </w:p>
        </w:tc>
      </w:tr>
      <w:tr>
        <w:trPr>
          <w:trHeight w:val="216"/>
        </w:trPr>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Amendment No. 6 to the Company’s Registration</w:t>
            </w:r>
          </w:p>
        </w:tc>
      </w:tr>
      <w:tr>
        <w:trPr>
          <w:trHeight w:val="216"/>
        </w:trPr>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November 12, 2008.</w:t>
            </w:r>
          </w:p>
        </w:tc>
      </w:tr>
      <w:tr>
        <w:trPr>
          <w:trHeight w:val="418"/>
        </w:trPr>
        <w:tc>
          <w:tcPr>
            <w:tcW w:w="1340" w:type="dxa"/>
            <w:vAlign w:val="bottom"/>
          </w:tcPr>
          <w:p>
            <w:pPr>
              <w:jc w:val="right"/>
              <w:ind w:right="41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Specimen of Stock Certificate.</w:t>
            </w:r>
          </w:p>
        </w:tc>
        <w:tc>
          <w:tcPr>
            <w:tcW w:w="3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Incorporated by reference to Exhibit 4.1 to</w:t>
            </w:r>
          </w:p>
        </w:tc>
      </w:tr>
      <w:tr>
        <w:trPr>
          <w:trHeight w:val="216"/>
        </w:trPr>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Amendment No. 2 to the Company’s Registration</w:t>
            </w:r>
          </w:p>
        </w:tc>
      </w:tr>
      <w:tr>
        <w:trPr>
          <w:trHeight w:val="216"/>
        </w:trPr>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September 29, 2008.</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20" w:type="dxa"/>
            <w:vAlign w:val="bottom"/>
          </w:tcPr>
          <w:p>
            <w:pPr>
              <w:jc w:val="right"/>
              <w:ind w:right="310"/>
              <w:spacing w:after="0"/>
              <w:rPr>
                <w:sz w:val="20"/>
                <w:szCs w:val="20"/>
                <w:color w:val="auto"/>
              </w:rPr>
            </w:pPr>
            <w:r>
              <w:rPr>
                <w:rFonts w:ascii="Arial" w:cs="Arial" w:eastAsia="Arial" w:hAnsi="Arial"/>
                <w:sz w:val="18"/>
                <w:szCs w:val="18"/>
                <w:color w:val="auto"/>
              </w:rPr>
              <w:t>4.2</w:t>
            </w:r>
          </w:p>
        </w:tc>
        <w:tc>
          <w:tcPr>
            <w:tcW w:w="4080" w:type="dxa"/>
            <w:vAlign w:val="bottom"/>
          </w:tcPr>
          <w:p>
            <w:pPr>
              <w:ind w:left="400"/>
              <w:spacing w:after="0"/>
              <w:rPr>
                <w:sz w:val="20"/>
                <w:szCs w:val="20"/>
                <w:color w:val="auto"/>
              </w:rPr>
            </w:pPr>
            <w:r>
              <w:rPr>
                <w:rFonts w:ascii="Arial" w:cs="Arial" w:eastAsia="Arial" w:hAnsi="Arial"/>
                <w:sz w:val="18"/>
                <w:szCs w:val="18"/>
                <w:color w:val="auto"/>
              </w:rPr>
              <w:t>Amended and Restated Investor Rights</w:t>
            </w:r>
          </w:p>
        </w:tc>
      </w:tr>
      <w:tr>
        <w:trPr>
          <w:trHeight w:val="216"/>
        </w:trPr>
        <w:tc>
          <w:tcPr>
            <w:tcW w:w="72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w w:val="97"/>
              </w:rPr>
              <w:t>Agreement, dated September 17, 2008, by and</w:t>
            </w:r>
          </w:p>
        </w:tc>
      </w:tr>
      <w:tr>
        <w:trPr>
          <w:trHeight w:val="216"/>
        </w:trPr>
        <w:tc>
          <w:tcPr>
            <w:tcW w:w="72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w w:val="99"/>
              </w:rPr>
              <w:t>among Grand Canyon Education, Inc. and the</w:t>
            </w:r>
          </w:p>
        </w:tc>
      </w:tr>
      <w:tr>
        <w:trPr>
          <w:trHeight w:val="230"/>
        </w:trPr>
        <w:tc>
          <w:tcPr>
            <w:tcW w:w="720" w:type="dxa"/>
            <w:vAlign w:val="bottom"/>
          </w:tcPr>
          <w:p>
            <w:pPr>
              <w:spacing w:after="0"/>
              <w:rPr>
                <w:sz w:val="20"/>
                <w:szCs w:val="20"/>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rPr>
              <w:t>other parties named therein.</w:t>
            </w:r>
          </w:p>
        </w:tc>
      </w:tr>
      <w:tr>
        <w:trPr>
          <w:trHeight w:val="418"/>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31.1</w:t>
            </w:r>
          </w:p>
        </w:tc>
        <w:tc>
          <w:tcPr>
            <w:tcW w:w="4080" w:type="dxa"/>
            <w:vAlign w:val="bottom"/>
          </w:tcPr>
          <w:p>
            <w:pPr>
              <w:ind w:left="400"/>
              <w:spacing w:after="0"/>
              <w:rPr>
                <w:sz w:val="20"/>
                <w:szCs w:val="20"/>
                <w:color w:val="auto"/>
              </w:rPr>
            </w:pPr>
            <w:r>
              <w:rPr>
                <w:rFonts w:ascii="Arial" w:cs="Arial" w:eastAsia="Arial" w:hAnsi="Arial"/>
                <w:sz w:val="18"/>
                <w:szCs w:val="18"/>
                <w:color w:val="auto"/>
                <w:w w:val="96"/>
              </w:rPr>
              <w:t>Certification of Chief Executive Officer pursuant</w:t>
            </w:r>
          </w:p>
        </w:tc>
      </w:tr>
      <w:tr>
        <w:trPr>
          <w:trHeight w:val="230"/>
        </w:trPr>
        <w:tc>
          <w:tcPr>
            <w:tcW w:w="720" w:type="dxa"/>
            <w:vAlign w:val="bottom"/>
          </w:tcPr>
          <w:p>
            <w:pPr>
              <w:spacing w:after="0"/>
              <w:rPr>
                <w:sz w:val="20"/>
                <w:szCs w:val="20"/>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w w:val="91"/>
              </w:rPr>
              <w:t>to Section 302 of the Sarbanes-Oxley Act of 2002.</w:t>
            </w:r>
          </w:p>
        </w:tc>
      </w:tr>
      <w:tr>
        <w:trPr>
          <w:trHeight w:val="418"/>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31.2</w:t>
            </w:r>
          </w:p>
        </w:tc>
        <w:tc>
          <w:tcPr>
            <w:tcW w:w="4080" w:type="dxa"/>
            <w:vAlign w:val="bottom"/>
          </w:tcPr>
          <w:p>
            <w:pPr>
              <w:ind w:left="400"/>
              <w:spacing w:after="0"/>
              <w:rPr>
                <w:sz w:val="20"/>
                <w:szCs w:val="20"/>
                <w:color w:val="auto"/>
              </w:rPr>
            </w:pPr>
            <w:r>
              <w:rPr>
                <w:rFonts w:ascii="Arial" w:cs="Arial" w:eastAsia="Arial" w:hAnsi="Arial"/>
                <w:sz w:val="18"/>
                <w:szCs w:val="18"/>
                <w:color w:val="auto"/>
                <w:w w:val="93"/>
              </w:rPr>
              <w:t>Certification of Chief Financial Officer pursuant to</w:t>
            </w:r>
          </w:p>
        </w:tc>
      </w:tr>
      <w:tr>
        <w:trPr>
          <w:trHeight w:val="230"/>
        </w:trPr>
        <w:tc>
          <w:tcPr>
            <w:tcW w:w="720" w:type="dxa"/>
            <w:vAlign w:val="bottom"/>
          </w:tcPr>
          <w:p>
            <w:pPr>
              <w:spacing w:after="0"/>
              <w:rPr>
                <w:sz w:val="20"/>
                <w:szCs w:val="20"/>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w w:val="96"/>
              </w:rPr>
              <w:t>Section 302 of the Sarbanes-Oxley Act of 2002.</w:t>
            </w:r>
          </w:p>
        </w:tc>
      </w:tr>
      <w:tr>
        <w:trPr>
          <w:trHeight w:val="418"/>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32.1</w:t>
            </w:r>
          </w:p>
        </w:tc>
        <w:tc>
          <w:tcPr>
            <w:tcW w:w="4080" w:type="dxa"/>
            <w:vAlign w:val="bottom"/>
          </w:tcPr>
          <w:p>
            <w:pPr>
              <w:ind w:left="400"/>
              <w:spacing w:after="0"/>
              <w:rPr>
                <w:sz w:val="20"/>
                <w:szCs w:val="20"/>
                <w:color w:val="auto"/>
              </w:rPr>
            </w:pPr>
            <w:r>
              <w:rPr>
                <w:rFonts w:ascii="Arial" w:cs="Arial" w:eastAsia="Arial" w:hAnsi="Arial"/>
                <w:sz w:val="18"/>
                <w:szCs w:val="18"/>
                <w:color w:val="auto"/>
                <w:w w:val="96"/>
              </w:rPr>
              <w:t>Certification of Chief Executive Officer pursuant</w:t>
            </w:r>
          </w:p>
        </w:tc>
      </w:tr>
      <w:tr>
        <w:trPr>
          <w:trHeight w:val="216"/>
        </w:trPr>
        <w:tc>
          <w:tcPr>
            <w:tcW w:w="72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w w:val="90"/>
              </w:rPr>
              <w:t>to 18 U.S.C. Section 1350, as adopted pursuant to</w:t>
            </w:r>
          </w:p>
        </w:tc>
      </w:tr>
      <w:tr>
        <w:trPr>
          <w:trHeight w:val="230"/>
        </w:trPr>
        <w:tc>
          <w:tcPr>
            <w:tcW w:w="720" w:type="dxa"/>
            <w:vAlign w:val="bottom"/>
          </w:tcPr>
          <w:p>
            <w:pPr>
              <w:spacing w:after="0"/>
              <w:rPr>
                <w:sz w:val="20"/>
                <w:szCs w:val="20"/>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w w:val="92"/>
              </w:rPr>
              <w:t>Section 906 of the Sarbanes-Oxley Act of 2002. †</w:t>
            </w:r>
          </w:p>
        </w:tc>
      </w:tr>
    </w:tbl>
    <w:p>
      <w:pPr>
        <w:spacing w:after="0" w:line="20" w:lineRule="exact"/>
        <w:rPr>
          <w:sz w:val="20"/>
          <w:szCs w:val="20"/>
          <w:color w:val="auto"/>
        </w:rPr>
      </w:pPr>
      <w:r>
        <w:rPr>
          <w:sz w:val="20"/>
          <w:szCs w:val="20"/>
          <w:color w:val="auto"/>
        </w:rPr>
        <w:br w:type="column"/>
      </w:r>
    </w:p>
    <w:p>
      <w:pPr>
        <w:ind w:right="679"/>
        <w:spacing w:after="0" w:line="259" w:lineRule="auto"/>
        <w:rPr>
          <w:sz w:val="20"/>
          <w:szCs w:val="20"/>
          <w:color w:val="auto"/>
        </w:rPr>
      </w:pPr>
      <w:r>
        <w:rPr>
          <w:rFonts w:ascii="Arial" w:cs="Arial" w:eastAsia="Arial" w:hAnsi="Arial"/>
          <w:sz w:val="18"/>
          <w:szCs w:val="18"/>
          <w:color w:val="auto"/>
        </w:rPr>
        <w:t>Incorporated by reference to Exhibit 4.2 to Amendment No. 2 to the Company’s Registration Statement on Form S-1 filed with the SEC on September 29,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5660" w:space="300"/>
            <w:col w:w="4259"/>
          </w:cols>
          <w:pgMar w:left="240" w:top="419" w:right="1440" w:bottom="1440" w:gutter="0" w:footer="0" w:header="0"/>
          <w:type w:val="continuous"/>
        </w:sectPr>
      </w:pPr>
    </w:p>
    <w:p>
      <w:pPr>
        <w:spacing w:after="0" w:line="2" w:lineRule="exact"/>
        <w:rPr>
          <w:sz w:val="20"/>
          <w:szCs w:val="20"/>
          <w:color w:val="auto"/>
        </w:rPr>
      </w:pPr>
    </w:p>
    <w:p>
      <w:pPr>
        <w:ind w:left="860"/>
        <w:spacing w:after="0"/>
        <w:tabs>
          <w:tab w:leader="none" w:pos="1960" w:val="left"/>
          <w:tab w:leader="none" w:pos="59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18 U.S.C. Section 1350, as adopted pursuant to</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Section 906 of the Sarbanes-Oxley Act of 2002. †</w:t>
      </w:r>
    </w:p>
    <w:p>
      <w:pPr>
        <w:spacing w:after="0" w:line="116" w:lineRule="exact"/>
        <w:rPr>
          <w:sz w:val="20"/>
          <w:szCs w:val="20"/>
          <w:color w:val="auto"/>
        </w:rPr>
      </w:pPr>
    </w:p>
    <w:p>
      <w:pPr>
        <w:ind w:left="680" w:right="839" w:hanging="348"/>
        <w:spacing w:after="0" w:line="312"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ectPr>
          <w:pgSz w:w="11900" w:h="16838" w:orient="portrait"/>
          <w:cols w:equalWidth="0" w:num="1">
            <w:col w:w="10219"/>
          </w:cols>
          <w:pgMar w:left="240" w:top="419" w:right="1440"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86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5840" w:type="dxa"/>
            <w:vAlign w:val="bottom"/>
            <w:gridSpan w:val="2"/>
          </w:tcPr>
          <w:p>
            <w:pPr>
              <w:ind w:left="960"/>
              <w:spacing w:after="0"/>
              <w:rPr>
                <w:sz w:val="20"/>
                <w:szCs w:val="20"/>
                <w:color w:val="auto"/>
              </w:rPr>
            </w:pPr>
            <w:r>
              <w:rPr>
                <w:rFonts w:ascii="Arial" w:cs="Arial" w:eastAsia="Arial" w:hAnsi="Arial"/>
                <w:sz w:val="18"/>
                <w:szCs w:val="18"/>
                <w:b w:val="1"/>
                <w:bCs w:val="1"/>
                <w:color w:val="auto"/>
              </w:rPr>
              <w:t>GRAND CANYON EDUCATION, INC.</w:t>
            </w:r>
          </w:p>
        </w:tc>
        <w:tc>
          <w:tcPr>
            <w:tcW w:w="2800" w:type="dxa"/>
            <w:vAlign w:val="bottom"/>
          </w:tcPr>
          <w:p>
            <w:pPr>
              <w:spacing w:after="0"/>
              <w:rPr>
                <w:sz w:val="20"/>
                <w:szCs w:val="20"/>
                <w:color w:val="auto"/>
              </w:rPr>
            </w:pPr>
          </w:p>
        </w:tc>
      </w:tr>
      <w:tr>
        <w:trPr>
          <w:trHeight w:val="432"/>
        </w:trPr>
        <w:tc>
          <w:tcPr>
            <w:tcW w:w="2780" w:type="dxa"/>
            <w:vAlign w:val="bottom"/>
          </w:tcPr>
          <w:p>
            <w:pPr>
              <w:ind w:left="340"/>
              <w:spacing w:after="0"/>
              <w:rPr>
                <w:sz w:val="20"/>
                <w:szCs w:val="20"/>
                <w:color w:val="auto"/>
              </w:rPr>
            </w:pPr>
            <w:r>
              <w:rPr>
                <w:rFonts w:ascii="Arial" w:cs="Arial" w:eastAsia="Arial" w:hAnsi="Arial"/>
                <w:sz w:val="18"/>
                <w:szCs w:val="18"/>
                <w:color w:val="auto"/>
              </w:rPr>
              <w:t>Date: April 27, 2009</w:t>
            </w:r>
          </w:p>
        </w:tc>
        <w:tc>
          <w:tcPr>
            <w:tcW w:w="5840" w:type="dxa"/>
            <w:vAlign w:val="bottom"/>
            <w:gridSpan w:val="2"/>
          </w:tcPr>
          <w:p>
            <w:pPr>
              <w:ind w:left="960"/>
              <w:spacing w:after="0"/>
              <w:rPr>
                <w:sz w:val="20"/>
                <w:szCs w:val="20"/>
                <w:color w:val="auto"/>
              </w:rPr>
            </w:pPr>
            <w:r>
              <w:rPr>
                <w:rFonts w:ascii="Arial" w:cs="Arial" w:eastAsia="Arial" w:hAnsi="Arial"/>
                <w:sz w:val="18"/>
                <w:szCs w:val="18"/>
                <w:color w:val="auto"/>
              </w:rPr>
              <w:t>By: /s/ Daniel E. Bachus</w:t>
            </w:r>
          </w:p>
        </w:tc>
        <w:tc>
          <w:tcPr>
            <w:tcW w:w="2800" w:type="dxa"/>
            <w:vAlign w:val="bottom"/>
          </w:tcPr>
          <w:p>
            <w:pPr>
              <w:spacing w:after="0"/>
              <w:rPr>
                <w:sz w:val="24"/>
                <w:szCs w:val="24"/>
                <w:color w:val="auto"/>
              </w:rPr>
            </w:pPr>
          </w:p>
        </w:tc>
      </w:tr>
      <w:tr>
        <w:trPr>
          <w:trHeight w:val="195"/>
        </w:trPr>
        <w:tc>
          <w:tcPr>
            <w:tcW w:w="2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c>
          <w:tcPr>
            <w:tcW w:w="2800" w:type="dxa"/>
            <w:vAlign w:val="bottom"/>
          </w:tcPr>
          <w:p>
            <w:pPr>
              <w:spacing w:after="0"/>
              <w:rPr>
                <w:sz w:val="16"/>
                <w:szCs w:val="16"/>
                <w:color w:val="auto"/>
              </w:rPr>
            </w:pPr>
          </w:p>
        </w:tc>
      </w:tr>
      <w:tr>
        <w:trPr>
          <w:trHeight w:val="216"/>
        </w:trPr>
        <w:tc>
          <w:tcPr>
            <w:tcW w:w="2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spacing w:after="0"/>
              <w:rPr>
                <w:sz w:val="18"/>
                <w:szCs w:val="18"/>
                <w:color w:val="auto"/>
              </w:rPr>
            </w:pPr>
          </w:p>
        </w:tc>
      </w:tr>
      <w:tr>
        <w:trPr>
          <w:trHeight w:val="230"/>
        </w:trPr>
        <w:tc>
          <w:tcPr>
            <w:tcW w:w="2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2800" w:type="dxa"/>
            <w:vAlign w:val="bottom"/>
          </w:tcPr>
          <w:p>
            <w:pPr>
              <w:spacing w:after="0"/>
              <w:rPr>
                <w:sz w:val="20"/>
                <w:szCs w:val="20"/>
                <w:color w:val="auto"/>
              </w:rPr>
            </w:pPr>
          </w:p>
        </w:tc>
      </w:tr>
      <w:tr>
        <w:trPr>
          <w:trHeight w:val="783"/>
        </w:trPr>
        <w:tc>
          <w:tcPr>
            <w:tcW w:w="2780" w:type="dxa"/>
            <w:vAlign w:val="bottom"/>
          </w:tcPr>
          <w:p>
            <w:pPr>
              <w:spacing w:after="0"/>
              <w:rPr>
                <w:sz w:val="24"/>
                <w:szCs w:val="24"/>
                <w:color w:val="auto"/>
              </w:rPr>
            </w:pPr>
          </w:p>
        </w:tc>
        <w:tc>
          <w:tcPr>
            <w:tcW w:w="5840" w:type="dxa"/>
            <w:vAlign w:val="bottom"/>
            <w:gridSpan w:val="2"/>
          </w:tcPr>
          <w:p>
            <w:pPr>
              <w:jc w:val="right"/>
              <w:ind w:right="3450"/>
              <w:spacing w:after="0"/>
              <w:rPr>
                <w:sz w:val="20"/>
                <w:szCs w:val="20"/>
                <w:color w:val="auto"/>
              </w:rPr>
            </w:pPr>
            <w:r>
              <w:rPr>
                <w:rFonts w:ascii="Arial" w:cs="Arial" w:eastAsia="Arial" w:hAnsi="Arial"/>
                <w:sz w:val="18"/>
                <w:szCs w:val="18"/>
                <w:color w:val="auto"/>
              </w:rPr>
              <w:t>25</w:t>
            </w:r>
          </w:p>
        </w:tc>
        <w:tc>
          <w:tcPr>
            <w:tcW w:w="2800" w:type="dxa"/>
            <w:vAlign w:val="bottom"/>
          </w:tcPr>
          <w:p>
            <w:pPr>
              <w:spacing w:after="0"/>
              <w:rPr>
                <w:sz w:val="24"/>
                <w:szCs w:val="24"/>
                <w:color w:val="auto"/>
              </w:rPr>
            </w:pPr>
          </w:p>
        </w:tc>
      </w:tr>
      <w:tr>
        <w:trPr>
          <w:trHeight w:val="226"/>
        </w:trPr>
        <w:tc>
          <w:tcPr>
            <w:tcW w:w="27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6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80" w:type="dxa"/>
            <w:vAlign w:val="bottom"/>
            <w:gridSpan w:val="2"/>
          </w:tcPr>
          <w:p>
            <w:pPr>
              <w:ind w:left="2320"/>
              <w:spacing w:after="0"/>
              <w:rPr>
                <w:sz w:val="20"/>
                <w:szCs w:val="20"/>
                <w:color w:val="auto"/>
              </w:rPr>
            </w:pPr>
            <w:r>
              <w:rPr>
                <w:rFonts w:ascii="Arial" w:cs="Arial" w:eastAsia="Arial" w:hAnsi="Arial"/>
                <w:sz w:val="18"/>
                <w:szCs w:val="18"/>
                <w:b w:val="1"/>
                <w:bCs w:val="1"/>
                <w:color w:val="auto"/>
              </w:rPr>
              <w:t>EXHIBIT INDEX</w:t>
            </w:r>
          </w:p>
        </w:tc>
        <w:tc>
          <w:tcPr>
            <w:tcW w:w="37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b w:val="1"/>
                <w:bCs w:val="1"/>
                <w:color w:val="auto"/>
              </w:rPr>
              <w:t>Number</w:t>
            </w:r>
          </w:p>
        </w:tc>
        <w:tc>
          <w:tcPr>
            <w:tcW w:w="300" w:type="dxa"/>
            <w:vAlign w:val="bottom"/>
          </w:tcPr>
          <w:p>
            <w:pPr>
              <w:spacing w:after="0"/>
              <w:rPr>
                <w:sz w:val="24"/>
                <w:szCs w:val="24"/>
                <w:color w:val="auto"/>
              </w:rPr>
            </w:pPr>
          </w:p>
        </w:tc>
        <w:tc>
          <w:tcPr>
            <w:tcW w:w="3980" w:type="dxa"/>
            <w:vAlign w:val="bottom"/>
            <w:gridSpan w:val="2"/>
          </w:tcPr>
          <w:p>
            <w:pPr>
              <w:ind w:left="1400"/>
              <w:spacing w:after="0"/>
              <w:rPr>
                <w:sz w:val="20"/>
                <w:szCs w:val="20"/>
                <w:color w:val="auto"/>
              </w:rPr>
            </w:pPr>
            <w:r>
              <w:rPr>
                <w:rFonts w:ascii="Arial" w:cs="Arial" w:eastAsia="Arial" w:hAnsi="Arial"/>
                <w:sz w:val="18"/>
                <w:szCs w:val="18"/>
                <w:b w:val="1"/>
                <w:bCs w:val="1"/>
                <w:color w:val="auto"/>
              </w:rPr>
              <w:t>Description</w:t>
            </w:r>
          </w:p>
        </w:tc>
        <w:tc>
          <w:tcPr>
            <w:tcW w:w="3700" w:type="dxa"/>
            <w:vAlign w:val="bottom"/>
          </w:tcPr>
          <w:p>
            <w:pPr>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340" w:type="dxa"/>
            <w:vAlign w:val="bottom"/>
          </w:tcPr>
          <w:p>
            <w:pPr>
              <w:spacing w:after="0"/>
              <w:rPr>
                <w:sz w:val="16"/>
                <w:szCs w:val="16"/>
                <w:color w:val="auto"/>
              </w:rPr>
            </w:pPr>
          </w:p>
        </w:tc>
        <w:tc>
          <w:tcPr>
            <w:tcW w:w="102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3.1</w:t>
            </w:r>
          </w:p>
        </w:tc>
        <w:tc>
          <w:tcPr>
            <w:tcW w:w="3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Amended and Restated Certificate of</w:t>
            </w:r>
          </w:p>
        </w:tc>
        <w:tc>
          <w:tcPr>
            <w:tcW w:w="300" w:type="dxa"/>
            <w:vAlign w:val="bottom"/>
          </w:tcPr>
          <w:p>
            <w:pPr>
              <w:spacing w:after="0"/>
              <w:rPr>
                <w:sz w:val="16"/>
                <w:szCs w:val="16"/>
                <w:color w:val="auto"/>
              </w:rPr>
            </w:pPr>
          </w:p>
        </w:tc>
        <w:tc>
          <w:tcPr>
            <w:tcW w:w="3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Incorporated by reference to Exhibit 3.1 to</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Incorporation.</w:t>
            </w:r>
          </w:p>
        </w:tc>
        <w:tc>
          <w:tcPr>
            <w:tcW w:w="3700" w:type="dxa"/>
            <w:vAlign w:val="bottom"/>
          </w:tcPr>
          <w:p>
            <w:pPr>
              <w:spacing w:after="0"/>
              <w:rPr>
                <w:sz w:val="20"/>
                <w:szCs w:val="20"/>
                <w:color w:val="auto"/>
              </w:rPr>
            </w:pPr>
            <w:r>
              <w:rPr>
                <w:rFonts w:ascii="Arial" w:cs="Arial" w:eastAsia="Arial" w:hAnsi="Arial"/>
                <w:sz w:val="18"/>
                <w:szCs w:val="18"/>
                <w:color w:val="auto"/>
                <w:w w:val="94"/>
              </w:rPr>
              <w:t>Amendment No. 6 to the Company’s Registration</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November 12, 2008.</w:t>
            </w:r>
          </w:p>
        </w:tc>
      </w:tr>
      <w:tr>
        <w:trPr>
          <w:trHeight w:val="418"/>
        </w:trPr>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Amended and Restated Bylaws.</w:t>
            </w:r>
          </w:p>
        </w:tc>
        <w:tc>
          <w:tcPr>
            <w:tcW w:w="3700" w:type="dxa"/>
            <w:vAlign w:val="bottom"/>
          </w:tcPr>
          <w:p>
            <w:pPr>
              <w:spacing w:after="0"/>
              <w:rPr>
                <w:sz w:val="20"/>
                <w:szCs w:val="20"/>
                <w:color w:val="auto"/>
              </w:rPr>
            </w:pPr>
            <w:r>
              <w:rPr>
                <w:rFonts w:ascii="Arial" w:cs="Arial" w:eastAsia="Arial" w:hAnsi="Arial"/>
                <w:sz w:val="18"/>
                <w:szCs w:val="18"/>
                <w:color w:val="auto"/>
              </w:rPr>
              <w:t>Incorporated by reference to Exhibit 3.2 to</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Amendment No. 6 to the Company’s Registration</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Statement on Form S-1 filed with the SEC 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November 12, 2008.</w:t>
            </w:r>
          </w:p>
        </w:tc>
      </w:tr>
      <w:tr>
        <w:trPr>
          <w:trHeight w:val="418"/>
        </w:trPr>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Specimen of Stock Certificate.</w:t>
            </w:r>
          </w:p>
        </w:tc>
        <w:tc>
          <w:tcPr>
            <w:tcW w:w="3700" w:type="dxa"/>
            <w:vAlign w:val="bottom"/>
          </w:tcPr>
          <w:p>
            <w:pPr>
              <w:spacing w:after="0"/>
              <w:rPr>
                <w:sz w:val="20"/>
                <w:szCs w:val="20"/>
                <w:color w:val="auto"/>
              </w:rPr>
            </w:pPr>
            <w:r>
              <w:rPr>
                <w:rFonts w:ascii="Arial" w:cs="Arial" w:eastAsia="Arial" w:hAnsi="Arial"/>
                <w:sz w:val="18"/>
                <w:szCs w:val="18"/>
                <w:color w:val="auto"/>
              </w:rPr>
              <w:t>Incorporated by reference to Exhibit 4.1 to</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4"/>
              </w:rPr>
              <w:t>Amendment No. 2 to the Company’s Registration</w:t>
            </w:r>
          </w:p>
        </w:tc>
      </w:tr>
    </w:tbl>
    <w:p>
      <w:pPr>
        <w:ind w:left="5960"/>
        <w:spacing w:after="0"/>
        <w:rPr>
          <w:sz w:val="20"/>
          <w:szCs w:val="20"/>
          <w:color w:val="auto"/>
        </w:rPr>
      </w:pPr>
      <w:r>
        <w:rPr>
          <w:rFonts w:ascii="Arial" w:cs="Arial" w:eastAsia="Arial" w:hAnsi="Arial"/>
          <w:sz w:val="18"/>
          <w:szCs w:val="18"/>
          <w:color w:val="auto"/>
        </w:rPr>
        <w:t>Statement on Form S-1 filed with the SEC on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September 29, 2008.</w:t>
      </w:r>
    </w:p>
    <w:p>
      <w:pPr>
        <w:sectPr>
          <w:pgSz w:w="11900" w:h="16838" w:orient="portrait"/>
          <w:cols w:equalWidth="0" w:num="1">
            <w:col w:w="10219"/>
          </w:cols>
          <w:pgMar w:left="240" w:top="405" w:right="1440" w:bottom="1440" w:gutter="0" w:footer="0" w:header="0"/>
        </w:sectPr>
      </w:pPr>
    </w:p>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20" w:type="dxa"/>
            <w:vAlign w:val="bottom"/>
          </w:tcPr>
          <w:p>
            <w:pPr>
              <w:jc w:val="right"/>
              <w:ind w:right="310"/>
              <w:spacing w:after="0"/>
              <w:rPr>
                <w:sz w:val="20"/>
                <w:szCs w:val="20"/>
                <w:color w:val="auto"/>
              </w:rPr>
            </w:pPr>
            <w:r>
              <w:rPr>
                <w:rFonts w:ascii="Arial" w:cs="Arial" w:eastAsia="Arial" w:hAnsi="Arial"/>
                <w:sz w:val="18"/>
                <w:szCs w:val="18"/>
                <w:color w:val="auto"/>
              </w:rPr>
              <w:t>4.2</w:t>
            </w:r>
          </w:p>
        </w:tc>
        <w:tc>
          <w:tcPr>
            <w:tcW w:w="4080" w:type="dxa"/>
            <w:vAlign w:val="bottom"/>
          </w:tcPr>
          <w:p>
            <w:pPr>
              <w:ind w:left="400"/>
              <w:spacing w:after="0"/>
              <w:rPr>
                <w:sz w:val="20"/>
                <w:szCs w:val="20"/>
                <w:color w:val="auto"/>
              </w:rPr>
            </w:pPr>
            <w:r>
              <w:rPr>
                <w:rFonts w:ascii="Arial" w:cs="Arial" w:eastAsia="Arial" w:hAnsi="Arial"/>
                <w:sz w:val="18"/>
                <w:szCs w:val="18"/>
                <w:color w:val="auto"/>
              </w:rPr>
              <w:t>Amended and Restated Investor Rights</w:t>
            </w:r>
          </w:p>
        </w:tc>
      </w:tr>
      <w:tr>
        <w:trPr>
          <w:trHeight w:val="216"/>
        </w:trPr>
        <w:tc>
          <w:tcPr>
            <w:tcW w:w="72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w w:val="97"/>
              </w:rPr>
              <w:t>Agreement, dated September 17, 2008, by and</w:t>
            </w:r>
          </w:p>
        </w:tc>
      </w:tr>
      <w:tr>
        <w:trPr>
          <w:trHeight w:val="216"/>
        </w:trPr>
        <w:tc>
          <w:tcPr>
            <w:tcW w:w="72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w w:val="99"/>
              </w:rPr>
              <w:t>among Grand Canyon Education, Inc. and the</w:t>
            </w:r>
          </w:p>
        </w:tc>
      </w:tr>
      <w:tr>
        <w:trPr>
          <w:trHeight w:val="230"/>
        </w:trPr>
        <w:tc>
          <w:tcPr>
            <w:tcW w:w="720" w:type="dxa"/>
            <w:vAlign w:val="bottom"/>
          </w:tcPr>
          <w:p>
            <w:pPr>
              <w:spacing w:after="0"/>
              <w:rPr>
                <w:sz w:val="20"/>
                <w:szCs w:val="20"/>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rPr>
              <w:t>other parties named therein.</w:t>
            </w:r>
          </w:p>
        </w:tc>
      </w:tr>
      <w:tr>
        <w:trPr>
          <w:trHeight w:val="418"/>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31.1</w:t>
            </w:r>
          </w:p>
        </w:tc>
        <w:tc>
          <w:tcPr>
            <w:tcW w:w="4080" w:type="dxa"/>
            <w:vAlign w:val="bottom"/>
          </w:tcPr>
          <w:p>
            <w:pPr>
              <w:ind w:left="400"/>
              <w:spacing w:after="0"/>
              <w:rPr>
                <w:sz w:val="20"/>
                <w:szCs w:val="20"/>
                <w:color w:val="auto"/>
              </w:rPr>
            </w:pPr>
            <w:r>
              <w:rPr>
                <w:rFonts w:ascii="Arial" w:cs="Arial" w:eastAsia="Arial" w:hAnsi="Arial"/>
                <w:sz w:val="18"/>
                <w:szCs w:val="18"/>
                <w:color w:val="auto"/>
                <w:w w:val="96"/>
              </w:rPr>
              <w:t>Certification of Chief Executive Officer pursuant</w:t>
            </w:r>
          </w:p>
        </w:tc>
      </w:tr>
      <w:tr>
        <w:trPr>
          <w:trHeight w:val="230"/>
        </w:trPr>
        <w:tc>
          <w:tcPr>
            <w:tcW w:w="720" w:type="dxa"/>
            <w:vAlign w:val="bottom"/>
          </w:tcPr>
          <w:p>
            <w:pPr>
              <w:spacing w:after="0"/>
              <w:rPr>
                <w:sz w:val="20"/>
                <w:szCs w:val="20"/>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w w:val="91"/>
              </w:rPr>
              <w:t>to Section 302 of the Sarbanes-Oxley Act of 2002.</w:t>
            </w:r>
          </w:p>
        </w:tc>
      </w:tr>
      <w:tr>
        <w:trPr>
          <w:trHeight w:val="418"/>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31.2</w:t>
            </w:r>
          </w:p>
        </w:tc>
        <w:tc>
          <w:tcPr>
            <w:tcW w:w="4080" w:type="dxa"/>
            <w:vAlign w:val="bottom"/>
          </w:tcPr>
          <w:p>
            <w:pPr>
              <w:ind w:left="400"/>
              <w:spacing w:after="0"/>
              <w:rPr>
                <w:sz w:val="20"/>
                <w:szCs w:val="20"/>
                <w:color w:val="auto"/>
              </w:rPr>
            </w:pPr>
            <w:r>
              <w:rPr>
                <w:rFonts w:ascii="Arial" w:cs="Arial" w:eastAsia="Arial" w:hAnsi="Arial"/>
                <w:sz w:val="18"/>
                <w:szCs w:val="18"/>
                <w:color w:val="auto"/>
                <w:w w:val="93"/>
              </w:rPr>
              <w:t>Certification of Chief Financial Officer pursuant to</w:t>
            </w:r>
          </w:p>
        </w:tc>
      </w:tr>
      <w:tr>
        <w:trPr>
          <w:trHeight w:val="230"/>
        </w:trPr>
        <w:tc>
          <w:tcPr>
            <w:tcW w:w="720" w:type="dxa"/>
            <w:vAlign w:val="bottom"/>
          </w:tcPr>
          <w:p>
            <w:pPr>
              <w:spacing w:after="0"/>
              <w:rPr>
                <w:sz w:val="20"/>
                <w:szCs w:val="20"/>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w w:val="96"/>
              </w:rPr>
              <w:t>Section 302 of the Sarbanes-Oxley Act of 2002.</w:t>
            </w:r>
          </w:p>
        </w:tc>
      </w:tr>
      <w:tr>
        <w:trPr>
          <w:trHeight w:val="418"/>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32.1</w:t>
            </w:r>
          </w:p>
        </w:tc>
        <w:tc>
          <w:tcPr>
            <w:tcW w:w="4080" w:type="dxa"/>
            <w:vAlign w:val="bottom"/>
          </w:tcPr>
          <w:p>
            <w:pPr>
              <w:ind w:left="400"/>
              <w:spacing w:after="0"/>
              <w:rPr>
                <w:sz w:val="20"/>
                <w:szCs w:val="20"/>
                <w:color w:val="auto"/>
              </w:rPr>
            </w:pPr>
            <w:r>
              <w:rPr>
                <w:rFonts w:ascii="Arial" w:cs="Arial" w:eastAsia="Arial" w:hAnsi="Arial"/>
                <w:sz w:val="18"/>
                <w:szCs w:val="18"/>
                <w:color w:val="auto"/>
                <w:w w:val="96"/>
              </w:rPr>
              <w:t>Certification of Chief Executive Officer pursuant</w:t>
            </w:r>
          </w:p>
        </w:tc>
      </w:tr>
      <w:tr>
        <w:trPr>
          <w:trHeight w:val="216"/>
        </w:trPr>
        <w:tc>
          <w:tcPr>
            <w:tcW w:w="720" w:type="dxa"/>
            <w:vAlign w:val="bottom"/>
          </w:tcPr>
          <w:p>
            <w:pPr>
              <w:spacing w:after="0"/>
              <w:rPr>
                <w:sz w:val="18"/>
                <w:szCs w:val="18"/>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w w:val="90"/>
              </w:rPr>
              <w:t>to 18 U.S.C. Section 1350, as adopted pursuant to</w:t>
            </w:r>
          </w:p>
        </w:tc>
      </w:tr>
      <w:tr>
        <w:trPr>
          <w:trHeight w:val="230"/>
        </w:trPr>
        <w:tc>
          <w:tcPr>
            <w:tcW w:w="720" w:type="dxa"/>
            <w:vAlign w:val="bottom"/>
          </w:tcPr>
          <w:p>
            <w:pPr>
              <w:spacing w:after="0"/>
              <w:rPr>
                <w:sz w:val="20"/>
                <w:szCs w:val="20"/>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w w:val="92"/>
              </w:rPr>
              <w:t>Section 906 of the Sarbanes-Oxley Act of 2002. †</w:t>
            </w: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79"/>
        <w:spacing w:after="0" w:line="259" w:lineRule="auto"/>
        <w:rPr>
          <w:sz w:val="20"/>
          <w:szCs w:val="20"/>
          <w:color w:val="auto"/>
        </w:rPr>
      </w:pPr>
      <w:r>
        <w:rPr>
          <w:rFonts w:ascii="Arial" w:cs="Arial" w:eastAsia="Arial" w:hAnsi="Arial"/>
          <w:sz w:val="18"/>
          <w:szCs w:val="18"/>
          <w:color w:val="auto"/>
        </w:rPr>
        <w:t>Incorporated by reference to Exhibit 4.2 to Amendment No. 2 to the Company’s Registration Statement on Form S-1 filed with the SEC on September 29,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5660" w:space="300"/>
            <w:col w:w="4259"/>
          </w:cols>
          <w:pgMar w:left="240" w:top="405" w:right="1440" w:bottom="1440" w:gutter="0" w:footer="0" w:header="0"/>
          <w:type w:val="continuous"/>
        </w:sectPr>
      </w:pPr>
    </w:p>
    <w:p>
      <w:pPr>
        <w:spacing w:after="0" w:line="2" w:lineRule="exact"/>
        <w:rPr>
          <w:sz w:val="20"/>
          <w:szCs w:val="20"/>
          <w:color w:val="auto"/>
        </w:rPr>
      </w:pPr>
    </w:p>
    <w:p>
      <w:pPr>
        <w:ind w:left="860"/>
        <w:spacing w:after="0"/>
        <w:tabs>
          <w:tab w:leader="none" w:pos="1960" w:val="left"/>
          <w:tab w:leader="none" w:pos="59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18 U.S.C. Section 1350, as adopted pursuant to</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Section 906 of the Sarbanes-Oxley Act of 2002. †</w:t>
      </w:r>
    </w:p>
    <w:p>
      <w:pPr>
        <w:spacing w:after="0" w:line="116" w:lineRule="exact"/>
        <w:rPr>
          <w:sz w:val="20"/>
          <w:szCs w:val="20"/>
          <w:color w:val="auto"/>
        </w:rPr>
      </w:pPr>
    </w:p>
    <w:p>
      <w:pPr>
        <w:ind w:left="680" w:right="839" w:hanging="348"/>
        <w:spacing w:after="0" w:line="312"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405" w:right="1440" w:bottom="1440" w:gutter="0" w:footer="0" w:header="0"/>
          <w:type w:val="continuous"/>
        </w:sectPr>
      </w:pPr>
    </w:p>
    <w:bookmarkStart w:id="27" w:name="page28"/>
    <w:bookmarkEnd w:id="27"/>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 I have reviewed this Quarterly Report on Form 10-Q for the quarter ending March 31, 2009 of Grand Canyon Education,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70" w:lineRule="exact"/>
        <w:rPr>
          <w:sz w:val="20"/>
          <w:szCs w:val="20"/>
          <w:color w:val="auto"/>
        </w:rPr>
      </w:pPr>
    </w:p>
    <w:p>
      <w:pPr>
        <w:ind w:right="799" w:firstLine="365"/>
        <w:spacing w:after="0" w:line="264" w:lineRule="auto"/>
        <w:tabs>
          <w:tab w:leader="none" w:pos="553"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579" w:firstLine="365"/>
        <w:spacing w:after="0" w:line="264" w:lineRule="auto"/>
        <w:tabs>
          <w:tab w:leader="none" w:pos="553"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719" w:firstLine="365"/>
        <w:spacing w:after="0" w:line="277" w:lineRule="auto"/>
        <w:tabs>
          <w:tab w:leader="none" w:pos="55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right="579" w:firstLine="739"/>
        <w:spacing w:after="0" w:line="312" w:lineRule="auto"/>
        <w:tabs>
          <w:tab w:leader="none" w:pos="931"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759" w:firstLine="739"/>
        <w:spacing w:after="0" w:line="264" w:lineRule="auto"/>
        <w:tabs>
          <w:tab w:leader="none" w:pos="941"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659" w:firstLine="739"/>
        <w:spacing w:after="0" w:line="312" w:lineRule="auto"/>
        <w:tabs>
          <w:tab w:leader="none" w:pos="931"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right="799" w:firstLine="365"/>
        <w:spacing w:after="0" w:line="264" w:lineRule="auto"/>
        <w:tabs>
          <w:tab w:leader="none" w:pos="55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8"/>
          <w:szCs w:val="18"/>
          <w:color w:val="auto"/>
        </w:rPr>
      </w:pPr>
    </w:p>
    <w:p>
      <w:pPr>
        <w:ind w:right="559" w:firstLine="739"/>
        <w:spacing w:after="0" w:line="264" w:lineRule="auto"/>
        <w:tabs>
          <w:tab w:leader="none" w:pos="931"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79" w:firstLine="739"/>
        <w:spacing w:after="0" w:line="277" w:lineRule="auto"/>
        <w:tabs>
          <w:tab w:leader="none" w:pos="941"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April 27,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79"/>
          </w:cols>
          <w:pgMar w:left="580" w:top="121" w:right="1440" w:bottom="1440" w:gutter="0" w:footer="0" w:header="0"/>
        </w:sectPr>
      </w:pPr>
    </w:p>
    <w:bookmarkStart w:id="28" w:name="page29"/>
    <w:bookmarkEnd w:id="28"/>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 I have reviewed this Quarterly Report on Form 10-Q for the quarter ending March 31, 2009 of Grand Canyon Education,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70" w:lineRule="exact"/>
        <w:rPr>
          <w:sz w:val="20"/>
          <w:szCs w:val="20"/>
          <w:color w:val="auto"/>
        </w:rPr>
      </w:pPr>
    </w:p>
    <w:p>
      <w:pPr>
        <w:ind w:right="799" w:firstLine="365"/>
        <w:spacing w:after="0" w:line="264" w:lineRule="auto"/>
        <w:tabs>
          <w:tab w:leader="none" w:pos="5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579" w:firstLine="365"/>
        <w:spacing w:after="0" w:line="264" w:lineRule="auto"/>
        <w:tabs>
          <w:tab w:leader="none" w:pos="5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719" w:firstLine="365"/>
        <w:spacing w:after="0" w:line="277" w:lineRule="auto"/>
        <w:tabs>
          <w:tab w:leader="none" w:pos="5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right="579" w:firstLine="739"/>
        <w:spacing w:after="0" w:line="312" w:lineRule="auto"/>
        <w:tabs>
          <w:tab w:leader="none" w:pos="931"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759" w:firstLine="739"/>
        <w:spacing w:after="0" w:line="264" w:lineRule="auto"/>
        <w:tabs>
          <w:tab w:leader="none" w:pos="941"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659" w:firstLine="739"/>
        <w:spacing w:after="0" w:line="312" w:lineRule="auto"/>
        <w:tabs>
          <w:tab w:leader="none" w:pos="931"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right="799" w:firstLine="365"/>
        <w:spacing w:after="0" w:line="264" w:lineRule="auto"/>
        <w:tabs>
          <w:tab w:leader="none" w:pos="5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8"/>
          <w:szCs w:val="18"/>
          <w:color w:val="auto"/>
        </w:rPr>
      </w:pPr>
    </w:p>
    <w:p>
      <w:pPr>
        <w:ind w:right="559" w:firstLine="739"/>
        <w:spacing w:after="0" w:line="264" w:lineRule="auto"/>
        <w:tabs>
          <w:tab w:leader="none" w:pos="93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79" w:firstLine="739"/>
        <w:spacing w:after="0" w:line="277" w:lineRule="auto"/>
        <w:tabs>
          <w:tab w:leader="none" w:pos="94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April 27, 2009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36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6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9879"/>
          </w:cols>
          <w:pgMar w:left="580" w:top="121" w:right="1440" w:bottom="1440" w:gutter="0" w:footer="0" w:header="0"/>
        </w:sectPr>
      </w:pPr>
    </w:p>
    <w:bookmarkStart w:id="29" w:name="page30"/>
    <w:bookmarkEnd w:id="29"/>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18 U.S.C. SECTION 1350</w:t>
      </w:r>
    </w:p>
    <w:p>
      <w:pPr>
        <w:spacing w:after="0" w:line="184" w:lineRule="exact"/>
        <w:rPr>
          <w:sz w:val="20"/>
          <w:szCs w:val="20"/>
          <w:color w:val="auto"/>
        </w:rPr>
      </w:pPr>
    </w:p>
    <w:p>
      <w:pPr>
        <w:ind w:left="8" w:right="759" w:firstLine="373"/>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March 31, 2009 as filed with the Securities and Exchange Commission on the date hereof (the “Report”), I, Brian E. Mueller, Chief Executive Officer, of the Company, certify, pursuant to § 906 of the Sarbanes-Oxley Act of 2002,18 U.S.C. § 1350, that to my knowledge:</w:t>
      </w:r>
    </w:p>
    <w:p>
      <w:pPr>
        <w:spacing w:after="0" w:line="146" w:lineRule="exact"/>
        <w:rPr>
          <w:sz w:val="20"/>
          <w:szCs w:val="20"/>
          <w:color w:val="auto"/>
        </w:rPr>
      </w:pPr>
    </w:p>
    <w:p>
      <w:pPr>
        <w:ind w:left="348" w:right="659" w:hanging="348"/>
        <w:spacing w:after="0" w:line="277" w:lineRule="auto"/>
        <w:tabs>
          <w:tab w:leader="none" w:pos="3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78m); and</w:t>
      </w:r>
    </w:p>
    <w:p>
      <w:pPr>
        <w:spacing w:after="0" w:line="102" w:lineRule="exact"/>
        <w:rPr>
          <w:rFonts w:ascii="Arial" w:cs="Arial" w:eastAsia="Arial" w:hAnsi="Arial"/>
          <w:sz w:val="18"/>
          <w:szCs w:val="18"/>
          <w:color w:val="auto"/>
        </w:rPr>
      </w:pPr>
    </w:p>
    <w:p>
      <w:pPr>
        <w:ind w:left="348" w:right="1119" w:hanging="348"/>
        <w:spacing w:after="0" w:line="277" w:lineRule="auto"/>
        <w:tabs>
          <w:tab w:leader="none" w:pos="3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April 27, 2009</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667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9887"/>
          </w:cols>
          <w:pgMar w:left="572" w:top="121" w:right="1440" w:bottom="1440" w:gutter="0" w:footer="0" w:header="0"/>
        </w:sectPr>
      </w:pPr>
    </w:p>
    <w:bookmarkStart w:id="30" w:name="page31"/>
    <w:bookmarkEnd w:id="30"/>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18 U.S.C. SECTION 1350</w:t>
      </w:r>
    </w:p>
    <w:p>
      <w:pPr>
        <w:spacing w:after="0" w:line="184" w:lineRule="exact"/>
        <w:rPr>
          <w:sz w:val="20"/>
          <w:szCs w:val="20"/>
          <w:color w:val="auto"/>
        </w:rPr>
      </w:pPr>
    </w:p>
    <w:p>
      <w:pPr>
        <w:ind w:left="8" w:right="559" w:firstLine="373"/>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March 31, 2009 as filed with the Securities and Exchange Commission on the date hereof (the “Report”), I, Daniel E. Bachus, Chief Financial Officer, of the Company, certify, pursuant to § 906 of the Sarbanes-Oxley Act of 2002,18 U.S.C. § 1350, that to my knowledge:</w:t>
      </w:r>
    </w:p>
    <w:p>
      <w:pPr>
        <w:spacing w:after="0" w:line="146" w:lineRule="exact"/>
        <w:rPr>
          <w:sz w:val="20"/>
          <w:szCs w:val="20"/>
          <w:color w:val="auto"/>
        </w:rPr>
      </w:pPr>
    </w:p>
    <w:p>
      <w:pPr>
        <w:ind w:left="348" w:right="659" w:hanging="348"/>
        <w:spacing w:after="0" w:line="277" w:lineRule="auto"/>
        <w:tabs>
          <w:tab w:leader="none" w:pos="3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78m); and</w:t>
      </w:r>
    </w:p>
    <w:p>
      <w:pPr>
        <w:spacing w:after="0" w:line="102" w:lineRule="exact"/>
        <w:rPr>
          <w:rFonts w:ascii="Arial" w:cs="Arial" w:eastAsia="Arial" w:hAnsi="Arial"/>
          <w:sz w:val="18"/>
          <w:szCs w:val="18"/>
          <w:color w:val="auto"/>
        </w:rPr>
      </w:pPr>
    </w:p>
    <w:p>
      <w:pPr>
        <w:ind w:left="348" w:right="1119" w:hanging="348"/>
        <w:spacing w:after="0" w:line="277" w:lineRule="auto"/>
        <w:tabs>
          <w:tab w:leader="none" w:pos="3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April 27, 2009</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667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2"/>
    </w:lvl>
    <w:lvl w:ilvl="1">
      <w:lvlJc w:val="left"/>
      <w:lvlText w:val="%2)"/>
      <w:numFmt w:val="lowerLetter"/>
      <w:start w:val="1"/>
    </w:lvl>
  </w:abstractNum>
  <w:abstractNum w:abstractNumId="9">
    <w:nsid w:val="1F16E9E8"/>
    <w:multiLevelType w:val="hybridMultilevel"/>
    <w:lvl w:ilvl="0">
      <w:lvlJc w:val="left"/>
      <w:lvlText w:val="%1."/>
      <w:numFmt w:val="decimal"/>
      <w:start w:val="2"/>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2019-12-11T04:12:48Z</dcterms:created>
  <dcterms:modified xsi:type="dcterms:W3CDTF">2019-12-11T04:12:48Z</dcterms:modified>
</cp:coreProperties>
</file>