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28"/>
        <w:spacing w:after="0"/>
        <w:rPr>
          <w:sz w:val="20"/>
          <w:szCs w:val="20"/>
          <w:color w:val="auto"/>
        </w:rPr>
      </w:pPr>
      <w:r>
        <w:rPr>
          <w:rFonts w:ascii="Arial" w:cs="Arial" w:eastAsia="Arial" w:hAnsi="Arial"/>
          <w:sz w:val="18"/>
          <w:szCs w:val="18"/>
          <w:b w:val="1"/>
          <w:bCs w:val="1"/>
          <w:color w:val="auto"/>
        </w:rPr>
        <w:t>As filed with the Securities and Exchange Commission on February 22, 2010</w:t>
      </w:r>
    </w:p>
    <w:p>
      <w:pPr>
        <w:spacing w:after="0" w:line="27" w:lineRule="exact"/>
        <w:rPr>
          <w:sz w:val="24"/>
          <w:szCs w:val="24"/>
          <w:color w:val="auto"/>
        </w:rPr>
      </w:pPr>
    </w:p>
    <w:p>
      <w:pPr>
        <w:jc w:val="right"/>
        <w:ind w:right="559"/>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551"/>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ind w:left="3608"/>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2195195</wp:posOffset>
            </wp:positionH>
            <wp:positionV relativeFrom="paragraph">
              <wp:posOffset>116205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4" w:lineRule="exact"/>
        <w:rPr>
          <w:sz w:val="24"/>
          <w:szCs w:val="24"/>
          <w:color w:val="auto"/>
        </w:rPr>
      </w:pPr>
    </w:p>
    <w:p>
      <w:pPr>
        <w:jc w:val="center"/>
        <w:ind w:right="551"/>
        <w:spacing w:after="0"/>
        <w:rPr>
          <w:sz w:val="20"/>
          <w:szCs w:val="20"/>
          <w:color w:val="auto"/>
        </w:rPr>
      </w:pPr>
      <w:r>
        <w:rPr>
          <w:rFonts w:ascii="Arial" w:cs="Arial" w:eastAsia="Arial" w:hAnsi="Arial"/>
          <w:sz w:val="32"/>
          <w:szCs w:val="32"/>
          <w:b w:val="1"/>
          <w:bCs w:val="1"/>
          <w:color w:val="auto"/>
        </w:rPr>
        <w:t>FORM S-8</w:t>
      </w:r>
    </w:p>
    <w:p>
      <w:pPr>
        <w:spacing w:after="0" w:line="186"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UNDER</w:t>
      </w:r>
    </w:p>
    <w:p>
      <w:pPr>
        <w:jc w:val="center"/>
        <w:ind w:right="551"/>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2195195</wp:posOffset>
            </wp:positionH>
            <wp:positionV relativeFrom="paragraph">
              <wp:posOffset>116205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2" w:lineRule="exact"/>
        <w:rPr>
          <w:sz w:val="24"/>
          <w:szCs w:val="24"/>
          <w:color w:val="auto"/>
        </w:rPr>
      </w:pPr>
    </w:p>
    <w:p>
      <w:pPr>
        <w:jc w:val="center"/>
        <w:ind w:right="551"/>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ind w:left="2808"/>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2195195</wp:posOffset>
            </wp:positionH>
            <wp:positionV relativeFrom="paragraph">
              <wp:posOffset>125095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9887"/>
          </w:cols>
          <w:pgMar w:left="572" w:top="297" w:right="1440" w:bottom="0" w:gutter="0" w:footer="0" w:header="0"/>
        </w:sectPr>
      </w:pPr>
    </w:p>
    <w:p>
      <w:pPr>
        <w:spacing w:after="0" w:line="200" w:lineRule="exact"/>
        <w:rPr>
          <w:sz w:val="24"/>
          <w:szCs w:val="24"/>
          <w:color w:val="auto"/>
        </w:rPr>
      </w:pPr>
    </w:p>
    <w:p>
      <w:pPr>
        <w:spacing w:after="0" w:line="208" w:lineRule="exact"/>
        <w:rPr>
          <w:sz w:val="24"/>
          <w:szCs w:val="24"/>
          <w:color w:val="auto"/>
        </w:rPr>
      </w:pPr>
    </w:p>
    <w:p>
      <w:pPr>
        <w:jc w:val="center"/>
        <w:ind w:right="512"/>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512"/>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2195195</wp:posOffset>
            </wp:positionH>
            <wp:positionV relativeFrom="paragraph">
              <wp:posOffset>140335</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1519"/>
        <w:spacing w:after="0"/>
        <w:rPr>
          <w:sz w:val="20"/>
          <w:szCs w:val="20"/>
          <w:color w:val="auto"/>
        </w:rPr>
      </w:pPr>
      <w:r>
        <w:rPr>
          <w:rFonts w:ascii="Arial" w:cs="Arial" w:eastAsia="Arial" w:hAnsi="Arial"/>
          <w:sz w:val="18"/>
          <w:szCs w:val="18"/>
          <w:b w:val="1"/>
          <w:bCs w:val="1"/>
          <w:color w:val="auto"/>
        </w:rPr>
        <w:t>20-3356009</w:t>
      </w:r>
    </w:p>
    <w:p>
      <w:pPr>
        <w:spacing w:after="0" w:line="27" w:lineRule="exact"/>
        <w:rPr>
          <w:sz w:val="24"/>
          <w:szCs w:val="24"/>
          <w:color w:val="auto"/>
        </w:rPr>
      </w:pPr>
    </w:p>
    <w:p>
      <w:pPr>
        <w:jc w:val="center"/>
        <w:ind w:right="1519"/>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5028" w:space="720"/>
            <w:col w:w="4139"/>
          </w:cols>
          <w:pgMar w:left="572" w:top="297" w:right="1440" w:bottom="0" w:gutter="0" w:footer="0" w:header="0"/>
          <w:type w:val="continuous"/>
        </w:sectPr>
      </w:pPr>
    </w:p>
    <w:p>
      <w:pPr>
        <w:spacing w:after="0" w:line="221"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3300 W. Camelback Road</w:t>
      </w:r>
    </w:p>
    <w:p>
      <w:pPr>
        <w:spacing w:after="0" w:line="27"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2195195</wp:posOffset>
            </wp:positionH>
            <wp:positionV relativeFrom="paragraph">
              <wp:posOffset>134620</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GRAND CANYON EDUCATION, INC. 2008 EQUITY INCENTIVE PLAN</w:t>
      </w:r>
    </w:p>
    <w:p>
      <w:pPr>
        <w:spacing w:after="0" w:line="27"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2195195</wp:posOffset>
            </wp:positionH>
            <wp:positionV relativeFrom="paragraph">
              <wp:posOffset>125730</wp:posOffset>
            </wp:positionV>
            <wp:extent cx="1534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49"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Christopher C. Richardson</w:t>
      </w:r>
    </w:p>
    <w:p>
      <w:pPr>
        <w:spacing w:after="0" w:line="27"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Grand Canyon Education, Inc.</w:t>
      </w:r>
    </w:p>
    <w:p>
      <w:pPr>
        <w:spacing w:after="0" w:line="9"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3300 W. Camelback Road</w:t>
      </w:r>
    </w:p>
    <w:p>
      <w:pPr>
        <w:spacing w:after="0" w:line="9"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(602) 639-7500</w:t>
      </w:r>
    </w:p>
    <w:p>
      <w:pPr>
        <w:spacing w:after="0" w:line="9"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(Name, address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2195195</wp:posOffset>
            </wp:positionH>
            <wp:positionV relativeFrom="paragraph">
              <wp:posOffset>134620</wp:posOffset>
            </wp:positionV>
            <wp:extent cx="15347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With a copy to:</w:t>
      </w:r>
    </w:p>
    <w:p>
      <w:pPr>
        <w:spacing w:after="0" w:line="27"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David P. Lewis</w:t>
      </w:r>
    </w:p>
    <w:p>
      <w:pPr>
        <w:spacing w:after="0" w:line="9"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DLA Piper LLP (US)</w:t>
      </w:r>
    </w:p>
    <w:p>
      <w:pPr>
        <w:spacing w:after="0" w:line="9"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2525 East Camelback Road, Suite 1000</w:t>
      </w:r>
    </w:p>
    <w:p>
      <w:pPr>
        <w:spacing w:after="0" w:line="9"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Phoenix, Arizona 85016</w:t>
      </w:r>
    </w:p>
    <w:p>
      <w:pPr>
        <w:spacing w:after="0" w:line="9"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(480) 606-5100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2195195</wp:posOffset>
            </wp:positionH>
            <wp:positionV relativeFrom="paragraph">
              <wp:posOffset>262890</wp:posOffset>
            </wp:positionV>
            <wp:extent cx="15347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left="8" w:right="719" w:firstLine="373"/>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8" w:type="dxa"/>
        <w:tblCellMar>
          <w:top w:w="0" w:type="dxa"/>
          <w:left w:w="0" w:type="dxa"/>
          <w:bottom w:w="0" w:type="dxa"/>
          <w:right w:w="0" w:type="dxa"/>
        </w:tblCellMar>
      </w:tblPr>
      <w:tr>
        <w:trPr>
          <w:trHeight w:val="207"/>
        </w:trPr>
        <w:tc>
          <w:tcPr>
            <w:tcW w:w="1920" w:type="dxa"/>
            <w:vAlign w:val="bottom"/>
          </w:tcPr>
          <w:p>
            <w:pPr>
              <w:spacing w:after="0"/>
              <w:rPr>
                <w:sz w:val="20"/>
                <w:szCs w:val="20"/>
                <w:color w:val="auto"/>
              </w:rPr>
            </w:pPr>
            <w:r>
              <w:rPr>
                <w:rFonts w:ascii="Arial" w:cs="Arial" w:eastAsia="Arial" w:hAnsi="Arial"/>
                <w:sz w:val="18"/>
                <w:szCs w:val="18"/>
                <w:color w:val="auto"/>
                <w:w w:val="98"/>
              </w:rPr>
              <w:t>Large accelerated filer o</w:t>
            </w:r>
          </w:p>
        </w:tc>
        <w:tc>
          <w:tcPr>
            <w:tcW w:w="18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80" w:type="dxa"/>
            <w:vAlign w:val="bottom"/>
          </w:tcPr>
          <w:p>
            <w:pPr>
              <w:spacing w:after="0"/>
              <w:rPr>
                <w:sz w:val="18"/>
                <w:szCs w:val="18"/>
                <w:color w:val="auto"/>
              </w:rPr>
            </w:pPr>
          </w:p>
        </w:tc>
        <w:tc>
          <w:tcPr>
            <w:tcW w:w="290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Non-accelerated filer o</w:t>
            </w:r>
          </w:p>
        </w:tc>
        <w:tc>
          <w:tcPr>
            <w:tcW w:w="3060" w:type="dxa"/>
            <w:vAlign w:val="bottom"/>
            <w:gridSpan w:val="2"/>
          </w:tcPr>
          <w:p>
            <w:pPr>
              <w:ind w:left="460"/>
              <w:spacing w:after="0"/>
              <w:rPr>
                <w:sz w:val="20"/>
                <w:szCs w:val="20"/>
                <w:color w:val="auto"/>
              </w:rPr>
            </w:pPr>
            <w:r>
              <w:rPr>
                <w:rFonts w:ascii="Arial" w:cs="Arial" w:eastAsia="Arial" w:hAnsi="Arial"/>
                <w:sz w:val="18"/>
                <w:szCs w:val="18"/>
                <w:color w:val="auto"/>
              </w:rPr>
              <w:t>Smaller reporting company o</w:t>
            </w:r>
          </w:p>
        </w:tc>
      </w:tr>
      <w:tr>
        <w:trPr>
          <w:trHeight w:val="230"/>
        </w:trPr>
        <w:tc>
          <w:tcPr>
            <w:tcW w:w="19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60" w:type="dxa"/>
            <w:vAlign w:val="bottom"/>
            <w:gridSpan w:val="4"/>
          </w:tcPr>
          <w:p>
            <w:pPr>
              <w:jc w:val="center"/>
              <w:ind w:right="1270"/>
              <w:spacing w:after="0"/>
              <w:rPr>
                <w:sz w:val="20"/>
                <w:szCs w:val="20"/>
                <w:color w:val="auto"/>
              </w:rPr>
            </w:pPr>
            <w:r>
              <w:rPr>
                <w:rFonts w:ascii="Arial" w:cs="Arial" w:eastAsia="Arial" w:hAnsi="Arial"/>
                <w:sz w:val="18"/>
                <w:szCs w:val="18"/>
                <w:color w:val="auto"/>
                <w:w w:val="91"/>
              </w:rPr>
              <w:t>(do not check if a smaller reporting company)</w:t>
            </w:r>
          </w:p>
        </w:tc>
        <w:tc>
          <w:tcPr>
            <w:tcW w:w="1380" w:type="dxa"/>
            <w:vAlign w:val="bottom"/>
          </w:tcPr>
          <w:p>
            <w:pPr>
              <w:spacing w:after="0"/>
              <w:rPr>
                <w:sz w:val="20"/>
                <w:szCs w:val="20"/>
                <w:color w:val="auto"/>
              </w:rPr>
            </w:pPr>
          </w:p>
        </w:tc>
      </w:tr>
      <w:tr>
        <w:trPr>
          <w:trHeight w:val="405"/>
        </w:trPr>
        <w:tc>
          <w:tcPr>
            <w:tcW w:w="1920" w:type="dxa"/>
            <w:vAlign w:val="bottom"/>
          </w:tcPr>
          <w:p>
            <w:pPr>
              <w:spacing w:after="0"/>
              <w:rPr>
                <w:sz w:val="24"/>
                <w:szCs w:val="24"/>
                <w:color w:val="auto"/>
              </w:rPr>
            </w:pPr>
          </w:p>
        </w:tc>
        <w:tc>
          <w:tcPr>
            <w:tcW w:w="4840" w:type="dxa"/>
            <w:vAlign w:val="bottom"/>
            <w:gridSpan w:val="4"/>
          </w:tcPr>
          <w:p>
            <w:pPr>
              <w:ind w:left="1020"/>
              <w:spacing w:after="0"/>
              <w:rPr>
                <w:sz w:val="20"/>
                <w:szCs w:val="20"/>
                <w:color w:val="auto"/>
              </w:rPr>
            </w:pPr>
            <w:r>
              <w:rPr>
                <w:rFonts w:ascii="Arial" w:cs="Arial" w:eastAsia="Arial" w:hAnsi="Arial"/>
                <w:sz w:val="18"/>
                <w:szCs w:val="18"/>
                <w:b w:val="1"/>
                <w:bCs w:val="1"/>
                <w:color w:val="auto"/>
              </w:rPr>
              <w:t>CALCULATION OF REGISTRATION FEE</w:t>
            </w: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0"/>
        </w:trPr>
        <w:tc>
          <w:tcPr>
            <w:tcW w:w="19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8"/>
        </w:trPr>
        <w:tc>
          <w:tcPr>
            <w:tcW w:w="19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w w:val="91"/>
              </w:rPr>
              <w:t>Proposed Maximum</w:t>
            </w:r>
          </w:p>
        </w:tc>
        <w:tc>
          <w:tcPr>
            <w:tcW w:w="168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w w:val="91"/>
              </w:rPr>
              <w:t>Proposed Maximum</w:t>
            </w:r>
          </w:p>
        </w:tc>
        <w:tc>
          <w:tcPr>
            <w:tcW w:w="1380" w:type="dxa"/>
            <w:vAlign w:val="bottom"/>
          </w:tcPr>
          <w:p>
            <w:pPr>
              <w:spacing w:after="0"/>
              <w:rPr>
                <w:sz w:val="15"/>
                <w:szCs w:val="15"/>
                <w:color w:val="auto"/>
              </w:rPr>
            </w:pPr>
          </w:p>
        </w:tc>
      </w:tr>
      <w:tr>
        <w:trPr>
          <w:trHeight w:val="216"/>
        </w:trPr>
        <w:tc>
          <w:tcPr>
            <w:tcW w:w="19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Amount to Be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 Per</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Aggregate Offering</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3"/>
              </w:rPr>
              <w:t>Amount of</w:t>
            </w:r>
          </w:p>
        </w:tc>
      </w:tr>
      <w:tr>
        <w:trPr>
          <w:trHeight w:val="234"/>
        </w:trPr>
        <w:tc>
          <w:tcPr>
            <w:tcW w:w="37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8"/>
              </w:rPr>
              <w:t>Title of Each Class of Securities to Be Registered</w:t>
            </w:r>
          </w:p>
        </w:tc>
        <w:tc>
          <w:tcPr>
            <w:tcW w:w="8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Registration Fee</w:t>
            </w:r>
          </w:p>
        </w:tc>
      </w:tr>
      <w:tr>
        <w:trPr>
          <w:trHeight w:val="210"/>
        </w:trPr>
        <w:tc>
          <w:tcPr>
            <w:tcW w:w="37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Common Stock, par value $0.01 per share</w:t>
            </w:r>
          </w:p>
        </w:tc>
        <w:tc>
          <w:tcPr>
            <w:tcW w:w="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2,278,078</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$20.90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$47,611,823</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$3,395</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5" w:lineRule="exact"/>
        <w:rPr>
          <w:sz w:val="24"/>
          <w:szCs w:val="24"/>
          <w:color w:val="auto"/>
        </w:rPr>
      </w:pPr>
    </w:p>
    <w:p>
      <w:pPr>
        <w:ind w:left="348" w:right="719" w:hanging="348"/>
        <w:spacing w:after="0" w:line="259" w:lineRule="auto"/>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shares of Common Stock set forth in the Calculation of Registration Fee table and which may be offered pursuant to this Registration Statement include, pursuant to Rule 416 under the Securities Act of 1933, as amended (the “Securities Act”), such additional number of shares of the registrant’s common stock as may be issuable as a result of any stock splits, stock dividends or similar events.</w:t>
      </w:r>
    </w:p>
    <w:p>
      <w:pPr>
        <w:spacing w:after="0" w:line="24" w:lineRule="exact"/>
        <w:rPr>
          <w:rFonts w:ascii="Arial" w:cs="Arial" w:eastAsia="Arial" w:hAnsi="Arial"/>
          <w:sz w:val="18"/>
          <w:szCs w:val="18"/>
          <w:color w:val="auto"/>
        </w:rPr>
      </w:pPr>
    </w:p>
    <w:p>
      <w:pPr>
        <w:ind w:left="348" w:right="599" w:hanging="348"/>
        <w:spacing w:after="0" w:line="312" w:lineRule="auto"/>
        <w:tabs>
          <w:tab w:leader="none" w:pos="348"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purposes of calculating the registration fee pursuant to Securities Act Rules 457(c) and 457(h). The proposed maximum offering price per share, proposed maximum aggregate offering price and the amount of the registration fee are based on the average of the high and low prices of the Registrant’s shares of Common Stock on February 17, 2010.</w:t>
      </w:r>
    </w:p>
    <w:p>
      <w:pPr>
        <w:spacing w:after="0" w:line="106" w:lineRule="exact"/>
        <w:rPr>
          <w:sz w:val="24"/>
          <w:szCs w:val="24"/>
          <w:color w:val="auto"/>
        </w:rPr>
      </w:pPr>
    </w:p>
    <w:p>
      <w:pPr>
        <w:ind w:left="8" w:right="579"/>
        <w:spacing w:after="0" w:line="277" w:lineRule="auto"/>
        <w:rPr>
          <w:sz w:val="20"/>
          <w:szCs w:val="20"/>
          <w:color w:val="auto"/>
        </w:rPr>
      </w:pPr>
      <w:r>
        <w:rPr>
          <w:rFonts w:ascii="Arial" w:cs="Arial" w:eastAsia="Arial" w:hAnsi="Arial"/>
          <w:sz w:val="18"/>
          <w:szCs w:val="18"/>
          <w:color w:val="auto"/>
        </w:rPr>
        <w:t>This registration statement shall hereafter become effective in accordance with Rule 462 promulgated under the Securities Act of 1933, as amended.</w:t>
      </w:r>
    </w:p>
    <w:p>
      <w:pPr>
        <w:sectPr>
          <w:pgSz w:w="11900" w:h="16838" w:orient="portrait"/>
          <w:cols w:equalWidth="0" w:num="1">
            <w:col w:w="9887"/>
          </w:cols>
          <w:pgMar w:left="572" w:top="297" w:right="1440" w:bottom="0" w:gutter="0" w:footer="0" w:header="0"/>
          <w:type w:val="continuous"/>
        </w:sectPr>
      </w:pPr>
    </w:p>
    <w:bookmarkStart w:id="1" w:name="page2"/>
    <w:bookmarkEnd w:id="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363220</wp:posOffset>
            </wp:positionH>
            <wp:positionV relativeFrom="page">
              <wp:posOffset>97790</wp:posOffset>
            </wp:positionV>
            <wp:extent cx="5925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114935</wp:posOffset>
            </wp:positionV>
            <wp:extent cx="59258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781685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84" w:lineRule="exact"/>
        <w:rPr>
          <w:sz w:val="20"/>
          <w:szCs w:val="20"/>
          <w:color w:val="auto"/>
        </w:rPr>
      </w:pPr>
    </w:p>
    <w:p>
      <w:pPr>
        <w:ind w:right="719" w:firstLine="373"/>
        <w:spacing w:after="0" w:line="276" w:lineRule="auto"/>
        <w:rPr>
          <w:sz w:val="20"/>
          <w:szCs w:val="20"/>
          <w:color w:val="auto"/>
        </w:rPr>
      </w:pPr>
      <w:r>
        <w:rPr>
          <w:rFonts w:ascii="Arial" w:cs="Arial" w:eastAsia="Arial" w:hAnsi="Arial"/>
          <w:sz w:val="17"/>
          <w:szCs w:val="17"/>
          <w:color w:val="auto"/>
        </w:rPr>
        <w:t>The documents containing the information specified in Part I, Items 1 and 2, have been or will be delivered to participants in accordance with Form S-8 and Rule 428 under the Securities Act of 1933, as amended (the “Securities Act”). In accordance with the rules and regulations of the Securities and Exchange Commission (the “SEC”) and the instructions to Form S-8, such documents are not being filed with the SEC either as part of this Registration Statement or as prospectuses or prospectus supplements pursuant to Rule 424 under the Securities Act.</w:t>
      </w:r>
    </w:p>
    <w:p>
      <w:pPr>
        <w:spacing w:after="0" w:line="12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02" w:lineRule="exact"/>
        <w:rPr>
          <w:sz w:val="20"/>
          <w:szCs w:val="20"/>
          <w:color w:val="auto"/>
        </w:rPr>
      </w:pPr>
    </w:p>
    <w:p>
      <w:pPr>
        <w:ind w:right="859" w:firstLine="373"/>
        <w:spacing w:after="0" w:line="264" w:lineRule="auto"/>
        <w:rPr>
          <w:sz w:val="20"/>
          <w:szCs w:val="20"/>
          <w:color w:val="auto"/>
        </w:rPr>
      </w:pPr>
      <w:r>
        <w:rPr>
          <w:rFonts w:ascii="Arial" w:cs="Arial" w:eastAsia="Arial" w:hAnsi="Arial"/>
          <w:sz w:val="18"/>
          <w:szCs w:val="18"/>
          <w:color w:val="auto"/>
        </w:rPr>
        <w:t>Grand Canyon Education, Inc. (the “Registrant”) hereby incorporates by reference into this Registration Statement the following documents that have been filed by the Registrant with the SEC pursuant to the Securities Exchange Act of 1934, as amended (the “Exchange Act”):</w:t>
      </w:r>
    </w:p>
    <w:p>
      <w:pPr>
        <w:spacing w:after="0" w:line="141" w:lineRule="exact"/>
        <w:rPr>
          <w:sz w:val="20"/>
          <w:szCs w:val="20"/>
          <w:color w:val="auto"/>
        </w:rPr>
      </w:pPr>
    </w:p>
    <w:p>
      <w:pPr>
        <w:ind w:right="699" w:firstLine="365"/>
        <w:spacing w:after="0" w:line="286" w:lineRule="auto"/>
        <w:tabs>
          <w:tab w:leader="none" w:pos="615"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Annual Report on Form 10-K filed pursuant to Sections 13(a) or 15(d) of the Securities Exchange Act of 1934, as amended (the “Exchange Act”), containing audited financial statements for the Company’s fiscal year ended December 31, 2009, as filed with the Securities and Exchange Commission on February 18, 2010.</w:t>
      </w:r>
    </w:p>
    <w:p>
      <w:pPr>
        <w:spacing w:after="0" w:line="125" w:lineRule="exact"/>
        <w:rPr>
          <w:rFonts w:ascii="Arial" w:cs="Arial" w:eastAsia="Arial" w:hAnsi="Arial"/>
          <w:sz w:val="17"/>
          <w:szCs w:val="17"/>
          <w:color w:val="auto"/>
        </w:rPr>
      </w:pPr>
    </w:p>
    <w:p>
      <w:pPr>
        <w:ind w:right="619" w:firstLine="365"/>
        <w:spacing w:after="0" w:line="277" w:lineRule="auto"/>
        <w:tabs>
          <w:tab w:leader="none" w:pos="618"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Registrant document referred to in (a) above.</w:t>
      </w:r>
    </w:p>
    <w:p>
      <w:pPr>
        <w:spacing w:after="0" w:line="143" w:lineRule="exact"/>
        <w:rPr>
          <w:rFonts w:ascii="Arial" w:cs="Arial" w:eastAsia="Arial" w:hAnsi="Arial"/>
          <w:sz w:val="18"/>
          <w:szCs w:val="18"/>
          <w:color w:val="auto"/>
        </w:rPr>
      </w:pPr>
    </w:p>
    <w:p>
      <w:pPr>
        <w:jc w:val="both"/>
        <w:ind w:right="739" w:firstLine="365"/>
        <w:spacing w:after="0" w:line="264" w:lineRule="auto"/>
        <w:tabs>
          <w:tab w:leader="none" w:pos="6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 No. 001-34211) filed with the SEC on November 14, 2008, pursuant to Section 12(b) of the Exchange Act, including any amendment or report filed for the purpose of updating such description.</w:t>
      </w:r>
    </w:p>
    <w:p>
      <w:pPr>
        <w:spacing w:after="0" w:line="141" w:lineRule="exact"/>
        <w:rPr>
          <w:sz w:val="20"/>
          <w:szCs w:val="20"/>
          <w:color w:val="auto"/>
        </w:rPr>
      </w:pPr>
    </w:p>
    <w:p>
      <w:pPr>
        <w:jc w:val="both"/>
        <w:ind w:right="779" w:firstLine="373"/>
        <w:spacing w:after="0" w:line="302" w:lineRule="auto"/>
        <w:rPr>
          <w:sz w:val="20"/>
          <w:szCs w:val="20"/>
          <w:color w:val="auto"/>
        </w:rPr>
      </w:pPr>
      <w:r>
        <w:rPr>
          <w:rFonts w:ascii="Arial" w:cs="Arial" w:eastAsia="Arial" w:hAnsi="Arial"/>
          <w:sz w:val="16"/>
          <w:szCs w:val="16"/>
          <w:color w:val="auto"/>
        </w:rPr>
        <w:t>All documents filed by us pursuant to Sections 13(a), 13(c), 14 and 15(d) of the Exchange Act on or after the date of this Registration Statement and prior to the filing of a post-effective amendment to this Registration Statement that indicate that all securities offered have been sold or that deregisters all securities then remaining unsold shall be deemed to be incorporated by reference into this Registration Statement and to be a part hereof from the date of filing of such documents.</w:t>
      </w:r>
    </w:p>
    <w:p>
      <w:pPr>
        <w:spacing w:after="0" w:line="114" w:lineRule="exact"/>
        <w:rPr>
          <w:sz w:val="20"/>
          <w:szCs w:val="20"/>
          <w:color w:val="auto"/>
        </w:rPr>
      </w:pPr>
    </w:p>
    <w:p>
      <w:pPr>
        <w:ind w:right="599" w:firstLine="373"/>
        <w:spacing w:after="0" w:line="257"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class of securities to be offered is registered under Section 12 of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647700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02" w:lineRule="exact"/>
        <w:rPr>
          <w:sz w:val="20"/>
          <w:szCs w:val="20"/>
          <w:color w:val="auto"/>
        </w:rPr>
      </w:pPr>
    </w:p>
    <w:p>
      <w:pPr>
        <w:ind w:right="579" w:firstLine="373"/>
        <w:spacing w:after="0" w:line="270" w:lineRule="auto"/>
        <w:rPr>
          <w:sz w:val="20"/>
          <w:szCs w:val="20"/>
          <w:color w:val="auto"/>
        </w:rPr>
      </w:pPr>
      <w:r>
        <w:rPr>
          <w:rFonts w:ascii="Arial" w:cs="Arial" w:eastAsia="Arial" w:hAnsi="Arial"/>
          <w:sz w:val="17"/>
          <w:szCs w:val="17"/>
          <w:color w:val="auto"/>
        </w:rPr>
        <w:t>Section 145(a) of the Delaware General Corporation Law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41" w:lineRule="exact"/>
        <w:rPr>
          <w:sz w:val="20"/>
          <w:szCs w:val="20"/>
          <w:color w:val="auto"/>
        </w:rPr>
      </w:pPr>
    </w:p>
    <w:p>
      <w:pPr>
        <w:ind w:right="559" w:firstLine="373"/>
        <w:spacing w:after="0" w:line="269" w:lineRule="auto"/>
        <w:rPr>
          <w:sz w:val="20"/>
          <w:szCs w:val="20"/>
          <w:color w:val="auto"/>
        </w:rPr>
      </w:pPr>
      <w:r>
        <w:rPr>
          <w:rFonts w:ascii="Arial" w:cs="Arial" w:eastAsia="Arial" w:hAnsi="Arial"/>
          <w:sz w:val="17"/>
          <w:szCs w:val="17"/>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which the Court of Chancery or other adjudicating court shall deem proper.</w:t>
      </w:r>
    </w:p>
    <w:p>
      <w:pPr>
        <w:spacing w:after="0" w:line="142" w:lineRule="exact"/>
        <w:rPr>
          <w:sz w:val="20"/>
          <w:szCs w:val="20"/>
          <w:color w:val="auto"/>
        </w:rPr>
      </w:pPr>
    </w:p>
    <w:p>
      <w:pPr>
        <w:ind w:right="799" w:firstLine="373"/>
        <w:spacing w:after="0" w:line="297" w:lineRule="auto"/>
        <w:rPr>
          <w:sz w:val="20"/>
          <w:szCs w:val="20"/>
          <w:color w:val="auto"/>
        </w:rPr>
      </w:pPr>
      <w:r>
        <w:rPr>
          <w:rFonts w:ascii="Arial" w:cs="Arial" w:eastAsia="Arial" w:hAnsi="Arial"/>
          <w:sz w:val="16"/>
          <w:szCs w:val="16"/>
          <w:color w:val="auto"/>
        </w:rPr>
        <w:t>Section 145 further provides that to the extent a director or officer has been successful on the merits or otherwise in the defense of any action, suit or proceeding referred to in subsections (a) and (b) or in the defense of any claim, issue or matter therein, he or she shall be indemnified against expenses (including attorneys’ fees) actually and reasonably incurred by him or her in connection therewith and that indemnification and advancement of expenses provided by or granted pursuant to Section 145 shall not be deemed exclusive of any other rights to which the indemnified party may be entitled.</w:t>
      </w:r>
    </w:p>
    <w:p>
      <w:pPr>
        <w:spacing w:after="0" w:line="131" w:lineRule="exact"/>
        <w:rPr>
          <w:sz w:val="20"/>
          <w:szCs w:val="20"/>
          <w:color w:val="auto"/>
        </w:rPr>
      </w:pPr>
    </w:p>
    <w:p>
      <w:pPr>
        <w:ind w:right="659" w:firstLine="373"/>
        <w:spacing w:after="0" w:line="255"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53" w:lineRule="exact"/>
        <w:rPr>
          <w:sz w:val="20"/>
          <w:szCs w:val="20"/>
          <w:color w:val="auto"/>
        </w:rPr>
      </w:pPr>
    </w:p>
    <w:p>
      <w:pPr>
        <w:ind w:right="559" w:firstLine="373"/>
        <w:spacing w:after="0" w:line="290" w:lineRule="auto"/>
        <w:rPr>
          <w:sz w:val="20"/>
          <w:szCs w:val="20"/>
          <w:color w:val="auto"/>
        </w:rPr>
      </w:pPr>
      <w:r>
        <w:rPr>
          <w:rFonts w:ascii="Arial" w:cs="Arial" w:eastAsia="Arial" w:hAnsi="Arial"/>
          <w:sz w:val="16"/>
          <w:szCs w:val="16"/>
          <w:color w:val="auto"/>
        </w:rPr>
        <w:t>Section 8.1 of the Registrant’s bylaws provides that the Registrant will indemnify, to the fullest extent permitted by the DGCL, any person who was or is made or is threatened to be made a party or is otherwise involved in any action, suit, or proceeding, whether civil, criminal, administrative, or investigative, by reason of the fact that he, or a person for whom he is the legal representative, is or was one of the Registrant’s directors or officers or, while serving as one of the Registrant’s directors or officers, is or was serving at the Registrant’s request as a director, officer, employee, or agent of another corporation or of another entity, against all liability and loss suffered and expenses (including attorneys’ fees) reasonably incurred by such person, subject to limited exceptions relating to indemnity in connection with a proceeding (or part thereof) initiated by such person. Section 8.1 of our bylaws further provides for the advancement of expenses to each of the Registrant’s officers and directors.</w:t>
      </w:r>
    </w:p>
    <w:p>
      <w:pPr>
        <w:spacing w:after="0" w:line="126" w:lineRule="exact"/>
        <w:rPr>
          <w:sz w:val="20"/>
          <w:szCs w:val="20"/>
          <w:color w:val="auto"/>
        </w:rPr>
      </w:pPr>
    </w:p>
    <w:p>
      <w:pPr>
        <w:ind w:right="619" w:firstLine="373"/>
        <w:spacing w:after="0" w:line="271" w:lineRule="auto"/>
        <w:rPr>
          <w:sz w:val="20"/>
          <w:szCs w:val="20"/>
          <w:color w:val="auto"/>
        </w:rPr>
      </w:pPr>
      <w:r>
        <w:rPr>
          <w:rFonts w:ascii="Arial" w:cs="Arial" w:eastAsia="Arial" w:hAnsi="Arial"/>
          <w:sz w:val="17"/>
          <w:szCs w:val="17"/>
          <w:color w:val="auto"/>
        </w:rPr>
        <w:t>Article VIII of the Registrant’s charter provides that, to the fullest extent permitted by the DGCL, as the same exists or may be amended from time to time, the Registrant’s directors shall not be personally liable to the Registrant or its stockholders for monetary damages for breach of fiduciary duty as a director. Under Section 102(b)(7) of the DGCL, the personal liability of a director to the corporation or its stockholders for monetary damages for breach of fiduciary duty can be limited or eliminated except (i) for any breach of the director’s duty of loyalty to the corporation or its stockholders; (ii) for acts or omissions not in good faith or which involve intentional misconduct or a knowing violation of law; (iii) under Section 174 of the DGCL (relating to unlawful payment of dividend or unlawful stock purchase or redemption); or (iv) for any transaction from which the director derived an improper personal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626745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4" w:name="page5"/>
    <w:bookmarkEnd w:id="4"/>
    <w:p>
      <w:pPr>
        <w:ind w:left="340" w:right="1820" w:firstLine="373"/>
        <w:spacing w:after="0" w:line="259" w:lineRule="auto"/>
        <w:rPr>
          <w:sz w:val="20"/>
          <w:szCs w:val="20"/>
          <w:color w:val="auto"/>
        </w:rPr>
      </w:pPr>
      <w:r>
        <w:rPr>
          <w:rFonts w:ascii="Arial" w:cs="Arial" w:eastAsia="Arial" w:hAnsi="Arial"/>
          <w:sz w:val="18"/>
          <w:szCs w:val="18"/>
          <w:color w:val="auto"/>
        </w:rPr>
        <w:t>The Registrant also maintains a general liability insurance policy which covers certain liabilities of directors and officers of the Registrant arising out of claims based on acts or omissions in their capacities as directors or officers, whether or not the Registrant would have the power to indemnify such person against such liability under the DGCL or the provisions of the Registrant’s charter or bylaws.</w:t>
      </w:r>
    </w:p>
    <w:p>
      <w:pPr>
        <w:spacing w:after="0" w:line="160" w:lineRule="exact"/>
        <w:rPr>
          <w:sz w:val="20"/>
          <w:szCs w:val="20"/>
          <w:color w:val="auto"/>
        </w:rPr>
      </w:pPr>
    </w:p>
    <w:p>
      <w:pPr>
        <w:ind w:left="340" w:right="1980" w:firstLine="373"/>
        <w:spacing w:after="0" w:line="264" w:lineRule="auto"/>
        <w:rPr>
          <w:sz w:val="20"/>
          <w:szCs w:val="20"/>
          <w:color w:val="auto"/>
        </w:rPr>
      </w:pPr>
      <w:r>
        <w:rPr>
          <w:rFonts w:ascii="Arial" w:cs="Arial" w:eastAsia="Arial" w:hAnsi="Arial"/>
          <w:sz w:val="18"/>
          <w:szCs w:val="18"/>
          <w:color w:val="auto"/>
        </w:rPr>
        <w:t>The Registrant has entered into indemnification agreements with each of its directors and executive officers. These agreements provide that the Registrant will indemnify each of such directors and officers to the fullest extent permitted by law and by the Registrant’s charter and bylaws.</w:t>
      </w:r>
    </w:p>
    <w:p>
      <w:pPr>
        <w:spacing w:after="0" w:line="141" w:lineRule="exact"/>
        <w:rPr>
          <w:sz w:val="20"/>
          <w:szCs w:val="20"/>
          <w:color w:val="auto"/>
        </w:rPr>
      </w:pPr>
    </w:p>
    <w:p>
      <w:pPr>
        <w:ind w:left="340" w:right="1780" w:firstLine="373"/>
        <w:spacing w:after="0" w:line="288" w:lineRule="auto"/>
        <w:rPr>
          <w:sz w:val="20"/>
          <w:szCs w:val="20"/>
          <w:color w:val="auto"/>
        </w:rPr>
      </w:pPr>
      <w:r>
        <w:rPr>
          <w:rFonts w:ascii="Arial" w:cs="Arial" w:eastAsia="Arial" w:hAnsi="Arial"/>
          <w:sz w:val="16"/>
          <w:szCs w:val="16"/>
          <w:color w:val="auto"/>
        </w:rPr>
        <w:t>Pursuant to the Registrant’s 2008 Equity Incentive Plan (the “Plan”), in addition to such other rights of indemnification as they may have as described above, the Registrant will indemnify members of its board of directors, members of any committee of its board that administers the Plan (the “Committee”), and any of its officers or employees or any of its affiliates to whom authority to act for our board of directors, the Committee or the Registrant is delegated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under the Plan, and against all amounts paid by them in settlement thereof (provided such settlement is approved by our independent legal counsel) or paid by them in satisfaction of a judgment in any such action, suit or proceeding, except in relation to matters as to which it shall be adjudged in such action, suit or proceeding that such person is liable for gross negligence, bad faith or intentional misconduct in duties.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 .</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Item 8. Exhibits.</w:t>
            </w:r>
          </w:p>
        </w:tc>
        <w:tc>
          <w:tcPr>
            <w:tcW w:w="30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30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300" w:type="dxa"/>
            <w:vAlign w:val="bottom"/>
          </w:tcPr>
          <w:p>
            <w:pPr>
              <w:spacing w:after="0"/>
              <w:rPr>
                <w:sz w:val="20"/>
                <w:szCs w:val="20"/>
                <w:color w:val="auto"/>
              </w:rPr>
            </w:pPr>
          </w:p>
        </w:tc>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7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128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4.1</w:t>
            </w:r>
          </w:p>
        </w:tc>
        <w:tc>
          <w:tcPr>
            <w:tcW w:w="300" w:type="dxa"/>
            <w:vAlign w:val="bottom"/>
          </w:tcPr>
          <w:p>
            <w:pPr>
              <w:spacing w:after="0"/>
              <w:rPr>
                <w:sz w:val="16"/>
                <w:szCs w:val="16"/>
                <w:color w:val="auto"/>
              </w:rPr>
            </w:pPr>
          </w:p>
        </w:tc>
        <w:tc>
          <w:tcPr>
            <w:tcW w:w="7740" w:type="dxa"/>
            <w:vAlign w:val="bottom"/>
          </w:tcPr>
          <w:p>
            <w:pPr>
              <w:spacing w:after="0" w:line="195" w:lineRule="exact"/>
              <w:rPr>
                <w:sz w:val="20"/>
                <w:szCs w:val="20"/>
                <w:color w:val="auto"/>
              </w:rPr>
            </w:pPr>
            <w:r>
              <w:rPr>
                <w:rFonts w:ascii="Arial" w:cs="Arial" w:eastAsia="Arial" w:hAnsi="Arial"/>
                <w:sz w:val="18"/>
                <w:szCs w:val="18"/>
                <w:color w:val="auto"/>
              </w:rPr>
              <w:t>Specimen of Stock Certificate (incorporated herein by reference to Exhibit 4.1 to the Registrant’s</w:t>
            </w:r>
          </w:p>
        </w:tc>
        <w:tc>
          <w:tcPr>
            <w:tcW w:w="176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8"/>
              </w:rPr>
              <w:t>Registration Statement on Form S-1 (File No. 333-150876), as amended (“Registrant’s Form S-1”))</w:t>
            </w:r>
          </w:p>
        </w:tc>
        <w:tc>
          <w:tcPr>
            <w:tcW w:w="17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Opinion of DLA Piper LLP (US)</w:t>
            </w:r>
          </w:p>
        </w:tc>
        <w:tc>
          <w:tcPr>
            <w:tcW w:w="17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17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Consent of DLA Piper LLP (US) (included in Exhibit 5.1)</w:t>
            </w:r>
          </w:p>
        </w:tc>
        <w:tc>
          <w:tcPr>
            <w:tcW w:w="17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Powers of Attorney (included as part of the signature page to this Registration Statement)</w:t>
            </w:r>
          </w:p>
        </w:tc>
        <w:tc>
          <w:tcPr>
            <w:tcW w:w="176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Grand Canyon Education, Inc. 2008 Equity Incentive Plan (incorporated herein by reference to</w:t>
            </w:r>
          </w:p>
        </w:tc>
        <w:tc>
          <w:tcPr>
            <w:tcW w:w="17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Exhibit 10.4 to the Registrant’s Form S-1)</w:t>
            </w:r>
          </w:p>
        </w:tc>
        <w:tc>
          <w:tcPr>
            <w:tcW w:w="17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99.2</w:t>
            </w:r>
          </w:p>
        </w:tc>
        <w:tc>
          <w:tcPr>
            <w:tcW w:w="3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Grand Canyon Education, Inc. 2008 Equity Incentive Plan — Form of Stock Option Agreement</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3"/>
              </w:rPr>
              <w:t>(incorporated herein by reference to Exhibit 99.2 to the Registrant’s Registration Statement on Form S-8</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(File No. 333-155973)</w:t>
            </w:r>
          </w:p>
        </w:tc>
        <w:tc>
          <w:tcPr>
            <w:tcW w:w="1760" w:type="dxa"/>
            <w:vAlign w:val="bottom"/>
          </w:tcPr>
          <w:p>
            <w:pPr>
              <w:spacing w:after="0"/>
              <w:rPr>
                <w:sz w:val="20"/>
                <w:szCs w:val="20"/>
                <w:color w:val="auto"/>
              </w:rPr>
            </w:pPr>
          </w:p>
        </w:tc>
      </w:tr>
      <w:tr>
        <w:trPr>
          <w:trHeight w:val="1023"/>
        </w:trPr>
        <w:tc>
          <w:tcPr>
            <w:tcW w:w="3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7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ind w:left="8"/>
        <w:spacing w:after="0"/>
        <w:rPr>
          <w:sz w:val="20"/>
          <w:szCs w:val="20"/>
          <w:color w:val="auto"/>
        </w:rPr>
      </w:pPr>
      <w:r>
        <w:rPr>
          <w:rFonts w:ascii="Arial" w:cs="Arial" w:eastAsia="Arial" w:hAnsi="Arial"/>
          <w:sz w:val="18"/>
          <w:szCs w:val="18"/>
          <w:b w:val="1"/>
          <w:bCs w:val="1"/>
          <w:color w:val="auto"/>
        </w:rPr>
        <w:t>Item 9. Undertakings.</w:t>
      </w:r>
    </w:p>
    <w:p>
      <w:pPr>
        <w:spacing w:after="0" w:line="202" w:lineRule="exact"/>
        <w:rPr>
          <w:sz w:val="20"/>
          <w:szCs w:val="20"/>
          <w:color w:val="auto"/>
        </w:rPr>
      </w:pPr>
    </w:p>
    <w:p>
      <w:pPr>
        <w:ind w:left="248" w:hanging="248"/>
        <w:spacing w:after="0"/>
        <w:tabs>
          <w:tab w:leader="none" w:pos="24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84" w:lineRule="exact"/>
        <w:rPr>
          <w:rFonts w:ascii="Arial" w:cs="Arial" w:eastAsia="Arial" w:hAnsi="Arial"/>
          <w:sz w:val="18"/>
          <w:szCs w:val="18"/>
          <w:color w:val="auto"/>
        </w:rPr>
      </w:pPr>
    </w:p>
    <w:p>
      <w:pPr>
        <w:ind w:left="8" w:right="1179" w:firstLine="365"/>
        <w:spacing w:after="0" w:line="277" w:lineRule="auto"/>
        <w:tabs>
          <w:tab w:leader="none" w:pos="558"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29" w:lineRule="exact"/>
        <w:rPr>
          <w:rFonts w:ascii="Arial" w:cs="Arial" w:eastAsia="Arial" w:hAnsi="Arial"/>
          <w:sz w:val="18"/>
          <w:szCs w:val="18"/>
          <w:color w:val="auto"/>
        </w:rPr>
      </w:pPr>
    </w:p>
    <w:p>
      <w:pPr>
        <w:ind w:left="888" w:hanging="141"/>
        <w:spacing w:after="0"/>
        <w:tabs>
          <w:tab w:leader="none" w:pos="888"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98" w:lineRule="exact"/>
        <w:rPr>
          <w:rFonts w:ascii="Arial" w:cs="Arial" w:eastAsia="Arial" w:hAnsi="Arial"/>
          <w:sz w:val="18"/>
          <w:szCs w:val="18"/>
          <w:color w:val="auto"/>
        </w:rPr>
      </w:pPr>
    </w:p>
    <w:p>
      <w:pPr>
        <w:ind w:left="8" w:right="659" w:firstLine="739"/>
        <w:spacing w:after="0" w:line="254" w:lineRule="auto"/>
        <w:tabs>
          <w:tab w:leader="none" w:pos="941"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51" w:lineRule="exact"/>
        <w:rPr>
          <w:rFonts w:ascii="Arial" w:cs="Arial" w:eastAsia="Arial" w:hAnsi="Arial"/>
          <w:sz w:val="18"/>
          <w:szCs w:val="18"/>
          <w:color w:val="auto"/>
        </w:rPr>
      </w:pPr>
    </w:p>
    <w:p>
      <w:pPr>
        <w:ind w:left="8" w:right="1219" w:firstLine="739"/>
        <w:spacing w:after="0" w:line="308" w:lineRule="auto"/>
        <w:tabs>
          <w:tab w:leader="none" w:pos="991"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this Registration Statement or any material change to such information in this Registration Statement;</w:t>
      </w:r>
    </w:p>
    <w:p>
      <w:pPr>
        <w:spacing w:after="0" w:line="106" w:lineRule="exact"/>
        <w:rPr>
          <w:sz w:val="20"/>
          <w:szCs w:val="20"/>
          <w:color w:val="auto"/>
        </w:rPr>
      </w:pPr>
    </w:p>
    <w:p>
      <w:pPr>
        <w:ind w:left="8" w:right="579"/>
        <w:spacing w:after="0" w:line="259" w:lineRule="auto"/>
        <w:rPr>
          <w:sz w:val="20"/>
          <w:szCs w:val="20"/>
          <w:color w:val="auto"/>
        </w:rPr>
      </w:pPr>
      <w:r>
        <w:rPr>
          <w:rFonts w:ascii="Arial" w:cs="Arial" w:eastAsia="Arial" w:hAnsi="Arial"/>
          <w:sz w:val="18"/>
          <w:szCs w:val="18"/>
          <w:color w:val="auto"/>
        </w:rPr>
        <w:t>Provided however, that paragraphs (a)(1)(i) and (a)(1)(ii) of this section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this Registration Statement; and</w:t>
      </w:r>
    </w:p>
    <w:p>
      <w:pPr>
        <w:spacing w:after="0" w:line="160" w:lineRule="exact"/>
        <w:rPr>
          <w:sz w:val="20"/>
          <w:szCs w:val="20"/>
          <w:color w:val="auto"/>
        </w:rPr>
      </w:pPr>
    </w:p>
    <w:p>
      <w:pPr>
        <w:jc w:val="both"/>
        <w:ind w:left="8" w:right="679" w:firstLine="365"/>
        <w:spacing w:after="0" w:line="264" w:lineRule="auto"/>
        <w:tabs>
          <w:tab w:leader="none" w:pos="558" w:val="left"/>
        </w:tabs>
        <w:numPr>
          <w:ilvl w:val="1"/>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40" w:lineRule="exact"/>
        <w:rPr>
          <w:rFonts w:ascii="Arial" w:cs="Arial" w:eastAsia="Arial" w:hAnsi="Arial"/>
          <w:sz w:val="18"/>
          <w:szCs w:val="18"/>
          <w:color w:val="auto"/>
        </w:rPr>
      </w:pPr>
    </w:p>
    <w:p>
      <w:pPr>
        <w:ind w:left="8" w:right="619" w:firstLine="365"/>
        <w:spacing w:after="0" w:line="277" w:lineRule="auto"/>
        <w:tabs>
          <w:tab w:leader="none" w:pos="558"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29" w:lineRule="exact"/>
        <w:rPr>
          <w:rFonts w:ascii="Arial" w:cs="Arial" w:eastAsia="Arial" w:hAnsi="Arial"/>
          <w:sz w:val="18"/>
          <w:szCs w:val="18"/>
          <w:color w:val="auto"/>
        </w:rPr>
      </w:pPr>
    </w:p>
    <w:p>
      <w:pPr>
        <w:ind w:left="8" w:right="599" w:hanging="8"/>
        <w:spacing w:after="0" w:line="257" w:lineRule="auto"/>
        <w:tabs>
          <w:tab w:leader="none" w:pos="25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61" w:lineRule="exact"/>
        <w:rPr>
          <w:rFonts w:ascii="Arial" w:cs="Arial" w:eastAsia="Arial" w:hAnsi="Arial"/>
          <w:sz w:val="18"/>
          <w:szCs w:val="18"/>
          <w:color w:val="auto"/>
        </w:rPr>
      </w:pPr>
    </w:p>
    <w:p>
      <w:pPr>
        <w:ind w:left="8" w:right="579" w:hanging="8"/>
        <w:spacing w:after="0" w:line="289" w:lineRule="auto"/>
        <w:tabs>
          <w:tab w:leader="none" w:pos="253" w:val="left"/>
        </w:tabs>
        <w:numPr>
          <w:ilvl w:val="0"/>
          <w:numId w:val="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indemnification provisions summarized in Item 6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610235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6" w:name="page7"/>
    <w:bookmarkEnd w:id="6"/>
    <w:p>
      <w:pPr>
        <w:jc w:val="center"/>
        <w:ind w:right="142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880" w:firstLine="373"/>
        <w:spacing w:after="0" w:line="312"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Phoenix, State of Arizona, on February 22, 2010.</w:t>
      </w:r>
    </w:p>
    <w:p>
      <w:pPr>
        <w:spacing w:after="0" w:line="14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Brian E. Mueller</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-130810</wp:posOffset>
            </wp:positionV>
            <wp:extent cx="20840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Chief Executive Officer</w:t>
      </w:r>
    </w:p>
    <w:p>
      <w:pPr>
        <w:spacing w:after="0" w:line="16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POWER OF ATTORNEY</w:t>
      </w:r>
    </w:p>
    <w:p>
      <w:pPr>
        <w:spacing w:after="0" w:line="189" w:lineRule="exact"/>
        <w:rPr>
          <w:sz w:val="20"/>
          <w:szCs w:val="20"/>
          <w:color w:val="auto"/>
        </w:rPr>
      </w:pPr>
    </w:p>
    <w:p>
      <w:pPr>
        <w:ind w:left="340" w:right="1800" w:firstLine="373"/>
        <w:spacing w:after="0" w:line="269" w:lineRule="auto"/>
        <w:rPr>
          <w:sz w:val="20"/>
          <w:szCs w:val="20"/>
          <w:color w:val="auto"/>
        </w:rPr>
      </w:pPr>
      <w:r>
        <w:rPr>
          <w:rFonts w:ascii="Arial" w:cs="Arial" w:eastAsia="Arial" w:hAnsi="Arial"/>
          <w:sz w:val="17"/>
          <w:szCs w:val="17"/>
          <w:color w:val="auto"/>
        </w:rPr>
        <w:t>Know all men by these presents, that the undersigned directors and officers of the registrant, a Delaware corporation, which is filing a registration statement on Form S-8 with the SEC, Washington, D.C. 20549 under the provisions of the Securities Act of 1933, as amended, hereby constitute and appoint Daniel E. Bachus and Christopher C. Richardson, and each of them, the individual’s true and lawful attorney-in-fact and agents, with full power of substitution and resubstitution, for the person and in his or her name, place and stead, in any and all capacities, to sign such registration statement and any or all amendments, including post-effective amendments to the registration statement, including a prospectus or an amended prospectus therein and any registration statement for the same offering that is to be effective upon filing pursuant to Rule 462(b) under the Securities Act, and all other documents in connection therewith to be filed with the SEC,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as agents or any of them, or their substitute or substitutes, may lawfully do or cause to be done by virtue hereof.</w:t>
      </w:r>
    </w:p>
    <w:p>
      <w:pPr>
        <w:spacing w:after="0" w:line="153" w:lineRule="exact"/>
        <w:rPr>
          <w:sz w:val="20"/>
          <w:szCs w:val="20"/>
          <w:color w:val="auto"/>
        </w:rPr>
      </w:pPr>
    </w:p>
    <w:p>
      <w:pPr>
        <w:ind w:left="340" w:right="1820" w:firstLine="373"/>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and the Power of Attorney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Signature</w:t>
            </w:r>
          </w:p>
        </w:tc>
        <w:tc>
          <w:tcPr>
            <w:tcW w:w="280" w:type="dxa"/>
            <w:vAlign w:val="bottom"/>
          </w:tcPr>
          <w:p>
            <w:pPr>
              <w:spacing w:after="0"/>
              <w:rPr>
                <w:sz w:val="20"/>
                <w:szCs w:val="20"/>
                <w:color w:val="auto"/>
              </w:rPr>
            </w:pPr>
          </w:p>
        </w:tc>
        <w:tc>
          <w:tcPr>
            <w:tcW w:w="3560" w:type="dxa"/>
            <w:vAlign w:val="bottom"/>
            <w:tcBorders>
              <w:bottom w:val="single" w:sz="8" w:color="auto"/>
            </w:tcBorders>
          </w:tcPr>
          <w:p>
            <w:pPr>
              <w:ind w:left="1600"/>
              <w:spacing w:after="0"/>
              <w:rPr>
                <w:sz w:val="20"/>
                <w:szCs w:val="20"/>
                <w:color w:val="auto"/>
              </w:rPr>
            </w:pPr>
            <w:r>
              <w:rPr>
                <w:rFonts w:ascii="Arial" w:cs="Arial" w:eastAsia="Arial" w:hAnsi="Arial"/>
                <w:sz w:val="18"/>
                <w:szCs w:val="18"/>
                <w:b w:val="1"/>
                <w:bCs w:val="1"/>
                <w:color w:val="auto"/>
              </w:rPr>
              <w:t>Title</w:t>
            </w:r>
          </w:p>
        </w:tc>
        <w:tc>
          <w:tcPr>
            <w:tcW w:w="260" w:type="dxa"/>
            <w:vAlign w:val="bottom"/>
          </w:tcPr>
          <w:p>
            <w:pPr>
              <w:spacing w:after="0"/>
              <w:rPr>
                <w:sz w:val="20"/>
                <w:szCs w:val="20"/>
                <w:color w:val="auto"/>
              </w:rPr>
            </w:pPr>
          </w:p>
        </w:tc>
        <w:tc>
          <w:tcPr>
            <w:tcW w:w="168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Date</w:t>
            </w:r>
          </w:p>
        </w:tc>
        <w:tc>
          <w:tcPr>
            <w:tcW w:w="1760" w:type="dxa"/>
            <w:vAlign w:val="bottom"/>
          </w:tcPr>
          <w:p>
            <w:pPr>
              <w:spacing w:after="0"/>
              <w:rPr>
                <w:sz w:val="20"/>
                <w:szCs w:val="20"/>
                <w:color w:val="auto"/>
              </w:rPr>
            </w:pPr>
          </w:p>
        </w:tc>
      </w:tr>
      <w:tr>
        <w:trPr>
          <w:trHeight w:val="426"/>
        </w:trPr>
        <w:tc>
          <w:tcPr>
            <w:tcW w:w="340" w:type="dxa"/>
            <w:vAlign w:val="bottom"/>
          </w:tcPr>
          <w:p>
            <w:pPr>
              <w:spacing w:after="0"/>
              <w:rPr>
                <w:sz w:val="24"/>
                <w:szCs w:val="24"/>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Brent D. Richardson</w:t>
            </w:r>
          </w:p>
        </w:tc>
        <w:tc>
          <w:tcPr>
            <w:tcW w:w="28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Executive Chairman</w:t>
            </w:r>
          </w:p>
        </w:tc>
        <w:tc>
          <w:tcPr>
            <w:tcW w:w="26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February 22, 2010</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Brent D. Richardson</w:t>
            </w:r>
          </w:p>
        </w:tc>
        <w:tc>
          <w:tcPr>
            <w:tcW w:w="2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40" w:type="dxa"/>
            <w:vAlign w:val="bottom"/>
          </w:tcPr>
          <w:p>
            <w:pPr>
              <w:spacing w:after="0"/>
              <w:rPr>
                <w:sz w:val="24"/>
                <w:szCs w:val="24"/>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c>
          <w:tcPr>
            <w:tcW w:w="28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26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February 22, 2010</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Brian E. Mueller</w:t>
            </w:r>
          </w:p>
        </w:tc>
        <w:tc>
          <w:tcPr>
            <w:tcW w:w="2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40" w:type="dxa"/>
            <w:vAlign w:val="bottom"/>
          </w:tcPr>
          <w:p>
            <w:pPr>
              <w:spacing w:after="0"/>
              <w:rPr>
                <w:sz w:val="24"/>
                <w:szCs w:val="24"/>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c>
          <w:tcPr>
            <w:tcW w:w="28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6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February 22, 2010</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Daniel E. Bachus</w:t>
            </w:r>
          </w:p>
        </w:tc>
        <w:tc>
          <w:tcPr>
            <w:tcW w:w="2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40" w:type="dxa"/>
            <w:vAlign w:val="bottom"/>
          </w:tcPr>
          <w:p>
            <w:pPr>
              <w:spacing w:after="0"/>
              <w:rPr>
                <w:sz w:val="24"/>
                <w:szCs w:val="24"/>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C. Richardson</w:t>
            </w:r>
          </w:p>
        </w:tc>
        <w:tc>
          <w:tcPr>
            <w:tcW w:w="28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General Counsel and Director</w:t>
            </w:r>
          </w:p>
        </w:tc>
        <w:tc>
          <w:tcPr>
            <w:tcW w:w="26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February 22, 2010</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Christopher C. Richardson</w:t>
            </w:r>
          </w:p>
        </w:tc>
        <w:tc>
          <w:tcPr>
            <w:tcW w:w="2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40" w:type="dxa"/>
            <w:vAlign w:val="bottom"/>
          </w:tcPr>
          <w:p>
            <w:pPr>
              <w:spacing w:after="0"/>
              <w:rPr>
                <w:sz w:val="24"/>
                <w:szCs w:val="24"/>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 Mark Dorman</w:t>
            </w:r>
          </w:p>
        </w:tc>
        <w:tc>
          <w:tcPr>
            <w:tcW w:w="28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February 22, 2010</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 Mark Dorman</w:t>
            </w:r>
          </w:p>
        </w:tc>
        <w:tc>
          <w:tcPr>
            <w:tcW w:w="2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40" w:type="dxa"/>
            <w:vAlign w:val="bottom"/>
          </w:tcPr>
          <w:p>
            <w:pPr>
              <w:spacing w:after="0"/>
              <w:rPr>
                <w:sz w:val="24"/>
                <w:szCs w:val="24"/>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N. Heath</w:t>
            </w:r>
          </w:p>
        </w:tc>
        <w:tc>
          <w:tcPr>
            <w:tcW w:w="28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February 22, 2010</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Chad N. Heath</w:t>
            </w:r>
          </w:p>
        </w:tc>
        <w:tc>
          <w:tcPr>
            <w:tcW w:w="2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40" w:type="dxa"/>
            <w:vAlign w:val="bottom"/>
          </w:tcPr>
          <w:p>
            <w:pPr>
              <w:spacing w:after="0"/>
              <w:rPr>
                <w:sz w:val="24"/>
                <w:szCs w:val="24"/>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J. Johnson</w:t>
            </w:r>
          </w:p>
        </w:tc>
        <w:tc>
          <w:tcPr>
            <w:tcW w:w="28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February 22, 2010</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David J. Johnson</w:t>
            </w:r>
          </w:p>
        </w:tc>
        <w:tc>
          <w:tcPr>
            <w:tcW w:w="2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40" w:type="dxa"/>
            <w:vAlign w:val="bottom"/>
          </w:tcPr>
          <w:p>
            <w:pPr>
              <w:spacing w:after="0"/>
              <w:rPr>
                <w:sz w:val="24"/>
                <w:szCs w:val="24"/>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A. Henry</w:t>
            </w:r>
          </w:p>
        </w:tc>
        <w:tc>
          <w:tcPr>
            <w:tcW w:w="28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February 22, 2010</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Jack A. Henry</w:t>
            </w:r>
          </w:p>
        </w:tc>
        <w:tc>
          <w:tcPr>
            <w:tcW w:w="2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340" w:type="dxa"/>
            <w:vAlign w:val="bottom"/>
          </w:tcPr>
          <w:p>
            <w:pPr>
              <w:spacing w:after="0"/>
              <w:rPr>
                <w:sz w:val="24"/>
                <w:szCs w:val="24"/>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Gerald J. Colangelo</w:t>
            </w:r>
          </w:p>
        </w:tc>
        <w:tc>
          <w:tcPr>
            <w:tcW w:w="28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8"/>
                <w:szCs w:val="18"/>
                <w:color w:val="auto"/>
              </w:rPr>
              <w:t>February 22, 2010</w:t>
            </w:r>
          </w:p>
        </w:tc>
        <w:tc>
          <w:tcPr>
            <w:tcW w:w="17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Gerald J. Colangelo</w:t>
            </w:r>
          </w:p>
        </w:tc>
        <w:tc>
          <w:tcPr>
            <w:tcW w:w="2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995"/>
        </w:trPr>
        <w:tc>
          <w:tcPr>
            <w:tcW w:w="34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5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40" w:type="dxa"/>
            <w:vAlign w:val="bottom"/>
          </w:tcPr>
          <w:p>
            <w:pPr>
              <w:ind w:left="238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rPr>
              <w:t>Exhibit</w:t>
            </w:r>
          </w:p>
        </w:tc>
        <w:tc>
          <w:tcPr>
            <w:tcW w:w="300" w:type="dxa"/>
            <w:vAlign w:val="bottom"/>
          </w:tcPr>
          <w:p>
            <w:pPr>
              <w:spacing w:after="0"/>
              <w:rPr>
                <w:sz w:val="24"/>
                <w:szCs w:val="24"/>
                <w:color w:val="auto"/>
              </w:rPr>
            </w:pPr>
          </w:p>
        </w:tc>
        <w:tc>
          <w:tcPr>
            <w:tcW w:w="7740" w:type="dxa"/>
            <w:vAlign w:val="bottom"/>
          </w:tcPr>
          <w:p>
            <w:pPr>
              <w:spacing w:after="0"/>
              <w:rPr>
                <w:sz w:val="24"/>
                <w:szCs w:val="24"/>
                <w:color w:val="auto"/>
              </w:rPr>
            </w:pPr>
          </w:p>
        </w:tc>
      </w:tr>
      <w:tr>
        <w:trPr>
          <w:trHeight w:val="234"/>
        </w:trPr>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Number</w:t>
            </w:r>
          </w:p>
        </w:tc>
        <w:tc>
          <w:tcPr>
            <w:tcW w:w="300" w:type="dxa"/>
            <w:vAlign w:val="bottom"/>
          </w:tcPr>
          <w:p>
            <w:pPr>
              <w:spacing w:after="0"/>
              <w:rPr>
                <w:sz w:val="20"/>
                <w:szCs w:val="20"/>
                <w:color w:val="auto"/>
              </w:rPr>
            </w:pPr>
          </w:p>
        </w:tc>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128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4.1</w:t>
            </w:r>
          </w:p>
        </w:tc>
        <w:tc>
          <w:tcPr>
            <w:tcW w:w="300" w:type="dxa"/>
            <w:vAlign w:val="bottom"/>
          </w:tcPr>
          <w:p>
            <w:pPr>
              <w:spacing w:after="0"/>
              <w:rPr>
                <w:sz w:val="16"/>
                <w:szCs w:val="16"/>
                <w:color w:val="auto"/>
              </w:rPr>
            </w:pPr>
          </w:p>
        </w:tc>
        <w:tc>
          <w:tcPr>
            <w:tcW w:w="7740" w:type="dxa"/>
            <w:vAlign w:val="bottom"/>
          </w:tcPr>
          <w:p>
            <w:pPr>
              <w:spacing w:after="0" w:line="195" w:lineRule="exact"/>
              <w:rPr>
                <w:sz w:val="20"/>
                <w:szCs w:val="20"/>
                <w:color w:val="auto"/>
              </w:rPr>
            </w:pPr>
            <w:r>
              <w:rPr>
                <w:rFonts w:ascii="Arial" w:cs="Arial" w:eastAsia="Arial" w:hAnsi="Arial"/>
                <w:sz w:val="18"/>
                <w:szCs w:val="18"/>
                <w:color w:val="auto"/>
              </w:rPr>
              <w:t>Specimen of Stock Certificate (incorporated herein by reference to Exhibit 4.1 to the Registrant’s</w:t>
            </w:r>
          </w:p>
        </w:tc>
      </w:tr>
      <w:tr>
        <w:trPr>
          <w:trHeight w:val="230"/>
        </w:trPr>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8"/>
              </w:rPr>
              <w:t>Registration Statement on Form S-1 (File No. 333-150876), as amended (“Registrant’s Form S-1”))</w:t>
            </w:r>
          </w:p>
        </w:tc>
      </w:tr>
      <w:tr>
        <w:trPr>
          <w:trHeight w:val="432"/>
        </w:trPr>
        <w:tc>
          <w:tcPr>
            <w:tcW w:w="1280" w:type="dxa"/>
            <w:vAlign w:val="bottom"/>
          </w:tcPr>
          <w:p>
            <w:pPr>
              <w:jc w:val="right"/>
              <w:ind w:right="390"/>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Opinion of DLA Piper LLP (US)</w:t>
            </w:r>
          </w:p>
        </w:tc>
      </w:tr>
      <w:tr>
        <w:trPr>
          <w:trHeight w:val="432"/>
        </w:trPr>
        <w:tc>
          <w:tcPr>
            <w:tcW w:w="1280" w:type="dxa"/>
            <w:vAlign w:val="bottom"/>
          </w:tcPr>
          <w:p>
            <w:pPr>
              <w:jc w:val="right"/>
              <w:ind w:right="390"/>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1280" w:type="dxa"/>
            <w:vAlign w:val="bottom"/>
          </w:tcPr>
          <w:p>
            <w:pPr>
              <w:jc w:val="right"/>
              <w:ind w:right="390"/>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Consent of DLA Piper LLP (US) (included in Exhibit 5.1)</w:t>
            </w:r>
          </w:p>
        </w:tc>
      </w:tr>
      <w:tr>
        <w:trPr>
          <w:trHeight w:val="432"/>
        </w:trPr>
        <w:tc>
          <w:tcPr>
            <w:tcW w:w="1280" w:type="dxa"/>
            <w:vAlign w:val="bottom"/>
          </w:tcPr>
          <w:p>
            <w:pPr>
              <w:jc w:val="right"/>
              <w:ind w:right="390"/>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Powers of Attorney (included as part of the signature page to this Registration Statement)</w:t>
            </w:r>
          </w:p>
        </w:tc>
      </w:tr>
      <w:tr>
        <w:trPr>
          <w:trHeight w:val="418"/>
        </w:trPr>
        <w:tc>
          <w:tcPr>
            <w:tcW w:w="1280" w:type="dxa"/>
            <w:vAlign w:val="bottom"/>
          </w:tcPr>
          <w:p>
            <w:pPr>
              <w:jc w:val="right"/>
              <w:ind w:right="390"/>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Grand Canyon Education, Inc. 2008 Equity Incentive Plan (incorporated herein by reference to</w:t>
            </w:r>
          </w:p>
        </w:tc>
      </w:tr>
      <w:tr>
        <w:trPr>
          <w:trHeight w:val="230"/>
        </w:trPr>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Exhibit 10.4 to the Registrant’s Form S-1)</w:t>
            </w:r>
          </w:p>
        </w:tc>
      </w:tr>
      <w:tr>
        <w:trPr>
          <w:trHeight w:val="418"/>
        </w:trPr>
        <w:tc>
          <w:tcPr>
            <w:tcW w:w="1280" w:type="dxa"/>
            <w:vAlign w:val="bottom"/>
          </w:tcPr>
          <w:p>
            <w:pPr>
              <w:jc w:val="right"/>
              <w:ind w:right="390"/>
              <w:spacing w:after="0"/>
              <w:rPr>
                <w:sz w:val="20"/>
                <w:szCs w:val="20"/>
                <w:color w:val="auto"/>
              </w:rPr>
            </w:pPr>
            <w:r>
              <w:rPr>
                <w:rFonts w:ascii="Arial" w:cs="Arial" w:eastAsia="Arial" w:hAnsi="Arial"/>
                <w:sz w:val="18"/>
                <w:szCs w:val="18"/>
                <w:color w:val="auto"/>
              </w:rPr>
              <w:t>99.2</w:t>
            </w:r>
          </w:p>
        </w:tc>
        <w:tc>
          <w:tcPr>
            <w:tcW w:w="3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Grand Canyon Education, Inc. 2008 Equity Incentive Plan — Form of Stock Option Agreement</w:t>
            </w:r>
          </w:p>
        </w:tc>
      </w:tr>
      <w:tr>
        <w:trPr>
          <w:trHeight w:val="216"/>
        </w:trPr>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93"/>
              </w:rPr>
              <w:t>(incorporated herein by reference to Exhibit 99.2 to the Registrant’s Registration Statement on Form S-8</w:t>
            </w:r>
          </w:p>
        </w:tc>
      </w:tr>
      <w:tr>
        <w:trPr>
          <w:trHeight w:val="230"/>
        </w:trPr>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(File No. 333-155973)</w:t>
            </w:r>
          </w:p>
        </w:tc>
      </w:tr>
    </w:tbl>
    <w:p>
      <w:pPr>
        <w:sectPr>
          <w:pgSz w:w="11900" w:h="16838" w:orient="portrait"/>
          <w:cols w:equalWidth="0" w:num="1">
            <w:col w:w="9879"/>
          </w:cols>
          <w:pgMar w:left="580" w:top="931" w:right="1440" w:bottom="1440" w:gutter="0" w:footer="0" w:header="0"/>
        </w:sectPr>
      </w:pPr>
    </w:p>
    <w:bookmarkStart w:id="8" w:name="page9"/>
    <w:bookmarkEnd w:id="8"/>
    <w:p>
      <w:pPr>
        <w:jc w:val="right"/>
        <w:ind w:right="559"/>
        <w:spacing w:after="0"/>
        <w:rPr>
          <w:sz w:val="20"/>
          <w:szCs w:val="20"/>
          <w:color w:val="auto"/>
        </w:rPr>
      </w:pPr>
      <w:r>
        <w:rPr>
          <w:rFonts w:ascii="Arial" w:cs="Arial" w:eastAsia="Arial" w:hAnsi="Arial"/>
          <w:sz w:val="18"/>
          <w:szCs w:val="18"/>
          <w:b w:val="1"/>
          <w:bCs w:val="1"/>
          <w:u w:val="single" w:color="auto"/>
          <w:color w:val="auto"/>
        </w:rPr>
        <w:t>EXHIBIT 5.1</w:t>
      </w:r>
    </w:p>
    <w:p>
      <w:pPr>
        <w:spacing w:after="0" w:line="185" w:lineRule="exact"/>
        <w:rPr>
          <w:sz w:val="20"/>
          <w:szCs w:val="20"/>
          <w:color w:val="auto"/>
        </w:rPr>
      </w:pPr>
    </w:p>
    <w:p>
      <w:pPr>
        <w:jc w:val="right"/>
        <w:ind w:right="559"/>
        <w:spacing w:after="0"/>
        <w:rPr>
          <w:sz w:val="20"/>
          <w:szCs w:val="20"/>
          <w:color w:val="auto"/>
        </w:rPr>
      </w:pPr>
      <w:r>
        <w:rPr>
          <w:rFonts w:ascii="Arial" w:cs="Arial" w:eastAsia="Arial" w:hAnsi="Arial"/>
          <w:sz w:val="18"/>
          <w:szCs w:val="18"/>
          <w:b w:val="1"/>
          <w:bCs w:val="1"/>
          <w:color w:val="auto"/>
        </w:rPr>
        <w:t>DLA Piper US (LLP)</w:t>
      </w:r>
    </w:p>
    <w:p>
      <w:pPr>
        <w:spacing w:after="0" w:line="27"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2525 East Camelback Road, Suite 1000</w:t>
      </w:r>
    </w:p>
    <w:p>
      <w:pPr>
        <w:spacing w:after="0" w:line="9"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Phoenix, AZ 85016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986155" cy="5746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8615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3300 W. Camelback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 85017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Registration Statement on Form S-8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We have acted as legal counsel for Grand Canyon Education,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 Registration Statement on Form S-8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under the Securities Act of 1933,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for the registration of up to 2,278,078 shares of the Common Stock, $0.01 par value, of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that are reserved for issuance under the Grand Canyon Education, Inc. 2008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w:t>
      </w:r>
    </w:p>
    <w:p>
      <w:pPr>
        <w:spacing w:after="0" w:line="195" w:lineRule="exact"/>
        <w:rPr>
          <w:sz w:val="20"/>
          <w:szCs w:val="20"/>
          <w:color w:val="auto"/>
        </w:rPr>
      </w:pPr>
    </w:p>
    <w:p>
      <w:pPr>
        <w:ind w:right="599"/>
        <w:spacing w:after="0" w:line="271" w:lineRule="auto"/>
        <w:rPr>
          <w:sz w:val="20"/>
          <w:szCs w:val="20"/>
          <w:color w:val="auto"/>
        </w:rPr>
      </w:pPr>
      <w:r>
        <w:rPr>
          <w:rFonts w:ascii="Arial" w:cs="Arial" w:eastAsia="Arial" w:hAnsi="Arial"/>
          <w:sz w:val="17"/>
          <w:szCs w:val="17"/>
          <w:color w:val="auto"/>
        </w:rPr>
        <w:t>We have examined all instruments, documents and records which we deemed relevant and necessary for the basis of our opinion hereinafter expressed. In such examination, we have assumed the genuineness of all signatures and the authenticity of all documents submitted to us as originals and the conformity to the originals of all documents submitted to us as copies. We are admitted to practice only in the State of Arizona and we express no opinion concerning any law other than the law of the State of Arizona, the corporation laws of the State of Delaware and the federal law of the United States. As to matters of Delaware corporation law, we have based our opinion solely upon our examination of such laws and the rules and regulations of the authorities administering such laws, all as reported in standard, unofficial compilations. We have not obtained opinions of counsel licensed to practice in jurisdictions other than the State of Arizona.</w:t>
      </w:r>
    </w:p>
    <w:p>
      <w:pPr>
        <w:spacing w:after="0" w:line="138" w:lineRule="exact"/>
        <w:rPr>
          <w:sz w:val="20"/>
          <w:szCs w:val="20"/>
          <w:color w:val="auto"/>
        </w:rPr>
      </w:pPr>
    </w:p>
    <w:p>
      <w:pPr>
        <w:ind w:right="619"/>
        <w:spacing w:after="0" w:line="308" w:lineRule="auto"/>
        <w:rPr>
          <w:sz w:val="20"/>
          <w:szCs w:val="20"/>
          <w:color w:val="auto"/>
        </w:rPr>
      </w:pPr>
      <w:r>
        <w:rPr>
          <w:rFonts w:ascii="Arial" w:cs="Arial" w:eastAsia="Arial" w:hAnsi="Arial"/>
          <w:sz w:val="17"/>
          <w:szCs w:val="17"/>
          <w:color w:val="auto"/>
        </w:rPr>
        <w:t>Based on such examination, we are of the opinion that the Shares, when issued and sold in the manner referred to in the Plan and pursuant to the agreements that accompany the Plan, will be validly issued, fully paid and nonassessable.</w:t>
      </w:r>
    </w:p>
    <w:p>
      <w:pPr>
        <w:spacing w:after="0" w:line="106" w:lineRule="exact"/>
        <w:rPr>
          <w:sz w:val="20"/>
          <w:szCs w:val="20"/>
          <w:color w:val="auto"/>
        </w:rPr>
      </w:pPr>
    </w:p>
    <w:p>
      <w:pPr>
        <w:ind w:right="659"/>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referred to above and the use of our name wherever it appears in said Registration Statement. In giving this consent, we do not admit that we are within the category of persons whose consent is required under Section 7 of the Securities Act, the rules and regulations of the Securities and Exchange Commission promulgated thereunder or Item 509 of Regulation S K.</w:t>
      </w:r>
    </w:p>
    <w:p>
      <w:pPr>
        <w:spacing w:after="0" w:line="160" w:lineRule="exact"/>
        <w:rPr>
          <w:sz w:val="20"/>
          <w:szCs w:val="20"/>
          <w:color w:val="auto"/>
        </w:rPr>
      </w:pPr>
    </w:p>
    <w:p>
      <w:pPr>
        <w:ind w:right="759"/>
        <w:spacing w:after="0" w:line="259" w:lineRule="auto"/>
        <w:rPr>
          <w:sz w:val="20"/>
          <w:szCs w:val="20"/>
          <w:color w:val="auto"/>
        </w:rPr>
      </w:pPr>
      <w:r>
        <w:rPr>
          <w:rFonts w:ascii="Arial" w:cs="Arial" w:eastAsia="Arial" w:hAnsi="Arial"/>
          <w:sz w:val="18"/>
          <w:szCs w:val="18"/>
          <w:color w:val="auto"/>
        </w:rPr>
        <w:t>This opinion letter is given to you solely for use in connection with the issuance of the Shares in accordance with the Registration Statement and is not to be relied on for any other purpose. Our opinion is expressly limited to the matters set forth above, and we render no opinion, whether by implication or otherwise, as to any other matters relating to the Company, the Shares or the Registration Statement.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DLA Piper LLP (US)</w:t>
      </w:r>
    </w:p>
    <w:p>
      <w:pPr>
        <w:sectPr>
          <w:pgSz w:w="11900" w:h="16838" w:orient="portrait"/>
          <w:cols w:equalWidth="0" w:num="1">
            <w:col w:w="9879"/>
          </w:cols>
          <w:pgMar w:left="580" w:top="121" w:right="1440" w:bottom="1440" w:gutter="0" w:footer="0" w:header="0"/>
        </w:sectPr>
      </w:pPr>
    </w:p>
    <w:bookmarkStart w:id="9" w:name="page10"/>
    <w:bookmarkEnd w:id="9"/>
    <w:p>
      <w:pPr>
        <w:jc w:val="right"/>
        <w:ind w:right="559"/>
        <w:spacing w:after="0"/>
        <w:rPr>
          <w:sz w:val="20"/>
          <w:szCs w:val="20"/>
          <w:color w:val="auto"/>
        </w:rPr>
      </w:pPr>
      <w:r>
        <w:rPr>
          <w:rFonts w:ascii="Arial" w:cs="Arial" w:eastAsia="Arial" w:hAnsi="Arial"/>
          <w:sz w:val="18"/>
          <w:szCs w:val="18"/>
          <w:b w:val="1"/>
          <w:bCs w:val="1"/>
          <w:u w:val="single" w:color="auto"/>
          <w:color w:val="auto"/>
        </w:rPr>
        <w:t>EXHIBIT 23.1</w:t>
      </w:r>
    </w:p>
    <w:p>
      <w:pPr>
        <w:spacing w:after="0" w:line="18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ind w:right="759"/>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Grand Canyon Education, Inc. 2008 Equity Incentive Plan of our reports dated February 18, 2010, with respect to the financial statements of Grand Canyon Education, Inc., and the effectiveness of internal control over financial reporting of Grand Canyon Education, Inc., included in its Annual Report (Form 10-K) for the year ended December 31, 2009, filed with the Securities and Exchange Commission.</w:t>
      </w:r>
    </w:p>
    <w:p>
      <w:pPr>
        <w:spacing w:after="0" w:line="18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2010</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238E1F29"/>
    <w:multiLevelType w:val="hybridMultilevel"/>
    <w:lvl w:ilvl="0">
      <w:lvlJc w:val="left"/>
      <w:lvlText w:val="%1"/>
      <w:numFmt w:val="lowerLetter"/>
      <w:start w:val="1"/>
    </w:lvl>
    <w:lvl w:ilvl="1">
      <w:lvlJc w:val="left"/>
      <w:lvlText w:val="%2."/>
      <w:numFmt w:val="decimal"/>
      <w:start w:val="2"/>
    </w:lvl>
  </w:abstractNum>
  <w:abstractNum w:abstractNumId="4">
    <w:nsid w:val="46E87CCD"/>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2019-12-11T05:41:54Z</dcterms:created>
  <dcterms:modified xsi:type="dcterms:W3CDTF">2019-12-11T05:41:54Z</dcterms:modified>
</cp:coreProperties>
</file>