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22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00" w:type="dxa"/>
            <w:vAlign w:val="bottom"/>
            <w:gridSpan w:val="3"/>
          </w:tcPr>
          <w:p>
            <w:pPr>
              <w:spacing w:after="0"/>
              <w:rPr>
                <w:sz w:val="20"/>
                <w:szCs w:val="20"/>
                <w:color w:val="auto"/>
              </w:rPr>
            </w:pPr>
            <w:r>
              <w:rPr>
                <w:rFonts w:ascii="Arial" w:cs="Arial" w:eastAsia="Arial" w:hAnsi="Arial"/>
                <w:sz w:val="14"/>
                <w:szCs w:val="14"/>
                <w:color w:val="FFFFFF"/>
              </w:rPr>
              <w:t>IMPORTANT ANNUAL MEETING INFORMATION</w:t>
            </w: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Vote by Internet</w:t>
            </w:r>
          </w:p>
        </w:tc>
        <w:tc>
          <w:tcPr>
            <w:tcW w:w="9280" w:type="dxa"/>
            <w:vAlign w:val="bottom"/>
          </w:tcPr>
          <w:p>
            <w:pPr>
              <w:spacing w:after="0"/>
              <w:rPr>
                <w:sz w:val="3"/>
                <w:szCs w:val="3"/>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Go to www.envisionreports.com/LOPE</w:t>
            </w: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Or scan the QR code with your smartphone</w:t>
            </w: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Follow the steps outlined on the secure website</w:t>
            </w: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Stockholder Me ting Notice</w:t>
            </w:r>
          </w:p>
        </w:tc>
        <w:tc>
          <w:tcPr>
            <w:tcW w:w="9280" w:type="dxa"/>
            <w:vAlign w:val="bottom"/>
          </w:tcPr>
          <w:p>
            <w:pPr>
              <w:spacing w:after="0"/>
              <w:rPr>
                <w:sz w:val="3"/>
                <w:szCs w:val="3"/>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Important Notice Regarding the Availability of Proxy Materials for the</w:t>
            </w: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Grand Canyon Education, Inc. Stockholder Meeting to be Held on May 17, 2012</w:t>
            </w: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Under Securities and Exchange</w:t>
            </w:r>
          </w:p>
        </w:tc>
        <w:tc>
          <w:tcPr>
            <w:tcW w:w="9280" w:type="dxa"/>
            <w:vAlign w:val="bottom"/>
          </w:tcPr>
          <w:p>
            <w:pPr>
              <w:ind w:left="440"/>
              <w:spacing w:after="0"/>
              <w:rPr>
                <w:sz w:val="20"/>
                <w:szCs w:val="20"/>
                <w:color w:val="auto"/>
              </w:rPr>
            </w:pPr>
            <w:r>
              <w:rPr>
                <w:rFonts w:ascii="Arial" w:cs="Arial" w:eastAsia="Arial" w:hAnsi="Arial"/>
                <w:sz w:val="3"/>
                <w:szCs w:val="3"/>
                <w:color w:val="FFFFFF"/>
              </w:rPr>
              <w:t>rules, you are receiving this notice that the proxy materials for the an ual</w:t>
            </w: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stockholders’ meeting are available</w:t>
            </w:r>
          </w:p>
        </w:tc>
        <w:tc>
          <w:tcPr>
            <w:tcW w:w="9280" w:type="dxa"/>
            <w:vAlign w:val="bottom"/>
          </w:tcPr>
          <w:p>
            <w:pPr>
              <w:ind w:left="100"/>
              <w:spacing w:after="0"/>
              <w:rPr>
                <w:sz w:val="20"/>
                <w:szCs w:val="20"/>
                <w:color w:val="auto"/>
              </w:rPr>
            </w:pPr>
            <w:r>
              <w:rPr>
                <w:rFonts w:ascii="Arial" w:cs="Arial" w:eastAsia="Arial" w:hAnsi="Arial"/>
                <w:sz w:val="3"/>
                <w:szCs w:val="3"/>
                <w:color w:val="FFFFFF"/>
              </w:rPr>
              <w:t>the Internet. Follow the instructions below to view the materials and vote online</w:t>
            </w: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request</w:t>
            </w:r>
          </w:p>
        </w:tc>
        <w:tc>
          <w:tcPr>
            <w:tcW w:w="10900" w:type="dxa"/>
            <w:vAlign w:val="bottom"/>
            <w:gridSpan w:val="2"/>
          </w:tcPr>
          <w:p>
            <w:pPr>
              <w:ind w:left="120"/>
              <w:spacing w:after="0"/>
              <w:rPr>
                <w:sz w:val="20"/>
                <w:szCs w:val="20"/>
                <w:color w:val="auto"/>
              </w:rPr>
            </w:pPr>
            <w:r>
              <w:rPr>
                <w:rFonts w:ascii="Arial" w:cs="Arial" w:eastAsia="Arial" w:hAnsi="Arial"/>
                <w:sz w:val="3"/>
                <w:szCs w:val="3"/>
                <w:color w:val="FFFFFF"/>
              </w:rPr>
              <w:t>copy. The items to be votedCommissionand location of the annual meeting are on the reverse side. Your vote is important!</w:t>
            </w: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This communication presents only an overview of the more complete proxy materials that are available to you on the Internet. We encourage you to access and review all of the important information contained</w:t>
            </w: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in the proxy materials before voting. The proxy statement and annual report to stockholders are available at:</w:t>
            </w: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www.envisionreports.com/LOPE</w:t>
            </w:r>
          </w:p>
        </w:tc>
        <w:tc>
          <w:tcPr>
            <w:tcW w:w="9280" w:type="dxa"/>
            <w:vAlign w:val="bottom"/>
          </w:tcPr>
          <w:p>
            <w:pPr>
              <w:spacing w:after="0"/>
              <w:rPr>
                <w:sz w:val="3"/>
                <w:szCs w:val="3"/>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Easy Online Access — A Convenient Way to View Proxy Materials and Vote</w:t>
            </w: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When you go online to view materials, you can also vote your shares. Step 1: Go to www.envisionreports.com/LOPE to view the materials.</w:t>
            </w:r>
          </w:p>
        </w:tc>
      </w:tr>
      <w:tr>
        <w:trPr>
          <w:trHeight w:val="41"/>
        </w:trPr>
        <w:tc>
          <w:tcPr>
            <w:tcW w:w="11300" w:type="dxa"/>
            <w:vAlign w:val="bottom"/>
            <w:gridSpan w:val="3"/>
          </w:tcPr>
          <w:p>
            <w:pPr>
              <w:ind w:left="280"/>
              <w:spacing w:after="0"/>
              <w:rPr>
                <w:sz w:val="20"/>
                <w:szCs w:val="20"/>
                <w:color w:val="auto"/>
              </w:rPr>
            </w:pPr>
            <w:r>
              <w:rPr>
                <w:rFonts w:ascii="Arial" w:cs="Arial" w:eastAsia="Arial" w:hAnsi="Arial"/>
                <w:sz w:val="3"/>
                <w:szCs w:val="3"/>
                <w:color w:val="FFFFFF"/>
              </w:rPr>
              <w:t>2: Click on Cast Your Vote or Request Materials.</w:t>
            </w:r>
          </w:p>
        </w:tc>
      </w:tr>
      <w:tr>
        <w:trPr>
          <w:trHeight w:val="41"/>
        </w:trPr>
        <w:tc>
          <w:tcPr>
            <w:tcW w:w="400" w:type="dxa"/>
            <w:vAlign w:val="bottom"/>
          </w:tcPr>
          <w:p>
            <w:pPr>
              <w:ind w:left="280"/>
              <w:spacing w:after="0"/>
              <w:rPr>
                <w:sz w:val="20"/>
                <w:szCs w:val="20"/>
                <w:color w:val="auto"/>
              </w:rPr>
            </w:pPr>
            <w:r>
              <w:rPr>
                <w:rFonts w:ascii="Arial" w:cs="Arial" w:eastAsia="Arial" w:hAnsi="Arial"/>
                <w:sz w:val="3"/>
                <w:szCs w:val="3"/>
                <w:color w:val="FFFFFF"/>
              </w:rPr>
              <w:t>3:</w:t>
            </w:r>
          </w:p>
        </w:tc>
        <w:tc>
          <w:tcPr>
            <w:tcW w:w="10900" w:type="dxa"/>
            <w:vAlign w:val="bottom"/>
            <w:gridSpan w:val="2"/>
          </w:tcPr>
          <w:p>
            <w:pPr>
              <w:ind w:left="20"/>
              <w:spacing w:after="0"/>
              <w:rPr>
                <w:sz w:val="20"/>
                <w:szCs w:val="20"/>
                <w:color w:val="auto"/>
              </w:rPr>
            </w:pPr>
            <w:r>
              <w:rPr>
                <w:rFonts w:ascii="Arial" w:cs="Arial" w:eastAsia="Arial" w:hAnsi="Arial"/>
                <w:sz w:val="3"/>
                <w:szCs w:val="3"/>
                <w:color w:val="FFFFFF"/>
              </w:rPr>
              <w:t>Follow the instructions on the screen to log in.</w:t>
            </w:r>
          </w:p>
        </w:tc>
      </w:tr>
      <w:tr>
        <w:trPr>
          <w:trHeight w:val="0"/>
        </w:trPr>
        <w:tc>
          <w:tcPr>
            <w:tcW w:w="400" w:type="dxa"/>
            <w:vAlign w:val="bottom"/>
          </w:tcPr>
          <w:p>
            <w:pPr>
              <w:spacing w:after="0"/>
              <w:rPr>
                <w:sz w:val="20"/>
                <w:szCs w:val="20"/>
                <w:color w:val="auto"/>
              </w:rPr>
            </w:pPr>
            <w:r>
              <w:rPr>
                <w:rFonts w:ascii="Arial" w:cs="Arial" w:eastAsia="Arial" w:hAnsi="Arial"/>
                <w:sz w:val="3"/>
                <w:szCs w:val="3"/>
                <w:color w:val="FFFFFF"/>
              </w:rPr>
              <w:t>Step 4:</w:t>
            </w:r>
          </w:p>
        </w:tc>
        <w:tc>
          <w:tcPr>
            <w:tcW w:w="10900" w:type="dxa"/>
            <w:vAlign w:val="bottom"/>
            <w:gridSpan w:val="2"/>
          </w:tcPr>
          <w:p>
            <w:pPr>
              <w:ind w:left="20"/>
              <w:spacing w:after="0"/>
              <w:rPr>
                <w:sz w:val="20"/>
                <w:szCs w:val="20"/>
                <w:color w:val="auto"/>
              </w:rPr>
            </w:pPr>
            <w:r>
              <w:rPr>
                <w:rFonts w:ascii="Arial" w:cs="Arial" w:eastAsia="Arial" w:hAnsi="Arial"/>
                <w:sz w:val="3"/>
                <w:szCs w:val="3"/>
                <w:color w:val="FFFFFF"/>
              </w:rPr>
              <w:t>Make your selection as instructed on each screen to select delivery preferences and vote.</w:t>
            </w:r>
          </w:p>
        </w:tc>
      </w:tr>
    </w:tbl>
    <w:p>
      <w:pPr>
        <w:spacing w:after="0" w:line="25" w:lineRule="auto"/>
        <w:rPr>
          <w:sz w:val="20"/>
          <w:szCs w:val="20"/>
          <w:color w:val="auto"/>
        </w:rPr>
      </w:pPr>
      <w:r>
        <w:rPr>
          <w:rFonts w:ascii="Arial" w:cs="Arial" w:eastAsia="Arial" w:hAnsi="Arial"/>
          <w:sz w:val="1"/>
          <w:szCs w:val="1"/>
          <w:color w:val="FFFFFF"/>
        </w:rPr>
        <w:t>When you go online, you can also help the environment by consenting to receive electronic delivery of future materials.</w:t>
      </w:r>
    </w:p>
    <w:p>
      <w:pPr>
        <w:spacing w:after="0" w:line="211" w:lineRule="auto"/>
        <w:rPr>
          <w:sz w:val="20"/>
          <w:szCs w:val="20"/>
          <w:color w:val="auto"/>
        </w:rPr>
      </w:pPr>
      <w:r>
        <w:rPr>
          <w:rFonts w:ascii="Arial" w:cs="Arial" w:eastAsia="Arial" w:hAnsi="Arial"/>
          <w:sz w:val="2"/>
          <w:szCs w:val="2"/>
          <w:color w:val="FFFFFF"/>
        </w:rPr>
        <w:t>Obtaining a Copy of the Proxy Materials - If you want to receive</w:t>
      </w:r>
      <w:r>
        <w:rPr>
          <w:rFonts w:ascii="Arial" w:cs="Arial" w:eastAsia="Arial" w:hAnsi="Arial"/>
          <w:sz w:val="4"/>
          <w:szCs w:val="4"/>
          <w:color w:val="FFFFFF"/>
          <w:vertAlign w:val="subscript"/>
        </w:rPr>
        <w:t>facilitate</w:t>
      </w:r>
      <w:r>
        <w:rPr>
          <w:rFonts w:ascii="Arial" w:cs="Arial" w:eastAsia="Arial" w:hAnsi="Arial"/>
          <w:sz w:val="2"/>
          <w:szCs w:val="2"/>
          <w:color w:val="FFFFFF"/>
        </w:rPr>
        <w:t>copy of these documents, you must request one. There is no charge to you for requesting a copy. Please make your request for a copy as</w:t>
      </w:r>
    </w:p>
    <w:p>
      <w:pPr>
        <w:spacing w:after="0"/>
        <w:tabs>
          <w:tab w:leader="none" w:pos="3660" w:val="left"/>
        </w:tabs>
        <w:rPr>
          <w:sz w:val="20"/>
          <w:szCs w:val="20"/>
          <w:color w:val="auto"/>
        </w:rPr>
      </w:pPr>
      <w:r>
        <w:rPr>
          <w:rFonts w:ascii="Arial" w:cs="Arial" w:eastAsia="Arial" w:hAnsi="Arial"/>
          <w:sz w:val="14"/>
          <w:szCs w:val="14"/>
          <w:color w:val="FFFFFF"/>
        </w:rPr>
        <w:t>instructed on the reverse side on or before May 7, 2012 to</w:t>
      </w:r>
      <w:r>
        <w:rPr>
          <w:sz w:val="20"/>
          <w:szCs w:val="20"/>
          <w:color w:val="auto"/>
        </w:rPr>
        <w:tab/>
      </w:r>
      <w:r>
        <w:rPr>
          <w:rFonts w:ascii="Arial" w:cs="Arial" w:eastAsia="Arial" w:hAnsi="Arial"/>
          <w:sz w:val="12"/>
          <w:szCs w:val="12"/>
          <w:color w:val="FFFFFF"/>
        </w:rPr>
        <w:t>timely delivery.</w:t>
      </w:r>
    </w:p>
    <w:p>
      <w:pPr>
        <w:sectPr>
          <w:pgSz w:w="11900" w:h="16838" w:orient="portrait"/>
          <w:cols w:equalWidth="0" w:num="1">
            <w:col w:w="11300"/>
          </w:cols>
          <w:pgMar w:left="24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color w:val="FFFFFF"/>
              </w:rPr>
              <w:t>Stockholder Meeting Notice</w:t>
            </w:r>
          </w:p>
        </w:tc>
        <w:tc>
          <w:tcPr>
            <w:tcW w:w="9220" w:type="dxa"/>
            <w:vAlign w:val="bottom"/>
            <w:gridSpan w:val="2"/>
            <w:vMerge w:val="restart"/>
          </w:tcPr>
          <w:p>
            <w:pPr>
              <w:jc w:val="right"/>
              <w:spacing w:after="0"/>
              <w:rPr>
                <w:sz w:val="20"/>
                <w:szCs w:val="20"/>
                <w:color w:val="auto"/>
              </w:rPr>
            </w:pPr>
            <w:r>
              <w:rPr>
                <w:rFonts w:ascii="Arial" w:cs="Arial" w:eastAsia="Arial" w:hAnsi="Arial"/>
                <w:sz w:val="14"/>
                <w:szCs w:val="14"/>
                <w:color w:val="FFFFFF"/>
                <w:w w:val="89"/>
              </w:rPr>
              <w:t>Meeting of Shareholders will be held on May 17, 2012 at the Grand Canyon University Arena on the campus of Grand Canyon University at 3300 W. Camelback Road,</w:t>
            </w: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Grand Canyon Education, Inc’s.</w:t>
            </w:r>
          </w:p>
        </w:tc>
        <w:tc>
          <w:tcPr>
            <w:tcW w:w="9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60" w:type="dxa"/>
            <w:vAlign w:val="bottom"/>
            <w:gridSpan w:val="3"/>
          </w:tcPr>
          <w:p>
            <w:pPr>
              <w:ind w:left="80"/>
              <w:spacing w:after="0"/>
              <w:rPr>
                <w:sz w:val="20"/>
                <w:szCs w:val="20"/>
                <w:color w:val="auto"/>
              </w:rPr>
            </w:pPr>
            <w:r>
              <w:rPr>
                <w:rFonts w:ascii="Arial" w:cs="Arial" w:eastAsia="Arial" w:hAnsi="Arial"/>
                <w:sz w:val="3"/>
                <w:szCs w:val="3"/>
                <w:color w:val="FFFFFF"/>
              </w:rPr>
              <w:t>hoenix, Arizona 85017 at 10:00Annual.Mountain Time.</w:t>
            </w:r>
          </w:p>
        </w:tc>
        <w:tc>
          <w:tcPr>
            <w:tcW w:w="6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Proposals to be voted on at the meeting are listed below along with the Board of Directors’ recommendations.</w:t>
            </w: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The Board of Directors recommends</w:t>
            </w:r>
          </w:p>
        </w:tc>
        <w:tc>
          <w:tcPr>
            <w:tcW w:w="3180" w:type="dxa"/>
            <w:vAlign w:val="bottom"/>
          </w:tcPr>
          <w:p>
            <w:pPr>
              <w:jc w:val="right"/>
              <w:ind w:right="497"/>
              <w:spacing w:after="0"/>
              <w:rPr>
                <w:sz w:val="20"/>
                <w:szCs w:val="20"/>
                <w:color w:val="auto"/>
              </w:rPr>
            </w:pPr>
            <w:r>
              <w:rPr>
                <w:rFonts w:ascii="Arial" w:cs="Arial" w:eastAsia="Arial" w:hAnsi="Arial"/>
                <w:sz w:val="3"/>
                <w:szCs w:val="3"/>
                <w:color w:val="FFFFFF"/>
              </w:rPr>
              <w:t>vote FOR all nominees, FOR Proposals 2 and 3:</w:t>
            </w:r>
          </w:p>
        </w:tc>
        <w:tc>
          <w:tcPr>
            <w:tcW w:w="6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1. Election of Directors: Brent D. Richardson, Brian E. Mueller, Chad N. Heath, D. Mark Dorman, David J. Johnson, Jack A. Henry,</w:t>
            </w: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Bradley A. Casper.</w:t>
            </w:r>
          </w:p>
        </w:tc>
        <w:tc>
          <w:tcPr>
            <w:tcW w:w="3180" w:type="dxa"/>
            <w:vAlign w:val="bottom"/>
          </w:tcPr>
          <w:p>
            <w:pPr>
              <w:spacing w:after="0"/>
              <w:rPr>
                <w:sz w:val="3"/>
                <w:szCs w:val="3"/>
                <w:color w:val="auto"/>
              </w:rPr>
            </w:pPr>
          </w:p>
        </w:tc>
        <w:tc>
          <w:tcPr>
            <w:tcW w:w="6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00" w:type="dxa"/>
            <w:vAlign w:val="bottom"/>
          </w:tcPr>
          <w:p>
            <w:pPr>
              <w:spacing w:after="0"/>
              <w:rPr>
                <w:sz w:val="20"/>
                <w:szCs w:val="20"/>
                <w:color w:val="auto"/>
              </w:rPr>
            </w:pPr>
            <w:r>
              <w:rPr>
                <w:rFonts w:ascii="Arial" w:cs="Arial" w:eastAsia="Arial" w:hAnsi="Arial"/>
                <w:sz w:val="3"/>
                <w:szCs w:val="3"/>
                <w:color w:val="FFFFFF"/>
              </w:rPr>
              <w:t>2</w:t>
            </w:r>
          </w:p>
        </w:tc>
        <w:tc>
          <w:tcPr>
            <w:tcW w:w="4960" w:type="dxa"/>
            <w:vAlign w:val="bottom"/>
            <w:gridSpan w:val="2"/>
          </w:tcPr>
          <w:p>
            <w:pPr>
              <w:jc w:val="right"/>
              <w:ind w:right="497"/>
              <w:spacing w:after="0"/>
              <w:rPr>
                <w:sz w:val="20"/>
                <w:szCs w:val="20"/>
                <w:color w:val="auto"/>
              </w:rPr>
            </w:pPr>
            <w:r>
              <w:rPr>
                <w:rFonts w:ascii="Arial" w:cs="Arial" w:eastAsia="Arial" w:hAnsi="Arial"/>
                <w:sz w:val="3"/>
                <w:szCs w:val="3"/>
                <w:color w:val="FFFFFF"/>
              </w:rPr>
              <w:t>approve, on an advisory basis, the compensation of our named executive officers.</w:t>
            </w:r>
          </w:p>
        </w:tc>
        <w:tc>
          <w:tcPr>
            <w:tcW w:w="6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3. To ratify the appointment of Ernst &amp; Young LLP as our independent registered public accounting firm for the fiscal year ending</w:t>
            </w: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December 31, 2012.</w:t>
            </w:r>
          </w:p>
        </w:tc>
        <w:tc>
          <w:tcPr>
            <w:tcW w:w="3180" w:type="dxa"/>
            <w:vAlign w:val="bottom"/>
          </w:tcPr>
          <w:p>
            <w:pPr>
              <w:spacing w:after="0"/>
              <w:rPr>
                <w:sz w:val="3"/>
                <w:szCs w:val="3"/>
                <w:color w:val="auto"/>
              </w:rPr>
            </w:pPr>
          </w:p>
        </w:tc>
        <w:tc>
          <w:tcPr>
            <w:tcW w:w="6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PLEASE NOTE - YOU CANNOT VOTE BY RETURNING THIS NOTICE. To vote your shares you must vote online or request a paper copy of the proxy materials to receive a proxy card. If you wish to</w:t>
            </w:r>
          </w:p>
        </w:tc>
        <w:tc>
          <w:tcPr>
            <w:tcW w:w="0" w:type="dxa"/>
            <w:vAlign w:val="bottom"/>
          </w:tcPr>
          <w:p>
            <w:pPr>
              <w:spacing w:after="0"/>
              <w:rPr>
                <w:sz w:val="1"/>
                <w:szCs w:val="1"/>
                <w:color w:val="auto"/>
              </w:rPr>
            </w:pPr>
          </w:p>
        </w:tc>
      </w:tr>
      <w:tr>
        <w:trPr>
          <w:trHeight w:val="41"/>
        </w:trPr>
        <w:tc>
          <w:tcPr>
            <w:tcW w:w="5260" w:type="dxa"/>
            <w:vAlign w:val="bottom"/>
            <w:gridSpan w:val="3"/>
          </w:tcPr>
          <w:p>
            <w:pPr>
              <w:spacing w:after="0"/>
              <w:rPr>
                <w:sz w:val="20"/>
                <w:szCs w:val="20"/>
                <w:color w:val="auto"/>
              </w:rPr>
            </w:pPr>
            <w:r>
              <w:rPr>
                <w:rFonts w:ascii="Arial" w:cs="Arial" w:eastAsia="Arial" w:hAnsi="Arial"/>
                <w:sz w:val="3"/>
                <w:szCs w:val="3"/>
                <w:color w:val="FFFFFF"/>
              </w:rPr>
              <w:t>attend and vote at the meeting, please bring this notice with you.</w:t>
            </w:r>
          </w:p>
        </w:tc>
        <w:tc>
          <w:tcPr>
            <w:tcW w:w="6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60" w:type="dxa"/>
            <w:vAlign w:val="bottom"/>
            <w:gridSpan w:val="3"/>
          </w:tcPr>
          <w:p>
            <w:pPr>
              <w:spacing w:after="0"/>
              <w:rPr>
                <w:sz w:val="20"/>
                <w:szCs w:val="20"/>
                <w:color w:val="auto"/>
              </w:rPr>
            </w:pPr>
            <w:r>
              <w:rPr>
                <w:rFonts w:ascii="Arial" w:cs="Arial" w:eastAsia="Arial" w:hAnsi="Arial"/>
                <w:sz w:val="3"/>
                <w:szCs w:val="3"/>
                <w:color w:val="FFFFFF"/>
              </w:rPr>
              <w:t>Her ’s how to order a copy of the proxy materials and select a future delivery preference:</w:t>
            </w:r>
          </w:p>
        </w:tc>
        <w:tc>
          <w:tcPr>
            <w:tcW w:w="6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Paper copies: Current and future paper delivery requests can be submitted via the telephone, Internet or email options below. Email copies: Current and future email delivery requests must be submitted via the</w:t>
            </w:r>
          </w:p>
        </w:tc>
        <w:tc>
          <w:tcPr>
            <w:tcW w:w="0" w:type="dxa"/>
            <w:vAlign w:val="bottom"/>
          </w:tcPr>
          <w:p>
            <w:pPr>
              <w:spacing w:after="0"/>
              <w:rPr>
                <w:sz w:val="1"/>
                <w:szCs w:val="1"/>
                <w:color w:val="auto"/>
              </w:rPr>
            </w:pPr>
          </w:p>
        </w:tc>
      </w:tr>
      <w:tr>
        <w:trPr>
          <w:trHeight w:val="41"/>
        </w:trPr>
        <w:tc>
          <w:tcPr>
            <w:tcW w:w="5260" w:type="dxa"/>
            <w:vAlign w:val="bottom"/>
            <w:gridSpan w:val="3"/>
          </w:tcPr>
          <w:p>
            <w:pPr>
              <w:ind w:left="60"/>
              <w:spacing w:after="0"/>
              <w:rPr>
                <w:sz w:val="20"/>
                <w:szCs w:val="20"/>
                <w:color w:val="auto"/>
              </w:rPr>
            </w:pPr>
            <w:r>
              <w:rPr>
                <w:rFonts w:ascii="Arial" w:cs="Arial" w:eastAsia="Arial" w:hAnsi="Arial"/>
                <w:sz w:val="3"/>
                <w:szCs w:val="3"/>
                <w:color w:val="FFFFFF"/>
              </w:rPr>
              <w:t>nternet followi g the instructions below.</w:t>
            </w:r>
          </w:p>
        </w:tc>
        <w:tc>
          <w:tcPr>
            <w:tcW w:w="6040" w:type="dxa"/>
            <w:vAlign w:val="bottom"/>
            <w:vMerge w:val="restart"/>
          </w:tcPr>
          <w:p>
            <w:pPr>
              <w:jc w:val="right"/>
              <w:ind w:right="5695"/>
              <w:spacing w:after="0" w:line="81" w:lineRule="exact"/>
              <w:rPr>
                <w:sz w:val="20"/>
                <w:szCs w:val="20"/>
                <w:color w:val="auto"/>
              </w:rPr>
            </w:pPr>
            <w:r>
              <w:rPr>
                <w:rFonts w:ascii="Arial" w:cs="Arial" w:eastAsia="Arial" w:hAnsi="Arial"/>
                <w:sz w:val="9"/>
                <w:szCs w:val="9"/>
                <w:color w:val="FFFFFF"/>
              </w:rPr>
              <w:t>.</w:t>
            </w:r>
          </w:p>
        </w:tc>
        <w:tc>
          <w:tcPr>
            <w:tcW w:w="0" w:type="dxa"/>
            <w:vAlign w:val="bottom"/>
          </w:tcPr>
          <w:p>
            <w:pPr>
              <w:spacing w:after="0"/>
              <w:rPr>
                <w:sz w:val="1"/>
                <w:szCs w:val="1"/>
                <w:color w:val="auto"/>
              </w:rPr>
            </w:pPr>
          </w:p>
        </w:tc>
      </w:tr>
      <w:tr>
        <w:trPr>
          <w:trHeight w:val="41"/>
        </w:trPr>
        <w:tc>
          <w:tcPr>
            <w:tcW w:w="5260" w:type="dxa"/>
            <w:vAlign w:val="bottom"/>
            <w:gridSpan w:val="3"/>
          </w:tcPr>
          <w:p>
            <w:pPr>
              <w:spacing w:after="0"/>
              <w:rPr>
                <w:sz w:val="20"/>
                <w:szCs w:val="20"/>
                <w:color w:val="auto"/>
              </w:rPr>
            </w:pPr>
            <w:r>
              <w:rPr>
                <w:rFonts w:ascii="Arial" w:cs="Arial" w:eastAsia="Arial" w:hAnsi="Arial"/>
                <w:sz w:val="3"/>
                <w:szCs w:val="3"/>
                <w:color w:val="FFFFFF"/>
              </w:rPr>
              <w:t>If you request an email copy of current materials you will receive an email with a link to the</w:t>
            </w:r>
          </w:p>
        </w:tc>
        <w:tc>
          <w:tcPr>
            <w:tcW w:w="6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PLEASE NOTE: You must use the number in the shaded bar on the reverse side when requestingmaterialsset of proxy materials.</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g Internet - Go to www.envisionreports.com/LOPE. Click Cast Your Vote or Request Materials. Follow the instructions to log in and order a</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copy of the current meeting materials and submit your preference for email or paper delivery of future meeting materials.</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g Telephone - Call us free of charge at 1-866-641-4276 and follow the instructions to log in and order a paper copy of the materials by</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mail for the current meeting. You can also submit  preference to receive  paper copy for future meetings.</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g Email - Send email to investorvote@computershare.com with “Proxy Materials Grand Canyon Education, Inc.” in the subject line. Include</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in the message your full name and address, plus the number located in the shaded bar on the reverse, and state in the email that you</w:t>
            </w:r>
          </w:p>
        </w:tc>
        <w:tc>
          <w:tcPr>
            <w:tcW w:w="0" w:type="dxa"/>
            <w:vAlign w:val="bottom"/>
          </w:tcPr>
          <w:p>
            <w:pPr>
              <w:spacing w:after="0"/>
              <w:rPr>
                <w:sz w:val="1"/>
                <w:szCs w:val="1"/>
                <w:color w:val="auto"/>
              </w:rPr>
            </w:pPr>
          </w:p>
        </w:tc>
      </w:tr>
      <w:tr>
        <w:trPr>
          <w:trHeight w:val="0"/>
        </w:trPr>
        <w:tc>
          <w:tcPr>
            <w:tcW w:w="300" w:type="dxa"/>
            <w:vAlign w:val="bottom"/>
          </w:tcPr>
          <w:p>
            <w:pPr>
              <w:spacing w:after="0" w:line="80" w:lineRule="exact"/>
              <w:rPr>
                <w:sz w:val="20"/>
                <w:szCs w:val="20"/>
                <w:color w:val="auto"/>
              </w:rPr>
            </w:pPr>
            <w:r>
              <w:rPr>
                <w:rFonts w:ascii="Arial" w:cs="Arial" w:eastAsia="Arial" w:hAnsi="Arial"/>
                <w:sz w:val="9"/>
                <w:szCs w:val="9"/>
                <w:color w:val="FFFFFF"/>
              </w:rPr>
              <w:t>want</w:t>
            </w:r>
          </w:p>
        </w:tc>
        <w:tc>
          <w:tcPr>
            <w:tcW w:w="1780" w:type="dxa"/>
            <w:vAlign w:val="bottom"/>
          </w:tcPr>
          <w:p>
            <w:pPr>
              <w:ind w:left="100"/>
              <w:spacing w:after="0" w:line="80" w:lineRule="exact"/>
              <w:rPr>
                <w:sz w:val="20"/>
                <w:szCs w:val="20"/>
                <w:color w:val="auto"/>
              </w:rPr>
            </w:pPr>
            <w:r>
              <w:rPr>
                <w:rFonts w:ascii="Arial" w:cs="Arial" w:eastAsia="Arial" w:hAnsi="Arial"/>
                <w:sz w:val="9"/>
                <w:szCs w:val="9"/>
                <w:color w:val="FFFFFF"/>
              </w:rPr>
              <w:t>paper copy of current meeting</w:t>
            </w:r>
          </w:p>
        </w:tc>
        <w:tc>
          <w:tcPr>
            <w:tcW w:w="9220" w:type="dxa"/>
            <w:vAlign w:val="bottom"/>
            <w:gridSpan w:val="2"/>
          </w:tcPr>
          <w:p>
            <w:pPr>
              <w:jc w:val="right"/>
              <w:ind w:right="4395"/>
              <w:spacing w:after="0" w:line="80" w:lineRule="exact"/>
              <w:rPr>
                <w:sz w:val="20"/>
                <w:szCs w:val="20"/>
                <w:color w:val="auto"/>
              </w:rPr>
            </w:pPr>
            <w:r>
              <w:rPr>
                <w:rFonts w:ascii="Arial" w:cs="Arial" w:eastAsia="Arial" w:hAnsi="Arial"/>
                <w:sz w:val="9"/>
                <w:szCs w:val="9"/>
                <w:color w:val="FFFFFF"/>
              </w:rPr>
              <w:t>. You can also state your preference to receive a paper copy for future meetings.</w:t>
            </w:r>
          </w:p>
        </w:tc>
        <w:tc>
          <w:tcPr>
            <w:tcW w:w="0" w:type="dxa"/>
            <w:vAlign w:val="bottom"/>
          </w:tcPr>
          <w:p>
            <w:pPr>
              <w:spacing w:after="0" w:line="20" w:lineRule="exact"/>
              <w:rPr>
                <w:sz w:val="1"/>
                <w:szCs w:val="1"/>
                <w:color w:val="auto"/>
              </w:rPr>
            </w:pPr>
          </w:p>
        </w:tc>
      </w:tr>
    </w:tbl>
    <w:p>
      <w:pPr>
        <w:ind w:left="180"/>
        <w:spacing w:after="0" w:line="25" w:lineRule="auto"/>
        <w:tabs>
          <w:tab w:leader="none" w:pos="2040" w:val="left"/>
        </w:tabs>
        <w:rPr>
          <w:sz w:val="20"/>
          <w:szCs w:val="20"/>
          <w:color w:val="auto"/>
        </w:rPr>
      </w:pPr>
      <w:r>
        <w:rPr>
          <w:rFonts w:ascii="Arial" w:cs="Arial" w:eastAsia="Arial" w:hAnsi="Arial"/>
          <w:sz w:val="1"/>
          <w:szCs w:val="1"/>
          <w:color w:val="FFFFFF"/>
        </w:rPr>
        <w:t>facilitate</w:t>
      </w:r>
      <w:r>
        <w:rPr>
          <w:sz w:val="20"/>
          <w:szCs w:val="20"/>
          <w:color w:val="auto"/>
        </w:rPr>
        <w:tab/>
      </w:r>
      <w:r>
        <w:rPr>
          <w:rFonts w:ascii="Arial" w:cs="Arial" w:eastAsia="Arial" w:hAnsi="Arial"/>
          <w:sz w:val="1"/>
          <w:szCs w:val="1"/>
          <w:color w:val="FFFFFF"/>
        </w:rPr>
        <w:t>materials</w:t>
      </w:r>
    </w:p>
    <w:p>
      <w:pPr>
        <w:spacing w:after="0" w:line="208" w:lineRule="auto"/>
        <w:tabs>
          <w:tab w:leader="none" w:pos="660" w:val="left"/>
          <w:tab w:leader="none" w:pos="2480" w:val="left"/>
        </w:tabs>
        <w:rPr>
          <w:sz w:val="20"/>
          <w:szCs w:val="20"/>
          <w:color w:val="auto"/>
        </w:rPr>
      </w:pPr>
      <w:r>
        <w:rPr>
          <w:rFonts w:ascii="Arial" w:cs="Arial" w:eastAsia="Arial" w:hAnsi="Arial"/>
          <w:sz w:val="14"/>
          <w:szCs w:val="14"/>
          <w:color w:val="FFFFFF"/>
        </w:rPr>
        <w:t>01G5VCTo</w:t>
      </w:r>
      <w:r>
        <w:rPr>
          <w:sz w:val="20"/>
          <w:szCs w:val="20"/>
          <w:color w:val="auto"/>
        </w:rPr>
        <w:tab/>
      </w:r>
      <w:r>
        <w:rPr>
          <w:rFonts w:ascii="Arial" w:cs="Arial" w:eastAsia="Arial" w:hAnsi="Arial"/>
          <w:sz w:val="12"/>
          <w:szCs w:val="12"/>
          <w:color w:val="FFFFFF"/>
        </w:rPr>
        <w:t>timely delivery, all requests for</w:t>
        <w:tab/>
        <w:t>paper copy of the proxy materials must be received by May 7, 2012.</w:t>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2019-12-09T19:17:01Z</dcterms:created>
  <dcterms:modified xsi:type="dcterms:W3CDTF">2019-12-09T19:17:01Z</dcterms:modified>
</cp:coreProperties>
</file>