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Washington, D.C. 20549</w:t>
      </w:r>
    </w:p>
    <w:p>
      <w:pPr>
        <w:spacing w:after="0" w:line="277" w:lineRule="exact"/>
        <w:rPr>
          <w:sz w:val="24"/>
          <w:szCs w:val="24"/>
          <w:color w:val="auto"/>
        </w:rPr>
      </w:pPr>
    </w:p>
    <w:p>
      <w:pPr>
        <w:ind w:left="3860"/>
        <w:spacing w:after="0"/>
        <w:rPr>
          <w:sz w:val="20"/>
          <w:szCs w:val="20"/>
          <w:color w:val="auto"/>
        </w:rPr>
      </w:pPr>
      <w:r>
        <w:rPr>
          <w:rFonts w:ascii="Arial" w:cs="Arial" w:eastAsia="Arial" w:hAnsi="Arial"/>
          <w:sz w:val="32"/>
          <w:szCs w:val="32"/>
          <w:b w:val="1"/>
          <w:bCs w:val="1"/>
          <w:color w:val="auto"/>
        </w:rPr>
        <w:t>FORM 8-K</w:t>
      </w:r>
    </w:p>
    <w:p>
      <w:pPr>
        <w:spacing w:after="0" w:line="335"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ind w:left="2080"/>
        <w:spacing w:after="0"/>
        <w:rPr>
          <w:sz w:val="20"/>
          <w:szCs w:val="20"/>
          <w:color w:val="auto"/>
        </w:rPr>
      </w:pPr>
      <w:r>
        <w:rPr>
          <w:rFonts w:ascii="Arial" w:cs="Arial" w:eastAsia="Arial" w:hAnsi="Arial"/>
          <w:sz w:val="18"/>
          <w:szCs w:val="18"/>
          <w:b w:val="1"/>
          <w:bCs w:val="1"/>
          <w:color w:val="auto"/>
        </w:rPr>
        <w:t>Date of Report (Date of earliest event reported): September 2, 2009</w:t>
      </w:r>
    </w:p>
    <w:p>
      <w:pPr>
        <w:spacing w:after="0" w:line="200" w:lineRule="exact"/>
        <w:rPr>
          <w:sz w:val="24"/>
          <w:szCs w:val="24"/>
          <w:color w:val="auto"/>
        </w:rPr>
      </w:pPr>
    </w:p>
    <w:p>
      <w:pPr>
        <w:spacing w:after="0" w:line="216"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4"/>
          <w:szCs w:val="24"/>
          <w:color w:val="auto"/>
        </w:rPr>
      </w:pPr>
    </w:p>
    <w:p>
      <w:pPr>
        <w:ind w:left="280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48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1"/>
              </w:rPr>
              <w:t>Delaware</w:t>
            </w:r>
          </w:p>
        </w:tc>
        <w:tc>
          <w:tcPr>
            <w:tcW w:w="2720" w:type="dxa"/>
            <w:vAlign w:val="bottom"/>
            <w:gridSpan w:val="3"/>
          </w:tcPr>
          <w:p>
            <w:pPr>
              <w:jc w:val="right"/>
              <w:ind w:right="1160"/>
              <w:spacing w:after="0"/>
              <w:rPr>
                <w:sz w:val="20"/>
                <w:szCs w:val="20"/>
                <w:color w:val="auto"/>
              </w:rPr>
            </w:pPr>
            <w:r>
              <w:rPr>
                <w:rFonts w:ascii="Arial" w:cs="Arial" w:eastAsia="Arial" w:hAnsi="Arial"/>
                <w:sz w:val="18"/>
                <w:szCs w:val="18"/>
                <w:b w:val="1"/>
                <w:bCs w:val="1"/>
                <w:color w:val="auto"/>
              </w:rPr>
              <w:t>001-34211</w:t>
            </w:r>
          </w:p>
        </w:tc>
        <w:tc>
          <w:tcPr>
            <w:tcW w:w="3120" w:type="dxa"/>
            <w:vAlign w:val="bottom"/>
            <w:gridSpan w:val="2"/>
          </w:tcPr>
          <w:p>
            <w:pPr>
              <w:jc w:val="right"/>
              <w:ind w:right="990"/>
              <w:spacing w:after="0"/>
              <w:rPr>
                <w:sz w:val="20"/>
                <w:szCs w:val="20"/>
                <w:color w:val="auto"/>
              </w:rPr>
            </w:pPr>
            <w:r>
              <w:rPr>
                <w:rFonts w:ascii="Arial" w:cs="Arial" w:eastAsia="Arial" w:hAnsi="Arial"/>
                <w:sz w:val="18"/>
                <w:szCs w:val="18"/>
                <w:b w:val="1"/>
                <w:bCs w:val="1"/>
                <w:color w:val="auto"/>
              </w:rPr>
              <w:t>20-3356009</w:t>
            </w:r>
          </w:p>
        </w:tc>
      </w:tr>
      <w:tr>
        <w:trPr>
          <w:trHeight w:val="195"/>
        </w:trPr>
        <w:tc>
          <w:tcPr>
            <w:tcW w:w="3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8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720" w:type="dxa"/>
            <w:vAlign w:val="bottom"/>
            <w:tcBorders>
              <w:top w:val="single" w:sz="8" w:color="auto"/>
            </w:tcBorders>
            <w:gridSpan w:val="3"/>
          </w:tcPr>
          <w:p>
            <w:pPr>
              <w:jc w:val="center"/>
              <w:ind w:right="380"/>
              <w:spacing w:after="0" w:line="195" w:lineRule="exact"/>
              <w:rPr>
                <w:sz w:val="20"/>
                <w:szCs w:val="20"/>
                <w:color w:val="auto"/>
              </w:rPr>
            </w:pPr>
            <w:r>
              <w:rPr>
                <w:rFonts w:ascii="Arial" w:cs="Arial" w:eastAsia="Arial" w:hAnsi="Arial"/>
                <w:sz w:val="18"/>
                <w:szCs w:val="18"/>
                <w:color w:val="auto"/>
                <w:w w:val="92"/>
              </w:rPr>
              <w:t>(Commission File Number)</w:t>
            </w:r>
          </w:p>
        </w:tc>
        <w:tc>
          <w:tcPr>
            <w:tcW w:w="80" w:type="dxa"/>
            <w:vAlign w:val="bottom"/>
          </w:tcPr>
          <w:p>
            <w:pPr>
              <w:spacing w:after="0"/>
              <w:rPr>
                <w:sz w:val="16"/>
                <w:szCs w:val="16"/>
                <w:color w:val="auto"/>
              </w:rPr>
            </w:pPr>
          </w:p>
        </w:tc>
        <w:tc>
          <w:tcPr>
            <w:tcW w:w="3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3480" w:type="dxa"/>
            <w:vAlign w:val="bottom"/>
            <w:gridSpan w:val="3"/>
          </w:tcPr>
          <w:p>
            <w:pPr>
              <w:jc w:val="center"/>
              <w:ind w:right="480"/>
              <w:spacing w:after="0"/>
              <w:rPr>
                <w:sz w:val="20"/>
                <w:szCs w:val="20"/>
                <w:color w:val="auto"/>
              </w:rPr>
            </w:pPr>
            <w:r>
              <w:rPr>
                <w:rFonts w:ascii="Arial" w:cs="Arial" w:eastAsia="Arial" w:hAnsi="Arial"/>
                <w:sz w:val="18"/>
                <w:szCs w:val="18"/>
                <w:color w:val="auto"/>
                <w:w w:val="93"/>
              </w:rPr>
              <w:t>Incorporation)</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414"/>
        </w:trPr>
        <w:tc>
          <w:tcPr>
            <w:tcW w:w="3480" w:type="dxa"/>
            <w:vAlign w:val="bottom"/>
            <w:gridSpan w:val="3"/>
          </w:tcPr>
          <w:p>
            <w:pPr>
              <w:jc w:val="center"/>
              <w:ind w:left="1050"/>
              <w:spacing w:after="0"/>
              <w:rPr>
                <w:sz w:val="20"/>
                <w:szCs w:val="20"/>
                <w:color w:val="auto"/>
              </w:rPr>
            </w:pPr>
            <w:r>
              <w:rPr>
                <w:rFonts w:ascii="Arial" w:cs="Arial" w:eastAsia="Arial" w:hAnsi="Arial"/>
                <w:sz w:val="18"/>
                <w:szCs w:val="18"/>
                <w:b w:val="1"/>
                <w:bCs w:val="1"/>
                <w:color w:val="auto"/>
                <w:w w:val="91"/>
              </w:rPr>
              <w:t>3300 W. Camelback Road</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34"/>
        </w:trPr>
        <w:tc>
          <w:tcPr>
            <w:tcW w:w="3480" w:type="dxa"/>
            <w:vAlign w:val="bottom"/>
            <w:tcBorders>
              <w:bottom w:val="single" w:sz="8" w:color="auto"/>
            </w:tcBorders>
            <w:gridSpan w:val="3"/>
          </w:tcPr>
          <w:p>
            <w:pPr>
              <w:jc w:val="center"/>
              <w:ind w:left="1030"/>
              <w:spacing w:after="0"/>
              <w:rPr>
                <w:sz w:val="20"/>
                <w:szCs w:val="20"/>
                <w:color w:val="auto"/>
              </w:rPr>
            </w:pPr>
            <w:r>
              <w:rPr>
                <w:rFonts w:ascii="Arial" w:cs="Arial" w:eastAsia="Arial" w:hAnsi="Arial"/>
                <w:sz w:val="18"/>
                <w:szCs w:val="18"/>
                <w:b w:val="1"/>
                <w:bCs w:val="1"/>
                <w:color w:val="auto"/>
                <w:w w:val="90"/>
              </w:rPr>
              <w:t>Phoenix, Arizona</w:t>
            </w:r>
          </w:p>
        </w:tc>
        <w:tc>
          <w:tcPr>
            <w:tcW w:w="1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2"/>
          </w:tcPr>
          <w:p>
            <w:pPr>
              <w:jc w:val="right"/>
              <w:ind w:right="1990"/>
              <w:spacing w:after="0"/>
              <w:rPr>
                <w:sz w:val="20"/>
                <w:szCs w:val="20"/>
                <w:color w:val="auto"/>
              </w:rPr>
            </w:pPr>
            <w:r>
              <w:rPr>
                <w:rFonts w:ascii="Arial" w:cs="Arial" w:eastAsia="Arial" w:hAnsi="Arial"/>
                <w:sz w:val="18"/>
                <w:szCs w:val="18"/>
                <w:b w:val="1"/>
                <w:bCs w:val="1"/>
                <w:color w:val="auto"/>
              </w:rPr>
              <w:t>85017</w:t>
            </w:r>
          </w:p>
        </w:tc>
      </w:tr>
      <w:tr>
        <w:trPr>
          <w:trHeight w:val="224"/>
        </w:trPr>
        <w:tc>
          <w:tcPr>
            <w:tcW w:w="462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40" w:type="dxa"/>
            <w:vAlign w:val="bottom"/>
          </w:tcPr>
          <w:p>
            <w:pPr>
              <w:jc w:val="center"/>
              <w:ind w:right="1490"/>
              <w:spacing w:after="0"/>
              <w:rPr>
                <w:sz w:val="20"/>
                <w:szCs w:val="20"/>
                <w:color w:val="auto"/>
              </w:rPr>
            </w:pPr>
            <w:r>
              <w:rPr>
                <w:rFonts w:ascii="Arial" w:cs="Arial" w:eastAsia="Arial" w:hAnsi="Arial"/>
                <w:sz w:val="18"/>
                <w:szCs w:val="18"/>
                <w:color w:val="auto"/>
                <w:w w:val="91"/>
              </w:rPr>
              <w:t>(Zip Code)</w:t>
            </w:r>
          </w:p>
        </w:tc>
      </w:tr>
    </w:tbl>
    <w:p>
      <w:pPr>
        <w:spacing w:after="0" w:line="400" w:lineRule="exact"/>
        <w:rPr>
          <w:sz w:val="24"/>
          <w:szCs w:val="24"/>
          <w:color w:val="auto"/>
        </w:rPr>
      </w:pPr>
    </w:p>
    <w:p>
      <w:pPr>
        <w:ind w:left="220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(602) 639-7500</w:t>
      </w:r>
    </w:p>
    <w:p>
      <w:pPr>
        <w:spacing w:after="0" w:line="200" w:lineRule="exact"/>
        <w:rPr>
          <w:sz w:val="24"/>
          <w:szCs w:val="24"/>
          <w:color w:val="auto"/>
        </w:rPr>
      </w:pPr>
    </w:p>
    <w:p>
      <w:pPr>
        <w:spacing w:after="0" w:line="259"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1555750</wp:posOffset>
            </wp:positionH>
            <wp:positionV relativeFrom="paragraph">
              <wp:posOffset>-130175</wp:posOffset>
            </wp:positionV>
            <wp:extent cx="2813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65" w:lineRule="exact"/>
        <w:rPr>
          <w:sz w:val="24"/>
          <w:szCs w:val="24"/>
          <w:color w:val="auto"/>
        </w:rPr>
      </w:pPr>
    </w:p>
    <w:p>
      <w:pPr>
        <w:jc w:val="both"/>
        <w:ind w:right="5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5925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160655</wp:posOffset>
            </wp:positionV>
            <wp:extent cx="59258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570230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562"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 xml:space="preserve">Item 8.01. </w:t>
      </w:r>
      <w:r>
        <w:rPr>
          <w:rFonts w:ascii="Arial" w:cs="Arial" w:eastAsia="Arial" w:hAnsi="Arial"/>
          <w:sz w:val="18"/>
          <w:szCs w:val="18"/>
          <w:b w:val="1"/>
          <w:bCs w:val="1"/>
          <w:u w:val="single" w:color="auto"/>
          <w:color w:val="auto"/>
        </w:rPr>
        <w:t>Other Events</w:t>
      </w:r>
      <w:r>
        <w:rPr>
          <w:rFonts w:ascii="Arial" w:cs="Arial" w:eastAsia="Arial" w:hAnsi="Arial"/>
          <w:sz w:val="18"/>
          <w:szCs w:val="18"/>
          <w:b w:val="1"/>
          <w:bCs w:val="1"/>
          <w:color w:val="auto"/>
        </w:rPr>
        <w:t>.</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The Company is providing the following additional details with respect to its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settlement negotiations:</w:t>
      </w:r>
    </w:p>
    <w:p>
      <w:pPr>
        <w:spacing w:after="0" w:line="198" w:lineRule="exact"/>
        <w:rPr>
          <w:sz w:val="20"/>
          <w:szCs w:val="20"/>
          <w:color w:val="auto"/>
        </w:rPr>
      </w:pPr>
    </w:p>
    <w:p>
      <w:pPr>
        <w:jc w:val="both"/>
        <w:ind w:right="559" w:firstLine="280"/>
        <w:spacing w:after="0" w:line="269" w:lineRule="auto"/>
        <w:rPr>
          <w:sz w:val="20"/>
          <w:szCs w:val="20"/>
          <w:color w:val="auto"/>
        </w:rPr>
      </w:pPr>
      <w:r>
        <w:rPr>
          <w:rFonts w:ascii="Arial" w:cs="Arial" w:eastAsia="Arial" w:hAnsi="Arial"/>
          <w:sz w:val="17"/>
          <w:szCs w:val="17"/>
          <w:color w:val="auto"/>
        </w:rPr>
        <w:t xml:space="preserve">Pursuant to the court’s mandatory scheduling order, we have entered into settlement discussions with respect to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matter with the relator. In connection with such discussions, we are negotiating for a comprehensive settlement that would include, among other things, the resolution by the Office of Inspector General of its investigation. Accordingly, any such settlement would need to be approved not only by the relator, but by the U.S. Department of Justice (which has authority to approve settlements of False Claims Act matters), and the Department of Education. Based on publicly available information, we believe that similar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lawsuits involving compensation practices of other post-secondary education institutions have settled (or have resulted in announced charges in anticipation of settlement) in the range of $4.9 million to $7.0 million. While we cannot assure you that this matter will be settled on terms acceptable to us or at all, we do not believe that any potential settlement, if in the amount (which is within the range of such other settlements) and on the terms currently under discussion, will materially adversely affect our business, operations, or liquidity, although any charge taken in connection with such a potential settlement would likely be material to our operating results and cash flow for the periods affected by the charge. If such settlement does not occur, we would continue to vigorously defend this lawsuit.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370205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559" w:firstLine="37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GRAND CANYON EDUCATION,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4, 2009</w:t>
      </w:r>
    </w:p>
    <w:p>
      <w:pPr>
        <w:spacing w:after="0" w:line="1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w:t>
      </w:r>
      <w:r>
        <w:rPr>
          <w:rFonts w:ascii="Arial" w:cs="Arial" w:eastAsia="Arial" w:hAnsi="Arial"/>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3034030</wp:posOffset>
            </wp:positionH>
            <wp:positionV relativeFrom="paragraph">
              <wp:posOffset>-20320</wp:posOffset>
            </wp:positionV>
            <wp:extent cx="2475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75865" cy="8890"/>
                    </a:xfrm>
                    <a:prstGeom prst="rect">
                      <a:avLst/>
                    </a:prstGeom>
                    <a:noFill/>
                  </pic:spPr>
                </pic:pic>
              </a:graphicData>
            </a:graphic>
          </wp:anchor>
        </w:drawing>
      </w:r>
    </w:p>
    <w:p>
      <w:pPr>
        <w:ind w:left="4780"/>
        <w:spacing w:after="0"/>
        <w:rPr>
          <w:sz w:val="20"/>
          <w:szCs w:val="20"/>
          <w:color w:val="auto"/>
        </w:rPr>
      </w:pPr>
      <w:r>
        <w:rPr>
          <w:rFonts w:ascii="Arial" w:cs="Arial" w:eastAsia="Arial" w:hAnsi="Arial"/>
          <w:sz w:val="18"/>
          <w:szCs w:val="18"/>
          <w:color w:val="auto"/>
        </w:rPr>
        <w:t>Daniel E. Bachus</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(Principal Financial and Principal Accounting Officer)</w:t>
      </w:r>
    </w:p>
    <w:sectPr>
      <w:pgSz w:w="11900" w:h="16838" w:orient="portrait"/>
      <w:cols w:equalWidth="0" w:num="1">
        <w:col w:w="9879"/>
      </w:cols>
      <w:pgMar w:left="58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2019-12-11T05:15:50Z</dcterms:created>
  <dcterms:modified xsi:type="dcterms:W3CDTF">2019-12-11T05:15:50Z</dcterms:modified>
</cp:coreProperties>
</file>