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288925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357505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64770</wp:posOffset>
            </wp:positionV>
            <wp:extent cx="6497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80"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97790</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24" w:lineRule="exact"/>
        <w:rPr>
          <w:sz w:val="24"/>
          <w:szCs w:val="24"/>
          <w:color w:val="auto"/>
        </w:rPr>
      </w:pPr>
    </w:p>
    <w:p>
      <w:pPr>
        <w:ind w:left="10"/>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410" w:right="240" w:hanging="406"/>
        <w:spacing w:after="0" w:line="352" w:lineRule="auto"/>
        <w:tabs>
          <w:tab w:leader="none" w:pos="41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AND EXCHANGE ACT OF 1934 For the quarterly period ended September 30, 2022</w:t>
      </w:r>
    </w:p>
    <w:p>
      <w:pPr>
        <w:spacing w:after="0" w:line="1"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410" w:hanging="410"/>
        <w:spacing w:after="0"/>
        <w:tabs>
          <w:tab w:leader="none" w:pos="41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410"/>
        <w:spacing w:after="0"/>
        <w:tabs>
          <w:tab w:leader="none" w:pos="407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04"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00"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GRAND CANYON EDUCATION, INC.</w:t>
      </w:r>
    </w:p>
    <w:p>
      <w:pPr>
        <w:spacing w:after="0" w:line="34" w:lineRule="exact"/>
        <w:rPr>
          <w:sz w:val="24"/>
          <w:szCs w:val="24"/>
          <w:color w:val="auto"/>
        </w:rPr>
      </w:pPr>
    </w:p>
    <w:p>
      <w:pPr>
        <w:jc w:val="center"/>
        <w:ind w:right="-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64770</wp:posOffset>
            </wp:positionV>
            <wp:extent cx="6497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99" w:lineRule="exact"/>
        <w:rPr>
          <w:sz w:val="24"/>
          <w:szCs w:val="24"/>
          <w:color w:val="auto"/>
        </w:rPr>
      </w:pPr>
    </w:p>
    <w:tbl>
      <w:tblPr>
        <w:tblLayout w:type="fixed"/>
        <w:tblInd w:w="1370" w:type="dxa"/>
        <w:tblCellMar>
          <w:top w:w="0" w:type="dxa"/>
          <w:left w:w="0" w:type="dxa"/>
          <w:bottom w:w="0" w:type="dxa"/>
          <w:right w:w="0" w:type="dxa"/>
        </w:tblCellMar>
      </w:tblPr>
      <w:tr>
        <w:trPr>
          <w:trHeight w:val="220"/>
        </w:trPr>
        <w:tc>
          <w:tcPr>
            <w:tcW w:w="3980" w:type="dxa"/>
            <w:vAlign w:val="bottom"/>
          </w:tcPr>
          <w:p>
            <w:pPr>
              <w:jc w:val="center"/>
              <w:ind w:right="1610"/>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center"/>
              <w:ind w:left="1590"/>
              <w:spacing w:after="0"/>
              <w:rPr>
                <w:sz w:val="20"/>
                <w:szCs w:val="20"/>
                <w:color w:val="auto"/>
              </w:rPr>
            </w:pPr>
            <w:r>
              <w:rPr>
                <w:rFonts w:ascii="Arial" w:cs="Arial" w:eastAsia="Arial" w:hAnsi="Arial"/>
                <w:sz w:val="18"/>
                <w:szCs w:val="18"/>
                <w:b w:val="1"/>
                <w:bCs w:val="1"/>
                <w:color w:val="auto"/>
                <w:w w:val="89"/>
              </w:rPr>
              <w:t>20-3356009</w:t>
            </w:r>
          </w:p>
        </w:tc>
      </w:tr>
      <w:tr>
        <w:trPr>
          <w:trHeight w:val="216"/>
        </w:trPr>
        <w:tc>
          <w:tcPr>
            <w:tcW w:w="3980" w:type="dxa"/>
            <w:vAlign w:val="bottom"/>
          </w:tcPr>
          <w:p>
            <w:pPr>
              <w:jc w:val="center"/>
              <w:ind w:right="1610"/>
              <w:spacing w:after="0"/>
              <w:rPr>
                <w:sz w:val="20"/>
                <w:szCs w:val="20"/>
                <w:color w:val="auto"/>
              </w:rPr>
            </w:pPr>
            <w:r>
              <w:rPr>
                <w:rFonts w:ascii="Arial" w:cs="Arial" w:eastAsia="Arial" w:hAnsi="Arial"/>
                <w:sz w:val="18"/>
                <w:szCs w:val="18"/>
                <w:b w:val="1"/>
                <w:bCs w:val="1"/>
                <w:i w:val="1"/>
                <w:iCs w:val="1"/>
                <w:color w:val="auto"/>
                <w:w w:val="87"/>
              </w:rPr>
              <w:t>(State or other jurisdiction of</w:t>
            </w:r>
          </w:p>
        </w:tc>
        <w:tc>
          <w:tcPr>
            <w:tcW w:w="3060" w:type="dxa"/>
            <w:vAlign w:val="bottom"/>
          </w:tcPr>
          <w:p>
            <w:pPr>
              <w:jc w:val="center"/>
              <w:ind w:left="1590"/>
              <w:spacing w:after="0"/>
              <w:rPr>
                <w:sz w:val="20"/>
                <w:szCs w:val="20"/>
                <w:color w:val="auto"/>
              </w:rPr>
            </w:pPr>
            <w:r>
              <w:rPr>
                <w:rFonts w:ascii="Arial" w:cs="Arial" w:eastAsia="Arial" w:hAnsi="Arial"/>
                <w:sz w:val="18"/>
                <w:szCs w:val="18"/>
                <w:b w:val="1"/>
                <w:bCs w:val="1"/>
                <w:i w:val="1"/>
                <w:iCs w:val="1"/>
                <w:color w:val="auto"/>
                <w:w w:val="91"/>
              </w:rPr>
              <w:t>(I.R.S. Employer</w:t>
            </w:r>
          </w:p>
        </w:tc>
      </w:tr>
      <w:tr>
        <w:trPr>
          <w:trHeight w:val="230"/>
        </w:trPr>
        <w:tc>
          <w:tcPr>
            <w:tcW w:w="3980" w:type="dxa"/>
            <w:vAlign w:val="bottom"/>
          </w:tcPr>
          <w:p>
            <w:pPr>
              <w:jc w:val="center"/>
              <w:ind w:right="1610"/>
              <w:spacing w:after="0"/>
              <w:rPr>
                <w:sz w:val="20"/>
                <w:szCs w:val="20"/>
                <w:color w:val="auto"/>
              </w:rPr>
            </w:pPr>
            <w:r>
              <w:rPr>
                <w:rFonts w:ascii="Arial" w:cs="Arial" w:eastAsia="Arial" w:hAnsi="Arial"/>
                <w:sz w:val="18"/>
                <w:szCs w:val="18"/>
                <w:b w:val="1"/>
                <w:bCs w:val="1"/>
                <w:i w:val="1"/>
                <w:iCs w:val="1"/>
                <w:color w:val="auto"/>
                <w:w w:val="88"/>
              </w:rPr>
              <w:t>Incorporation or organization)</w:t>
            </w:r>
          </w:p>
        </w:tc>
        <w:tc>
          <w:tcPr>
            <w:tcW w:w="3060" w:type="dxa"/>
            <w:vAlign w:val="bottom"/>
          </w:tcPr>
          <w:p>
            <w:pPr>
              <w:jc w:val="center"/>
              <w:ind w:left="1590"/>
              <w:spacing w:after="0"/>
              <w:rPr>
                <w:sz w:val="20"/>
                <w:szCs w:val="20"/>
                <w:color w:val="auto"/>
              </w:rPr>
            </w:pPr>
            <w:r>
              <w:rPr>
                <w:rFonts w:ascii="Arial" w:cs="Arial" w:eastAsia="Arial" w:hAnsi="Arial"/>
                <w:sz w:val="18"/>
                <w:szCs w:val="18"/>
                <w:b w:val="1"/>
                <w:bCs w:val="1"/>
                <w:i w:val="1"/>
                <w:iCs w:val="1"/>
                <w:color w:val="auto"/>
                <w:w w:val="90"/>
              </w:rPr>
              <w:t>Identification No.)</w:t>
            </w:r>
          </w:p>
        </w:tc>
      </w:tr>
    </w:tbl>
    <w:p>
      <w:pPr>
        <w:spacing w:after="0" w:line="76"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2600 W. Camelback Road</w:t>
      </w:r>
    </w:p>
    <w:p>
      <w:pPr>
        <w:spacing w:after="0" w:line="27"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Phoenix, Arizona 85017</w:t>
      </w:r>
    </w:p>
    <w:p>
      <w:pPr>
        <w:spacing w:after="0" w:line="9"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i w:val="1"/>
          <w:iCs w:val="1"/>
          <w:color w:val="auto"/>
        </w:rPr>
        <w:t>(Address, including zip code, of principal executive offices)</w:t>
      </w:r>
    </w:p>
    <w:p>
      <w:pPr>
        <w:spacing w:after="0" w:line="85"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(602) 247-4400</w:t>
      </w:r>
    </w:p>
    <w:p>
      <w:pPr>
        <w:spacing w:after="0" w:line="27"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i w:val="1"/>
          <w:iCs w:val="1"/>
          <w:color w:val="auto"/>
        </w:rPr>
        <w:t>(Registrant’s telephone number, including area code)</w:t>
      </w:r>
    </w:p>
    <w:p>
      <w:pPr>
        <w:spacing w:after="0" w:line="211" w:lineRule="exact"/>
        <w:rPr>
          <w:sz w:val="24"/>
          <w:szCs w:val="24"/>
          <w:color w:val="auto"/>
        </w:rPr>
      </w:pPr>
    </w:p>
    <w:p>
      <w:pPr>
        <w:jc w:val="center"/>
        <w:ind w:right="-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2"/>
        </w:trPr>
        <w:tc>
          <w:tcPr>
            <w:tcW w:w="3760" w:type="dxa"/>
            <w:vAlign w:val="bottom"/>
            <w:tcBorders>
              <w:top w:val="single" w:sz="8" w:color="auto"/>
              <w:left w:val="single" w:sz="8" w:color="auto"/>
              <w:bottom w:val="single" w:sz="8" w:color="auto"/>
              <w:right w:val="single" w:sz="8" w:color="auto"/>
            </w:tcBorders>
          </w:tcPr>
          <w:p>
            <w:pPr>
              <w:ind w:left="1340"/>
              <w:spacing w:after="0"/>
              <w:rPr>
                <w:sz w:val="20"/>
                <w:szCs w:val="20"/>
                <w:color w:val="auto"/>
              </w:rPr>
            </w:pPr>
            <w:r>
              <w:rPr>
                <w:rFonts w:ascii="Arial" w:cs="Arial" w:eastAsia="Arial" w:hAnsi="Arial"/>
                <w:sz w:val="14"/>
                <w:szCs w:val="14"/>
                <w:b w:val="1"/>
                <w:bCs w:val="1"/>
                <w:color w:val="auto"/>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10"/>
        </w:trPr>
        <w:tc>
          <w:tcPr>
            <w:tcW w:w="3760" w:type="dxa"/>
            <w:vAlign w:val="bottom"/>
            <w:tcBorders>
              <w:left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rPr>
              <w:t>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LOPE</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188" w:lineRule="exact"/>
        <w:rPr>
          <w:sz w:val="24"/>
          <w:szCs w:val="24"/>
          <w:color w:val="auto"/>
        </w:rPr>
      </w:pPr>
    </w:p>
    <w:p>
      <w:pPr>
        <w:ind w:left="10" w:right="280" w:firstLine="648"/>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ind w:left="10"/>
        <w:spacing w:after="0" w:line="207" w:lineRule="exact"/>
        <w:tabs>
          <w:tab w:leader="none" w:pos="5810" w:val="left"/>
        </w:tabs>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94" w:lineRule="exact"/>
        <w:rPr>
          <w:sz w:val="24"/>
          <w:szCs w:val="24"/>
          <w:color w:val="auto"/>
        </w:rPr>
      </w:pPr>
    </w:p>
    <w:p>
      <w:pPr>
        <w:ind w:left="10" w:right="46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ind w:left="10" w:right="520"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0230"/>
          </w:cols>
          <w:pgMar w:left="830" w:top="665" w:right="839" w:bottom="1440" w:gutter="0" w:footer="0" w:header="0"/>
        </w:sectPr>
      </w:pPr>
    </w:p>
    <w:p>
      <w:pPr>
        <w:spacing w:after="0" w:line="76" w:lineRule="exact"/>
        <w:rPr>
          <w:sz w:val="24"/>
          <w:szCs w:val="24"/>
          <w:color w:val="auto"/>
        </w:rPr>
      </w:pPr>
    </w:p>
    <w:p>
      <w:pPr>
        <w:ind w:left="1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ind w:left="60"/>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ind w:left="60"/>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0" w:lineRule="exact"/>
        <w:rPr>
          <w:sz w:val="24"/>
          <w:szCs w:val="24"/>
          <w:color w:val="auto"/>
        </w:rPr>
      </w:pPr>
    </w:p>
    <w:p>
      <w:pPr>
        <w:sectPr>
          <w:pgSz w:w="11900" w:h="16838" w:orient="portrait"/>
          <w:cols w:equalWidth="0" w:num="4">
            <w:col w:w="1710" w:space="160"/>
            <w:col w:w="5180" w:space="720"/>
            <w:col w:w="2060" w:space="220"/>
            <w:col w:w="180"/>
          </w:cols>
          <w:pgMar w:left="830" w:top="665" w:right="839" w:bottom="1440" w:gutter="0" w:footer="0" w:header="0"/>
          <w:type w:val="continuous"/>
        </w:sectPr>
      </w:pPr>
    </w:p>
    <w:p>
      <w:pPr>
        <w:ind w:left="10" w:right="34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8" w:lineRule="exact"/>
        <w:rPr>
          <w:sz w:val="24"/>
          <w:szCs w:val="24"/>
          <w:color w:val="auto"/>
        </w:rPr>
      </w:pPr>
    </w:p>
    <w:p>
      <w:pPr>
        <w:ind w:left="650" w:right="120"/>
        <w:spacing w:after="0" w:line="28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total number of shares of common stock outstanding as of October 25, 2022, was 31,147,188.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506095</wp:posOffset>
            </wp:positionV>
            <wp:extent cx="649795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43180</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86360</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480" w:type="dxa"/>
            <w:vAlign w:val="bottom"/>
            <w:gridSpan w:val="14"/>
            <w:vMerge w:val="restart"/>
          </w:tcPr>
          <w:p>
            <w:pPr>
              <w:spacing w:after="0"/>
              <w:rPr>
                <w:sz w:val="20"/>
                <w:szCs w:val="20"/>
                <w:color w:val="auto"/>
              </w:rPr>
            </w:pPr>
            <w:r>
              <w:rPr>
                <w:rFonts w:ascii="Arial" w:cs="Arial" w:eastAsia="Arial" w:hAnsi="Arial"/>
                <w:sz w:val="18"/>
                <w:szCs w:val="18"/>
                <w:b w:val="1"/>
                <w:bCs w:val="1"/>
                <w:color w:val="0000EE"/>
              </w:rPr>
              <w:t>PART I – FINANCIAL INFORMATION</w:t>
            </w:r>
          </w:p>
        </w:tc>
        <w:tc>
          <w:tcPr>
            <w:tcW w:w="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8480" w:type="dxa"/>
            <w:vAlign w:val="bottom"/>
            <w:gridSpan w:val="14"/>
            <w:vMerge w:val="continue"/>
          </w:tcPr>
          <w:p>
            <w:pPr>
              <w:spacing w:after="0"/>
              <w:rPr>
                <w:sz w:val="14"/>
                <w:szCs w:val="14"/>
                <w:color w:val="auto"/>
              </w:rPr>
            </w:pPr>
          </w:p>
        </w:tc>
        <w:tc>
          <w:tcPr>
            <w:tcW w:w="4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314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0000EE"/>
              </w:rPr>
              <w:t>Item 1 Financial Statements</w:t>
            </w:r>
          </w:p>
        </w:tc>
        <w:tc>
          <w:tcPr>
            <w:tcW w:w="5340" w:type="dxa"/>
            <w:vAlign w:val="bottom"/>
            <w:gridSpan w:val="4"/>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6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0"/>
              </w:rPr>
              <w:t>Item 2 Management’s Discussion and Analysis of Financial Condition and Results of Operations</w:t>
            </w:r>
          </w:p>
        </w:tc>
        <w:tc>
          <w:tcPr>
            <w:tcW w:w="152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486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1"/>
              </w:rPr>
              <w:t>Item 3 Quantitative and Qualitative Disclosures About Market Risk</w:t>
            </w:r>
          </w:p>
        </w:tc>
        <w:tc>
          <w:tcPr>
            <w:tcW w:w="362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8480" w:type="dxa"/>
            <w:vAlign w:val="bottom"/>
            <w:gridSpan w:val="14"/>
          </w:tcPr>
          <w:p>
            <w:pPr>
              <w:spacing w:after="0" w:line="196" w:lineRule="exact"/>
              <w:rPr>
                <w:sz w:val="20"/>
                <w:szCs w:val="20"/>
                <w:color w:val="auto"/>
              </w:rPr>
            </w:pPr>
            <w:r>
              <w:rPr>
                <w:rFonts w:ascii="Arial" w:cs="Arial" w:eastAsia="Arial" w:hAnsi="Arial"/>
                <w:sz w:val="18"/>
                <w:szCs w:val="18"/>
                <w:color w:val="0000EE"/>
              </w:rPr>
              <w:t>Item 4 Controls and Procedures</w:t>
            </w: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80" w:type="dxa"/>
            <w:vAlign w:val="bottom"/>
            <w:gridSpan w:val="14"/>
          </w:tcPr>
          <w:p>
            <w:pPr>
              <w:spacing w:after="0"/>
              <w:rPr>
                <w:sz w:val="20"/>
                <w:szCs w:val="20"/>
                <w:color w:val="auto"/>
              </w:rPr>
            </w:pPr>
            <w:r>
              <w:rPr>
                <w:rFonts w:ascii="Arial" w:cs="Arial" w:eastAsia="Arial" w:hAnsi="Arial"/>
                <w:sz w:val="18"/>
                <w:szCs w:val="18"/>
                <w:b w:val="1"/>
                <w:bCs w:val="1"/>
                <w:color w:val="0000EE"/>
              </w:rPr>
              <w:t>PART II – OTHER INFORMATION</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412"/>
        </w:trPr>
        <w:tc>
          <w:tcPr>
            <w:tcW w:w="184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89"/>
              </w:rPr>
              <w:t>Item 1 Legal Proceedings</w:t>
            </w:r>
          </w:p>
        </w:tc>
        <w:tc>
          <w:tcPr>
            <w:tcW w:w="1000" w:type="dxa"/>
            <w:vAlign w:val="bottom"/>
            <w:tcBorders>
              <w:top w:val="single" w:sz="8" w:color="0000EE"/>
            </w:tcBorders>
            <w:gridSpan w:val="4"/>
          </w:tcPr>
          <w:p>
            <w:pPr>
              <w:spacing w:after="0"/>
              <w:rPr>
                <w:sz w:val="24"/>
                <w:szCs w:val="24"/>
                <w:color w:val="auto"/>
              </w:rPr>
            </w:pPr>
          </w:p>
        </w:tc>
        <w:tc>
          <w:tcPr>
            <w:tcW w:w="5640" w:type="dxa"/>
            <w:vAlign w:val="bottom"/>
            <w:gridSpan w:val="5"/>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0"/>
              </w:rPr>
              <w:t>Item 1A Risk Factors</w:t>
            </w:r>
          </w:p>
        </w:tc>
        <w:tc>
          <w:tcPr>
            <w:tcW w:w="6940" w:type="dxa"/>
            <w:vAlign w:val="bottom"/>
            <w:gridSpan w:val="11"/>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8480" w:type="dxa"/>
            <w:vAlign w:val="bottom"/>
            <w:gridSpan w:val="14"/>
          </w:tcPr>
          <w:p>
            <w:pPr>
              <w:spacing w:after="0" w:line="196" w:lineRule="exact"/>
              <w:rPr>
                <w:sz w:val="20"/>
                <w:szCs w:val="20"/>
                <w:color w:val="auto"/>
              </w:rPr>
            </w:pPr>
            <w:r>
              <w:rPr>
                <w:rFonts w:ascii="Arial" w:cs="Arial" w:eastAsia="Arial" w:hAnsi="Arial"/>
                <w:sz w:val="18"/>
                <w:szCs w:val="18"/>
                <w:color w:val="0000EE"/>
              </w:rPr>
              <w:t>Item 2 Unregistered Sales of Equity Securities and Use of Proceeds</w:t>
            </w: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1"/>
              </w:rPr>
              <w:t>Item 3</w:t>
            </w:r>
          </w:p>
        </w:tc>
        <w:tc>
          <w:tcPr>
            <w:tcW w:w="4360" w:type="dxa"/>
            <w:vAlign w:val="bottom"/>
            <w:tcBorders>
              <w:top w:val="single" w:sz="8" w:color="0000EE"/>
            </w:tcBorders>
            <w:gridSpan w:val="10"/>
          </w:tcPr>
          <w:p>
            <w:pPr>
              <w:ind w:left="20"/>
              <w:spacing w:after="0" w:line="196" w:lineRule="exact"/>
              <w:rPr>
                <w:sz w:val="20"/>
                <w:szCs w:val="20"/>
                <w:color w:val="auto"/>
              </w:rPr>
            </w:pPr>
            <w:r>
              <w:rPr>
                <w:rFonts w:ascii="Arial" w:cs="Arial" w:eastAsia="Arial" w:hAnsi="Arial"/>
                <w:sz w:val="18"/>
                <w:szCs w:val="18"/>
                <w:color w:val="0000EE"/>
              </w:rPr>
              <w:t>Defaults Upon Senior Securities</w:t>
            </w:r>
          </w:p>
        </w:tc>
        <w:tc>
          <w:tcPr>
            <w:tcW w:w="3640" w:type="dxa"/>
            <w:vAlign w:val="bottom"/>
            <w:gridSpan w:val="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1"/>
              </w:rPr>
              <w:t>Item 4</w:t>
            </w:r>
          </w:p>
        </w:tc>
        <w:tc>
          <w:tcPr>
            <w:tcW w:w="2340" w:type="dxa"/>
            <w:vAlign w:val="bottom"/>
            <w:tcBorders>
              <w:top w:val="single" w:sz="8" w:color="0000EE"/>
            </w:tcBorders>
            <w:gridSpan w:val="7"/>
          </w:tcPr>
          <w:p>
            <w:pPr>
              <w:ind w:left="20"/>
              <w:spacing w:after="0" w:line="196" w:lineRule="exact"/>
              <w:rPr>
                <w:sz w:val="20"/>
                <w:szCs w:val="20"/>
                <w:color w:val="auto"/>
              </w:rPr>
            </w:pPr>
            <w:r>
              <w:rPr>
                <w:rFonts w:ascii="Arial" w:cs="Arial" w:eastAsia="Arial" w:hAnsi="Arial"/>
                <w:sz w:val="18"/>
                <w:szCs w:val="18"/>
                <w:color w:val="0000EE"/>
              </w:rPr>
              <w:t>Mine Safety Disclosures</w:t>
            </w:r>
          </w:p>
        </w:tc>
        <w:tc>
          <w:tcPr>
            <w:tcW w:w="5660" w:type="dxa"/>
            <w:vAlign w:val="bottom"/>
            <w:gridSpan w:val="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1"/>
              </w:rPr>
              <w:t>Item 5</w:t>
            </w:r>
          </w:p>
        </w:tc>
        <w:tc>
          <w:tcPr>
            <w:tcW w:w="1340" w:type="dxa"/>
            <w:vAlign w:val="bottom"/>
            <w:tcBorders>
              <w:top w:val="single" w:sz="8" w:color="0000EE"/>
              <w:bottom w:val="single" w:sz="8" w:color="0000EE"/>
            </w:tcBorders>
            <w:gridSpan w:val="3"/>
          </w:tcPr>
          <w:p>
            <w:pPr>
              <w:ind w:left="20"/>
              <w:spacing w:after="0" w:line="196" w:lineRule="exact"/>
              <w:rPr>
                <w:sz w:val="20"/>
                <w:szCs w:val="20"/>
                <w:color w:val="auto"/>
              </w:rPr>
            </w:pPr>
            <w:r>
              <w:rPr>
                <w:rFonts w:ascii="Arial" w:cs="Arial" w:eastAsia="Arial" w:hAnsi="Arial"/>
                <w:sz w:val="18"/>
                <w:szCs w:val="18"/>
                <w:color w:val="0000EE"/>
                <w:w w:val="92"/>
              </w:rPr>
              <w:t>Other Information</w:t>
            </w:r>
          </w:p>
        </w:tc>
        <w:tc>
          <w:tcPr>
            <w:tcW w:w="440" w:type="dxa"/>
            <w:vAlign w:val="bottom"/>
            <w:tcBorders>
              <w:top w:val="single" w:sz="8" w:color="0000EE"/>
            </w:tcBorders>
            <w:gridSpan w:val="3"/>
          </w:tcPr>
          <w:p>
            <w:pPr>
              <w:spacing w:after="0"/>
              <w:rPr>
                <w:sz w:val="17"/>
                <w:szCs w:val="17"/>
                <w:color w:val="auto"/>
              </w:rPr>
            </w:pPr>
          </w:p>
        </w:tc>
        <w:tc>
          <w:tcPr>
            <w:tcW w:w="6220" w:type="dxa"/>
            <w:vAlign w:val="bottom"/>
            <w:gridSpan w:val="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48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1"/>
              </w:rPr>
              <w:t>Item 6</w:t>
            </w:r>
          </w:p>
        </w:tc>
        <w:tc>
          <w:tcPr>
            <w:tcW w:w="620" w:type="dxa"/>
            <w:vAlign w:val="bottom"/>
            <w:tcBorders>
              <w:bottom w:val="single" w:sz="8" w:color="0000EE"/>
            </w:tcBorders>
          </w:tcPr>
          <w:p>
            <w:pPr>
              <w:ind w:left="20"/>
              <w:spacing w:after="0" w:line="196" w:lineRule="exact"/>
              <w:rPr>
                <w:sz w:val="20"/>
                <w:szCs w:val="20"/>
                <w:color w:val="auto"/>
              </w:rPr>
            </w:pPr>
            <w:r>
              <w:rPr>
                <w:rFonts w:ascii="Arial" w:cs="Arial" w:eastAsia="Arial" w:hAnsi="Arial"/>
                <w:sz w:val="18"/>
                <w:szCs w:val="18"/>
                <w:color w:val="0000EE"/>
                <w:w w:val="91"/>
              </w:rPr>
              <w:t>Exhibits</w:t>
            </w:r>
          </w:p>
        </w:tc>
        <w:tc>
          <w:tcPr>
            <w:tcW w:w="738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1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2"/>
              </w:rPr>
              <w:t>SIGNATURES</w:t>
            </w:r>
          </w:p>
        </w:tc>
        <w:tc>
          <w:tcPr>
            <w:tcW w:w="738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4"/>
          </w:tcPr>
          <w:p>
            <w:pPr>
              <w:jc w:val="right"/>
              <w:ind w:right="111"/>
              <w:spacing w:after="0"/>
              <w:rPr>
                <w:sz w:val="20"/>
                <w:szCs w:val="20"/>
                <w:color w:val="auto"/>
              </w:rPr>
            </w:pPr>
            <w:r>
              <w:rPr>
                <w:rFonts w:ascii="Arial" w:cs="Arial" w:eastAsia="Arial" w:hAnsi="Arial"/>
                <w:sz w:val="14"/>
                <w:szCs w:val="14"/>
                <w:b w:val="1"/>
                <w:bCs w:val="1"/>
                <w:color w:val="auto"/>
                <w:w w:val="99"/>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4"/>
          </w:tcPr>
          <w:p>
            <w:pPr>
              <w:jc w:val="right"/>
              <w:ind w:right="17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2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26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Service revenue</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208,720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206,767</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652,606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645,188</w:t>
            </w:r>
          </w:p>
        </w:tc>
        <w:tc>
          <w:tcPr>
            <w:tcW w:w="0" w:type="dxa"/>
            <w:vAlign w:val="bottom"/>
          </w:tcPr>
          <w:p>
            <w:pPr>
              <w:spacing w:after="0"/>
              <w:rPr>
                <w:sz w:val="1"/>
                <w:szCs w:val="1"/>
                <w:color w:val="auto"/>
              </w:rPr>
            </w:pPr>
          </w:p>
        </w:tc>
      </w:tr>
      <w:tr>
        <w:trPr>
          <w:trHeight w:val="209"/>
        </w:trPr>
        <w:tc>
          <w:tcPr>
            <w:tcW w:w="526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Technology and academic services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112,136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101,263</w:t>
            </w:r>
          </w:p>
        </w:tc>
        <w:tc>
          <w:tcPr>
            <w:tcW w:w="0" w:type="dxa"/>
            <w:vAlign w:val="bottom"/>
          </w:tcPr>
          <w:p>
            <w:pPr>
              <w:spacing w:after="0"/>
              <w:rPr>
                <w:sz w:val="1"/>
                <w:szCs w:val="1"/>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Counseling services and support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67,235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62,209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200,773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184,380</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Marketing and communication</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151,237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140,326</w:t>
            </w:r>
          </w:p>
        </w:tc>
        <w:tc>
          <w:tcPr>
            <w:tcW w:w="0" w:type="dxa"/>
            <w:vAlign w:val="bottom"/>
          </w:tcPr>
          <w:p>
            <w:pPr>
              <w:spacing w:after="0"/>
              <w:rPr>
                <w:sz w:val="1"/>
                <w:szCs w:val="1"/>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14,451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35,323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33,114</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intangible assets</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6,315</w:t>
            </w:r>
          </w:p>
        </w:tc>
        <w:tc>
          <w:tcPr>
            <w:tcW w:w="0" w:type="dxa"/>
            <w:vAlign w:val="bottom"/>
          </w:tcPr>
          <w:p>
            <w:pPr>
              <w:spacing w:after="0"/>
              <w:rPr>
                <w:sz w:val="1"/>
                <w:szCs w:val="1"/>
                <w:color w:val="auto"/>
              </w:rPr>
            </w:pPr>
          </w:p>
        </w:tc>
      </w:tr>
      <w:tr>
        <w:trPr>
          <w:trHeight w:val="210"/>
        </w:trPr>
        <w:tc>
          <w:tcPr>
            <w:tcW w:w="52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costs and expenses</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173,208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161,451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505,784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465,398</w:t>
            </w:r>
          </w:p>
        </w:tc>
        <w:tc>
          <w:tcPr>
            <w:tcW w:w="0" w:type="dxa"/>
            <w:vAlign w:val="bottom"/>
          </w:tcPr>
          <w:p>
            <w:pPr>
              <w:spacing w:after="0"/>
              <w:rPr>
                <w:sz w:val="1"/>
                <w:szCs w:val="1"/>
                <w:color w:val="auto"/>
              </w:rPr>
            </w:pPr>
          </w:p>
        </w:tc>
      </w:tr>
      <w:tr>
        <w:trPr>
          <w:trHeight w:val="209"/>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146,822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179,790</w:t>
            </w:r>
          </w:p>
        </w:tc>
        <w:tc>
          <w:tcPr>
            <w:tcW w:w="0" w:type="dxa"/>
            <w:vAlign w:val="bottom"/>
          </w:tcPr>
          <w:p>
            <w:pPr>
              <w:spacing w:after="0"/>
              <w:rPr>
                <w:sz w:val="1"/>
                <w:szCs w:val="1"/>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Interest income on Secured Note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15,031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44,353</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Investment interest and other</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148,111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222,417</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34,463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47,186</w:t>
            </w:r>
          </w:p>
        </w:tc>
        <w:tc>
          <w:tcPr>
            <w:tcW w:w="0" w:type="dxa"/>
            <w:vAlign w:val="bottom"/>
          </w:tcPr>
          <w:p>
            <w:pPr>
              <w:spacing w:after="0"/>
              <w:rPr>
                <w:sz w:val="1"/>
                <w:szCs w:val="1"/>
                <w:color w:val="auto"/>
              </w:rPr>
            </w:pPr>
          </w:p>
        </w:tc>
      </w:tr>
      <w:tr>
        <w:trPr>
          <w:trHeight w:val="210"/>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30,008</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47,658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113,648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175,231</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2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Basic income per share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b w:val="1"/>
                <w:bCs w:val="1"/>
                <w:color w:val="auto"/>
              </w:rPr>
              <w:t>Diluted income per share</w:t>
            </w: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60" w:type="dxa"/>
            <w:vAlign w:val="bottom"/>
            <w:tcBorders>
              <w:bottom w:val="single" w:sz="8" w:color="CCEEFF"/>
            </w:tcBorders>
            <w:vMerge w:val="continue"/>
          </w:tcPr>
          <w:p>
            <w:pPr>
              <w:spacing w:after="0"/>
              <w:rPr>
                <w:sz w:val="20"/>
                <w:szCs w:val="20"/>
                <w:color w:val="auto"/>
              </w:rPr>
            </w:pPr>
          </w:p>
        </w:tc>
        <w:tc>
          <w:tcPr>
            <w:tcW w:w="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0.96</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w:t>
            </w:r>
          </w:p>
        </w:tc>
        <w:tc>
          <w:tcPr>
            <w:tcW w:w="1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3.47</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197"/>
        </w:trPr>
        <w:tc>
          <w:tcPr>
            <w:tcW w:w="526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rPr>
              <w:t>Basic weighted average shares outstanding</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31,302</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44,212</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32,623</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45,272</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Diluted weighted average shares outstanding</w:t>
            </w: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31,387</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44,298</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32,709</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45,404</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4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30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00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646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96"/>
              </w:rPr>
              <w:t>2022</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1"/>
              <w:spacing w:after="0" w:line="142" w:lineRule="exact"/>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86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600,941</w:t>
            </w:r>
          </w:p>
        </w:tc>
        <w:tc>
          <w:tcPr>
            <w:tcW w:w="0" w:type="dxa"/>
            <w:vAlign w:val="bottom"/>
          </w:tcPr>
          <w:p>
            <w:pPr>
              <w:spacing w:after="0"/>
              <w:rPr>
                <w:sz w:val="1"/>
                <w:szCs w:val="1"/>
                <w:color w:val="auto"/>
              </w:rPr>
            </w:pPr>
          </w:p>
        </w:tc>
      </w:tr>
      <w:tr>
        <w:trPr>
          <w:trHeight w:val="216"/>
        </w:trPr>
        <w:tc>
          <w:tcPr>
            <w:tcW w:w="6460" w:type="dxa"/>
            <w:vAlign w:val="bottom"/>
          </w:tcPr>
          <w:p>
            <w:pPr>
              <w:ind w:left="100"/>
              <w:spacing w:after="0"/>
              <w:rPr>
                <w:sz w:val="20"/>
                <w:szCs w:val="20"/>
                <w:color w:val="auto"/>
              </w:rPr>
            </w:pPr>
            <w:r>
              <w:rPr>
                <w:rFonts w:ascii="Arial" w:cs="Arial" w:eastAsia="Arial" w:hAnsi="Arial"/>
                <w:sz w:val="18"/>
                <w:szCs w:val="18"/>
                <w:color w:val="auto"/>
              </w:rPr>
              <w:t>Investments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68,403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receivable,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70,063</w:t>
            </w:r>
          </w:p>
        </w:tc>
        <w:tc>
          <w:tcPr>
            <w:tcW w:w="0" w:type="dxa"/>
            <w:vAlign w:val="bottom"/>
          </w:tcPr>
          <w:p>
            <w:pPr>
              <w:spacing w:after="0"/>
              <w:rPr>
                <w:sz w:val="1"/>
                <w:szCs w:val="1"/>
                <w:color w:val="auto"/>
              </w:rPr>
            </w:pPr>
          </w:p>
        </w:tc>
      </w:tr>
      <w:tr>
        <w:trPr>
          <w:trHeight w:val="216"/>
        </w:trPr>
        <w:tc>
          <w:tcPr>
            <w:tcW w:w="6460" w:type="dxa"/>
            <w:vAlign w:val="bottom"/>
          </w:tcPr>
          <w:p>
            <w:pPr>
              <w:ind w:left="100"/>
              <w:spacing w:after="0"/>
              <w:rPr>
                <w:sz w:val="20"/>
                <w:szCs w:val="20"/>
                <w:color w:val="auto"/>
              </w:rPr>
            </w:pPr>
            <w:r>
              <w:rPr>
                <w:rFonts w:ascii="Arial" w:cs="Arial" w:eastAsia="Arial" w:hAnsi="Arial"/>
                <w:sz w:val="18"/>
                <w:szCs w:val="18"/>
                <w:color w:val="auto"/>
              </w:rPr>
              <w:t>Income tax receivable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current assets</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8,766</w:t>
            </w:r>
          </w:p>
        </w:tc>
        <w:tc>
          <w:tcPr>
            <w:tcW w:w="0" w:type="dxa"/>
            <w:vAlign w:val="bottom"/>
          </w:tcPr>
          <w:p>
            <w:pPr>
              <w:spacing w:after="0"/>
              <w:rPr>
                <w:sz w:val="1"/>
                <w:szCs w:val="1"/>
                <w:color w:val="auto"/>
              </w:rPr>
            </w:pPr>
          </w:p>
        </w:tc>
      </w:tr>
      <w:tr>
        <w:trPr>
          <w:trHeight w:val="210"/>
        </w:trPr>
        <w:tc>
          <w:tcPr>
            <w:tcW w:w="646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223,233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681,045</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136,120</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Right-of-use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75,086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57,652</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Amortizable intangible assets,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185,219</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160,766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160,766</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50"/>
        </w:trPr>
        <w:tc>
          <w:tcPr>
            <w:tcW w:w="64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784,544</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1,222,745</w:t>
            </w:r>
          </w:p>
        </w:tc>
        <w:tc>
          <w:tcPr>
            <w:tcW w:w="0" w:type="dxa"/>
            <w:vAlign w:val="bottom"/>
          </w:tcPr>
          <w:p>
            <w:pPr>
              <w:spacing w:after="0"/>
              <w:rPr>
                <w:sz w:val="1"/>
                <w:szCs w:val="1"/>
                <w:color w:val="auto"/>
              </w:rPr>
            </w:pPr>
          </w:p>
        </w:tc>
      </w:tr>
      <w:tr>
        <w:trPr>
          <w:trHeight w:val="197"/>
        </w:trPr>
        <w:tc>
          <w:tcPr>
            <w:tcW w:w="6460" w:type="dxa"/>
            <w:vAlign w:val="bottom"/>
            <w:shd w:val="clear" w:color="auto" w:fill="CCEEFF"/>
          </w:tcPr>
          <w:p>
            <w:pPr>
              <w:ind w:left="1260"/>
              <w:spacing w:after="0" w:line="195" w:lineRule="exact"/>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24,306</w:t>
            </w:r>
          </w:p>
        </w:tc>
        <w:tc>
          <w:tcPr>
            <w:tcW w:w="0" w:type="dxa"/>
            <w:vAlign w:val="bottom"/>
          </w:tcPr>
          <w:p>
            <w:pPr>
              <w:spacing w:after="0"/>
              <w:rPr>
                <w:sz w:val="1"/>
                <w:szCs w:val="1"/>
                <w:color w:val="auto"/>
              </w:rPr>
            </w:pPr>
          </w:p>
        </w:tc>
      </w:tr>
      <w:tr>
        <w:trPr>
          <w:trHeight w:val="216"/>
        </w:trPr>
        <w:tc>
          <w:tcPr>
            <w:tcW w:w="6460" w:type="dxa"/>
            <w:vAlign w:val="bottom"/>
          </w:tcPr>
          <w:p>
            <w:pPr>
              <w:ind w:left="100"/>
              <w:spacing w:after="0"/>
              <w:rPr>
                <w:sz w:val="20"/>
                <w:szCs w:val="20"/>
                <w:color w:val="auto"/>
              </w:rPr>
            </w:pPr>
            <w:r>
              <w:rPr>
                <w:rFonts w:ascii="Arial" w:cs="Arial" w:eastAsia="Arial" w:hAnsi="Arial"/>
                <w:sz w:val="18"/>
                <w:szCs w:val="18"/>
                <w:color w:val="auto"/>
              </w:rPr>
              <w:t>Accrued compensation and benefits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33,100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32,714</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27,593</w:t>
            </w:r>
          </w:p>
        </w:tc>
        <w:tc>
          <w:tcPr>
            <w:tcW w:w="0" w:type="dxa"/>
            <w:vAlign w:val="bottom"/>
          </w:tcPr>
          <w:p>
            <w:pPr>
              <w:spacing w:after="0"/>
              <w:rPr>
                <w:sz w:val="1"/>
                <w:szCs w:val="1"/>
                <w:color w:val="auto"/>
              </w:rPr>
            </w:pPr>
          </w:p>
        </w:tc>
      </w:tr>
      <w:tr>
        <w:trPr>
          <w:trHeight w:val="216"/>
        </w:trPr>
        <w:tc>
          <w:tcPr>
            <w:tcW w:w="6460" w:type="dxa"/>
            <w:vAlign w:val="bottom"/>
          </w:tcPr>
          <w:p>
            <w:pPr>
              <w:ind w:left="10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5,895</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4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Current portion of lease liability</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7,426</w:t>
            </w: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97,944</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Deferred income taxes, noncurrent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26,199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25,962</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6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Lease liability, less current portion</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70,760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53,755</w:t>
            </w:r>
          </w:p>
        </w:tc>
        <w:tc>
          <w:tcPr>
            <w:tcW w:w="0" w:type="dxa"/>
            <w:vAlign w:val="bottom"/>
          </w:tcPr>
          <w:p>
            <w:pPr>
              <w:spacing w:after="0"/>
              <w:rPr>
                <w:sz w:val="1"/>
                <w:szCs w:val="1"/>
                <w:color w:val="auto"/>
              </w:rPr>
            </w:pPr>
          </w:p>
        </w:tc>
      </w:tr>
      <w:tr>
        <w:trPr>
          <w:trHeight w:val="209"/>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192,988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177,698</w:t>
            </w:r>
          </w:p>
        </w:tc>
        <w:tc>
          <w:tcPr>
            <w:tcW w:w="0" w:type="dxa"/>
            <w:vAlign w:val="bottom"/>
          </w:tcPr>
          <w:p>
            <w:pPr>
              <w:spacing w:after="0"/>
              <w:rPr>
                <w:sz w:val="1"/>
                <w:szCs w:val="1"/>
                <w:color w:val="auto"/>
              </w:rPr>
            </w:pPr>
          </w:p>
        </w:tc>
      </w:tr>
      <w:tr>
        <w:trPr>
          <w:trHeight w:val="210"/>
        </w:trPr>
        <w:tc>
          <w:tcPr>
            <w:tcW w:w="64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460" w:type="dxa"/>
            <w:vAlign w:val="bottom"/>
          </w:tcPr>
          <w:p>
            <w:pPr>
              <w:spacing w:after="0" w:line="201" w:lineRule="exact"/>
              <w:rPr>
                <w:sz w:val="20"/>
                <w:szCs w:val="20"/>
                <w:color w:val="auto"/>
              </w:rPr>
            </w:pPr>
            <w:r>
              <w:rPr>
                <w:rFonts w:ascii="Arial" w:cs="Arial" w:eastAsia="Arial" w:hAnsi="Arial"/>
                <w:sz w:val="18"/>
                <w:szCs w:val="18"/>
                <w:color w:val="auto"/>
              </w:rPr>
              <w:t>Preferred stock, $0.01 par value, 10,000 shares authorized; 0 shares issued and</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outstanding at September 30, 2022 and December 31, 2021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$0.01 par value, 100,000 shares authorized; 53,830 and 53,637 shares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w w:val="90"/>
              </w:rPr>
              <w:t>issued and 31,377 and 37,722 shares outstanding at September 30, 2022 and December</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31, 2021, respectively</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02"/>
        </w:trPr>
        <w:tc>
          <w:tcPr>
            <w:tcW w:w="6460" w:type="dxa"/>
            <w:vAlign w:val="bottom"/>
          </w:tcPr>
          <w:p>
            <w:pPr>
              <w:spacing w:after="0" w:line="201" w:lineRule="exact"/>
              <w:rPr>
                <w:sz w:val="20"/>
                <w:szCs w:val="20"/>
                <w:color w:val="auto"/>
              </w:rPr>
            </w:pPr>
            <w:r>
              <w:rPr>
                <w:rFonts w:ascii="Arial" w:cs="Arial" w:eastAsia="Arial" w:hAnsi="Arial"/>
                <w:sz w:val="18"/>
                <w:szCs w:val="18"/>
                <w:color w:val="auto"/>
              </w:rPr>
              <w:t>Treasury stock, at cost, 22,453 and 15,915 shares of common stock at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September 30, 2022 and December 31, 2021, respectively</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3"/>
              </w:rPr>
              <w:t>(1,683,417)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(1,107,211)</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306,152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296,670</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1,968,700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1,855,052</w:t>
            </w:r>
          </w:p>
        </w:tc>
        <w:tc>
          <w:tcPr>
            <w:tcW w:w="0" w:type="dxa"/>
            <w:vAlign w:val="bottom"/>
          </w:tcPr>
          <w:p>
            <w:pPr>
              <w:spacing w:after="0"/>
              <w:rPr>
                <w:sz w:val="1"/>
                <w:szCs w:val="1"/>
                <w:color w:val="auto"/>
              </w:rPr>
            </w:pPr>
          </w:p>
        </w:tc>
      </w:tr>
      <w:tr>
        <w:trPr>
          <w:trHeight w:val="210"/>
        </w:trPr>
        <w:tc>
          <w:tcPr>
            <w:tcW w:w="64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591,556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1,045,047</w:t>
            </w:r>
          </w:p>
        </w:tc>
        <w:tc>
          <w:tcPr>
            <w:tcW w:w="0" w:type="dxa"/>
            <w:vAlign w:val="bottom"/>
          </w:tcPr>
          <w:p>
            <w:pPr>
              <w:spacing w:after="0"/>
              <w:rPr>
                <w:sz w:val="1"/>
                <w:szCs w:val="1"/>
                <w:color w:val="auto"/>
              </w:rPr>
            </w:pPr>
          </w:p>
        </w:tc>
      </w:tr>
      <w:tr>
        <w:trPr>
          <w:trHeight w:val="209"/>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784,544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1,222,745</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6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1740" w:type="dxa"/>
            <w:vAlign w:val="bottom"/>
            <w:gridSpan w:val="3"/>
          </w:tcPr>
          <w:p>
            <w:pPr>
              <w:jc w:val="right"/>
              <w:ind w:right="15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1740" w:type="dxa"/>
            <w:vAlign w:val="bottom"/>
            <w:gridSpan w:val="3"/>
          </w:tcPr>
          <w:p>
            <w:pPr>
              <w:jc w:val="right"/>
              <w:ind w:right="355"/>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480" w:type="dxa"/>
            <w:vAlign w:val="bottom"/>
            <w:gridSpan w:val="2"/>
            <w:vMerge w:val="continue"/>
          </w:tcPr>
          <w:p>
            <w:pPr>
              <w:spacing w:after="0"/>
              <w:rPr>
                <w:sz w:val="12"/>
                <w:szCs w:val="12"/>
                <w:color w:val="auto"/>
              </w:rPr>
            </w:pPr>
          </w:p>
        </w:tc>
        <w:tc>
          <w:tcPr>
            <w:tcW w:w="70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780" w:type="dxa"/>
            <w:vAlign w:val="bottom"/>
            <w:tcBorders>
              <w:top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5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$ 30,008</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$ 47,658</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$ 113,648</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$ 175,231</w:t>
            </w:r>
          </w:p>
        </w:tc>
        <w:tc>
          <w:tcPr>
            <w:tcW w:w="0" w:type="dxa"/>
            <w:vAlign w:val="bottom"/>
          </w:tcPr>
          <w:p>
            <w:pPr>
              <w:spacing w:after="0"/>
              <w:rPr>
                <w:sz w:val="1"/>
                <w:szCs w:val="1"/>
                <w:color w:val="auto"/>
              </w:rPr>
            </w:pPr>
          </w:p>
        </w:tc>
      </w:tr>
      <w:tr>
        <w:trPr>
          <w:trHeight w:val="216"/>
        </w:trPr>
        <w:tc>
          <w:tcPr>
            <w:tcW w:w="548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comprehensive income, net of tax:</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8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3"/>
              </w:rPr>
              <w:t>Unrealized losses on available-for-sale securities, net of taxes of $8 and</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$56 for the three months ended September 30, 2022 and 2021,</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4"/>
              </w:rPr>
              <w:t>respectively, and $131 for the nine months ended September 30, 2022</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48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$ 29,989</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$ 47,843</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$ 113,231</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$ 175,231</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2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60" w:type="dxa"/>
            <w:vAlign w:val="bottom"/>
            <w:gridSpan w:val="10"/>
          </w:tcPr>
          <w:p>
            <w:pPr>
              <w:ind w:left="20"/>
              <w:spacing w:after="0"/>
              <w:rPr>
                <w:sz w:val="20"/>
                <w:szCs w:val="20"/>
                <w:color w:val="auto"/>
              </w:rPr>
            </w:pPr>
            <w:r>
              <w:rPr>
                <w:rFonts w:ascii="Arial" w:cs="Arial" w:eastAsia="Arial" w:hAnsi="Arial"/>
                <w:sz w:val="14"/>
                <w:szCs w:val="14"/>
                <w:b w:val="1"/>
                <w:bCs w:val="1"/>
                <w:color w:val="auto"/>
              </w:rPr>
              <w:t>Nine Months Ended September 30, 2022</w:t>
            </w:r>
          </w:p>
        </w:tc>
        <w:tc>
          <w:tcPr>
            <w:tcW w:w="80" w:type="dxa"/>
            <w:vAlign w:val="bottom"/>
          </w:tcPr>
          <w:p>
            <w:pPr>
              <w:spacing w:after="0"/>
              <w:rPr>
                <w:sz w:val="16"/>
                <w:szCs w:val="16"/>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Additional</w:t>
            </w: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38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1580" w:type="dxa"/>
            <w:vAlign w:val="bottom"/>
            <w:gridSpan w:val="4"/>
            <w:vMerge w:val="restart"/>
          </w:tcPr>
          <w:p>
            <w:pPr>
              <w:jc w:val="right"/>
              <w:ind w:right="256"/>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40" w:type="dxa"/>
            <w:vAlign w:val="bottom"/>
          </w:tcPr>
          <w:p>
            <w:pPr>
              <w:spacing w:after="0"/>
              <w:rPr>
                <w:sz w:val="14"/>
                <w:szCs w:val="14"/>
                <w:color w:val="auto"/>
              </w:rPr>
            </w:pPr>
          </w:p>
        </w:tc>
        <w:tc>
          <w:tcPr>
            <w:tcW w:w="1380" w:type="dxa"/>
            <w:vAlign w:val="bottom"/>
            <w:gridSpan w:val="5"/>
            <w:vMerge w:val="continue"/>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77"/>
              <w:spacing w:after="0"/>
              <w:rPr>
                <w:sz w:val="20"/>
                <w:szCs w:val="20"/>
                <w:color w:val="auto"/>
              </w:rPr>
            </w:pPr>
            <w:r>
              <w:rPr>
                <w:rFonts w:ascii="Arial" w:cs="Arial" w:eastAsia="Arial" w:hAnsi="Arial"/>
                <w:sz w:val="14"/>
                <w:szCs w:val="14"/>
                <w:b w:val="1"/>
                <w:bCs w:val="1"/>
                <w:color w:val="auto"/>
              </w:rPr>
              <w:t>Paid-in</w:t>
            </w: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4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Shares</w:t>
            </w:r>
          </w:p>
        </w:tc>
        <w:tc>
          <w:tcPr>
            <w:tcW w:w="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7"/>
              </w:rPr>
              <w:t>Par Value</w:t>
            </w:r>
          </w:p>
        </w:tc>
        <w:tc>
          <w:tcPr>
            <w:tcW w:w="8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Shares</w:t>
            </w: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Cost</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36"/>
              <w:spacing w:after="0" w:line="142"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21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Balance at December 31,</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2"/>
              </w:rPr>
              <w:t>53,637</w:t>
            </w:r>
          </w:p>
        </w:tc>
        <w:tc>
          <w:tcPr>
            <w:tcW w:w="180" w:type="dxa"/>
            <w:vAlign w:val="bottom"/>
            <w:gridSpan w:val="2"/>
            <w:vMerge w:val="restart"/>
            <w:shd w:val="clear" w:color="auto" w:fill="CCEEFF"/>
          </w:tcPr>
          <w:p>
            <w:pPr>
              <w:ind w:left="80"/>
              <w:spacing w:after="0"/>
              <w:rPr>
                <w:sz w:val="20"/>
                <w:szCs w:val="20"/>
                <w:color w:val="auto"/>
              </w:rPr>
            </w:pPr>
            <w:r>
              <w:rPr>
                <w:rFonts w:ascii="Arial" w:cs="Arial" w:eastAsia="Arial" w:hAnsi="Arial"/>
                <w:sz w:val="17"/>
                <w:szCs w:val="17"/>
                <w:color w:val="auto"/>
                <w:w w:val="84"/>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536</w:t>
            </w:r>
          </w:p>
        </w:tc>
        <w:tc>
          <w:tcPr>
            <w:tcW w:w="8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2"/>
              </w:rPr>
              <w:t>15,915</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7"/>
                <w:szCs w:val="17"/>
                <w:color w:val="auto"/>
                <w:w w:val="98"/>
              </w:rPr>
              <w:t>$ (1,107,211)</w:t>
            </w:r>
          </w:p>
        </w:tc>
        <w:tc>
          <w:tcPr>
            <w:tcW w:w="840" w:type="dxa"/>
            <w:vAlign w:val="bottom"/>
            <w:gridSpan w:val="3"/>
            <w:vMerge w:val="restart"/>
            <w:shd w:val="clear" w:color="auto" w:fill="CCEEFF"/>
          </w:tcPr>
          <w:p>
            <w:pPr>
              <w:jc w:val="right"/>
              <w:spacing w:after="0"/>
              <w:rPr>
                <w:sz w:val="20"/>
                <w:szCs w:val="20"/>
                <w:color w:val="auto"/>
              </w:rPr>
            </w:pPr>
            <w:r>
              <w:rPr>
                <w:rFonts w:ascii="Arial" w:cs="Arial" w:eastAsia="Arial" w:hAnsi="Arial"/>
                <w:sz w:val="17"/>
                <w:szCs w:val="17"/>
                <w:color w:val="auto"/>
              </w:rPr>
              <w:t>$ 296,670</w:t>
            </w:r>
          </w:p>
        </w:tc>
        <w:tc>
          <w:tcPr>
            <w:tcW w:w="200" w:type="dxa"/>
            <w:vAlign w:val="bottom"/>
            <w:gridSpan w:val="2"/>
            <w:vMerge w:val="restart"/>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880" w:type="dxa"/>
            <w:vAlign w:val="bottom"/>
            <w:gridSpan w:val="5"/>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  $ 1,855,052</w:t>
            </w:r>
          </w:p>
        </w:tc>
        <w:tc>
          <w:tcPr>
            <w:tcW w:w="10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2"/>
              </w:rPr>
              <w:t>1,045,047</w:t>
            </w:r>
          </w:p>
        </w:tc>
        <w:tc>
          <w:tcPr>
            <w:tcW w:w="0" w:type="dxa"/>
            <w:vAlign w:val="bottom"/>
          </w:tcPr>
          <w:p>
            <w:pPr>
              <w:spacing w:after="0"/>
              <w:rPr>
                <w:sz w:val="1"/>
                <w:szCs w:val="1"/>
                <w:color w:val="auto"/>
              </w:rPr>
            </w:pPr>
          </w:p>
        </w:tc>
      </w:tr>
      <w:tr>
        <w:trPr>
          <w:trHeight w:val="217"/>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60" w:type="dxa"/>
            <w:vAlign w:val="bottom"/>
            <w:vMerge w:val="continue"/>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020" w:type="dxa"/>
            <w:vAlign w:val="bottom"/>
            <w:gridSpan w:val="3"/>
            <w:vMerge w:val="continue"/>
            <w:shd w:val="clear" w:color="auto" w:fill="CCEEFF"/>
          </w:tcPr>
          <w:p>
            <w:pPr>
              <w:spacing w:after="0"/>
              <w:rPr>
                <w:sz w:val="18"/>
                <w:szCs w:val="18"/>
                <w:color w:val="auto"/>
              </w:rPr>
            </w:pPr>
          </w:p>
        </w:tc>
        <w:tc>
          <w:tcPr>
            <w:tcW w:w="840" w:type="dxa"/>
            <w:vAlign w:val="bottom"/>
            <w:gridSpan w:val="3"/>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880" w:type="dxa"/>
            <w:vAlign w:val="bottom"/>
            <w:gridSpan w:val="5"/>
            <w:vMerge w:val="continue"/>
            <w:shd w:val="clear" w:color="auto" w:fill="CCEEFF"/>
          </w:tcPr>
          <w:p>
            <w:pPr>
              <w:spacing w:after="0"/>
              <w:rPr>
                <w:sz w:val="18"/>
                <w:szCs w:val="18"/>
                <w:color w:val="auto"/>
              </w:rPr>
            </w:pPr>
          </w:p>
        </w:tc>
        <w:tc>
          <w:tcPr>
            <w:tcW w:w="10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Comprehensive income</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40" w:type="dxa"/>
            <w:vAlign w:val="bottom"/>
            <w:vMerge w:val="continue"/>
          </w:tcPr>
          <w:p>
            <w:pPr>
              <w:spacing w:after="0"/>
              <w:rPr>
                <w:sz w:val="15"/>
                <w:szCs w:val="15"/>
                <w:color w:val="auto"/>
              </w:rPr>
            </w:pPr>
          </w:p>
        </w:tc>
        <w:tc>
          <w:tcPr>
            <w:tcW w:w="56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vMerge w:val="continue"/>
          </w:tcPr>
          <w:p>
            <w:pPr>
              <w:spacing w:after="0"/>
              <w:rPr>
                <w:sz w:val="15"/>
                <w:szCs w:val="15"/>
                <w:color w:val="auto"/>
              </w:rPr>
            </w:pPr>
          </w:p>
        </w:tc>
        <w:tc>
          <w:tcPr>
            <w:tcW w:w="56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7"/>
                <w:szCs w:val="17"/>
                <w:color w:val="auto"/>
              </w:rPr>
              <w:t>(323)</w:t>
            </w:r>
          </w:p>
        </w:tc>
        <w:tc>
          <w:tcPr>
            <w:tcW w:w="80" w:type="dxa"/>
            <w:vAlign w:val="bottom"/>
            <w:vMerge w:val="continue"/>
          </w:tcPr>
          <w:p>
            <w:pPr>
              <w:spacing w:after="0"/>
              <w:rPr>
                <w:sz w:val="15"/>
                <w:szCs w:val="15"/>
                <w:color w:val="auto"/>
              </w:rPr>
            </w:pPr>
          </w:p>
        </w:tc>
        <w:tc>
          <w:tcPr>
            <w:tcW w:w="88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58,078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57,755</w:t>
            </w:r>
          </w:p>
        </w:tc>
        <w:tc>
          <w:tcPr>
            <w:tcW w:w="0" w:type="dxa"/>
            <w:vAlign w:val="bottom"/>
          </w:tcPr>
          <w:p>
            <w:pPr>
              <w:spacing w:after="0"/>
              <w:rPr>
                <w:sz w:val="1"/>
                <w:szCs w:val="1"/>
                <w:color w:val="auto"/>
              </w:rPr>
            </w:pPr>
          </w:p>
        </w:tc>
      </w:tr>
      <w:tr>
        <w:trPr>
          <w:trHeight w:val="202"/>
        </w:trPr>
        <w:tc>
          <w:tcPr>
            <w:tcW w:w="2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purchased</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for treasury</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4,575</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(394,930)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(394,930)</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Restricted shares forfeited</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w w:val="96"/>
              </w:rPr>
              <w:t>Share-based compensation</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(4,625)</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3,188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(1,435)</w:t>
            </w:r>
          </w:p>
        </w:tc>
        <w:tc>
          <w:tcPr>
            <w:tcW w:w="0" w:type="dxa"/>
            <w:vAlign w:val="bottom"/>
          </w:tcPr>
          <w:p>
            <w:pPr>
              <w:spacing w:after="0"/>
              <w:rPr>
                <w:sz w:val="1"/>
                <w:szCs w:val="1"/>
                <w:color w:val="auto"/>
              </w:rPr>
            </w:pPr>
          </w:p>
        </w:tc>
      </w:tr>
      <w:tr>
        <w:trPr>
          <w:trHeight w:val="236"/>
        </w:trPr>
        <w:tc>
          <w:tcPr>
            <w:tcW w:w="214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w w:val="98"/>
              </w:rPr>
              <w:t>Balance at March 31, 2022</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53,826</w:t>
            </w:r>
          </w:p>
        </w:tc>
        <w:tc>
          <w:tcPr>
            <w:tcW w:w="8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538</w:t>
            </w:r>
          </w:p>
        </w:tc>
        <w:tc>
          <w:tcPr>
            <w:tcW w:w="80" w:type="dxa"/>
            <w:vAlign w:val="bottom"/>
            <w:tcBorders>
              <w:bottom w:val="single" w:sz="8" w:color="CCEEFF"/>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20,548</w:t>
            </w:r>
          </w:p>
        </w:tc>
        <w:tc>
          <w:tcPr>
            <w:tcW w:w="80" w:type="dxa"/>
            <w:vAlign w:val="bottom"/>
            <w:tcBorders>
              <w:bottom w:val="single" w:sz="8" w:color="CCEEFF"/>
            </w:tcBorders>
          </w:tcPr>
          <w:p>
            <w:pPr>
              <w:spacing w:after="0"/>
              <w:rPr>
                <w:sz w:val="20"/>
                <w:szCs w:val="20"/>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w w:val="90"/>
              </w:rPr>
              <w:t>$ (1,506,766)</w:t>
            </w:r>
          </w:p>
        </w:tc>
        <w:tc>
          <w:tcPr>
            <w:tcW w:w="80" w:type="dxa"/>
            <w:vAlign w:val="bottom"/>
            <w:tcBorders>
              <w:bottom w:val="single" w:sz="8" w:color="CCEEFF"/>
            </w:tcBorders>
          </w:tcPr>
          <w:p>
            <w:pPr>
              <w:spacing w:after="0"/>
              <w:rPr>
                <w:sz w:val="20"/>
                <w:szCs w:val="20"/>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w w:val="89"/>
              </w:rPr>
              <w:t>$ 299,858</w:t>
            </w:r>
          </w:p>
        </w:tc>
        <w:tc>
          <w:tcPr>
            <w:tcW w:w="8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(323)</w:t>
            </w:r>
          </w:p>
        </w:tc>
        <w:tc>
          <w:tcPr>
            <w:tcW w:w="80" w:type="dxa"/>
            <w:vAlign w:val="bottom"/>
            <w:tcBorders>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w w:val="89"/>
              </w:rPr>
              <w:t>$ 1,913,130</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706,437</w:t>
            </w: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Comprehensive income</w:t>
            </w:r>
          </w:p>
        </w:tc>
        <w:tc>
          <w:tcPr>
            <w:tcW w:w="5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(75)</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25,562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25,487</w:t>
            </w:r>
          </w:p>
        </w:tc>
        <w:tc>
          <w:tcPr>
            <w:tcW w:w="0" w:type="dxa"/>
            <w:vAlign w:val="bottom"/>
          </w:tcPr>
          <w:p>
            <w:pPr>
              <w:spacing w:after="0"/>
              <w:rPr>
                <w:sz w:val="1"/>
                <w:szCs w:val="1"/>
                <w:color w:val="auto"/>
              </w:rPr>
            </w:pPr>
          </w:p>
        </w:tc>
      </w:tr>
      <w:tr>
        <w:trPr>
          <w:trHeight w:val="202"/>
        </w:trPr>
        <w:tc>
          <w:tcPr>
            <w:tcW w:w="2140" w:type="dxa"/>
            <w:vAlign w:val="bottom"/>
          </w:tcPr>
          <w:p>
            <w:pPr>
              <w:spacing w:after="0" w:line="201" w:lineRule="exact"/>
              <w:rPr>
                <w:sz w:val="20"/>
                <w:szCs w:val="20"/>
                <w:color w:val="auto"/>
              </w:rPr>
            </w:pPr>
            <w:r>
              <w:rPr>
                <w:rFonts w:ascii="Arial" w:cs="Arial" w:eastAsia="Arial" w:hAnsi="Arial"/>
                <w:sz w:val="18"/>
                <w:szCs w:val="18"/>
                <w:color w:val="auto"/>
              </w:rPr>
              <w:t>Common stock purchased</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for treasury</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1,319</w:t>
            </w:r>
          </w:p>
        </w:tc>
        <w:tc>
          <w:tcPr>
            <w:tcW w:w="1020" w:type="dxa"/>
            <w:vAlign w:val="bottom"/>
            <w:gridSpan w:val="3"/>
          </w:tcPr>
          <w:p>
            <w:pPr>
              <w:jc w:val="right"/>
              <w:spacing w:after="0"/>
              <w:rPr>
                <w:sz w:val="20"/>
                <w:szCs w:val="20"/>
                <w:color w:val="auto"/>
              </w:rPr>
            </w:pPr>
            <w:r>
              <w:rPr>
                <w:rFonts w:ascii="Arial" w:cs="Arial" w:eastAsia="Arial" w:hAnsi="Arial"/>
                <w:sz w:val="17"/>
                <w:szCs w:val="17"/>
                <w:color w:val="auto"/>
              </w:rPr>
              <w:t>(128,457)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(128,457)</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forfeited</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w w:val="96"/>
              </w:rPr>
              <w:t>Share-based compensation</w:t>
            </w:r>
          </w:p>
        </w:tc>
        <w:tc>
          <w:tcPr>
            <w:tcW w:w="560" w:type="dxa"/>
            <w:vAlign w:val="bottom"/>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3,171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3,171</w:t>
            </w:r>
          </w:p>
        </w:tc>
        <w:tc>
          <w:tcPr>
            <w:tcW w:w="0" w:type="dxa"/>
            <w:vAlign w:val="bottom"/>
          </w:tcPr>
          <w:p>
            <w:pPr>
              <w:spacing w:after="0"/>
              <w:rPr>
                <w:sz w:val="1"/>
                <w:szCs w:val="1"/>
                <w:color w:val="auto"/>
              </w:rPr>
            </w:pPr>
          </w:p>
        </w:tc>
      </w:tr>
      <w:tr>
        <w:trPr>
          <w:trHeight w:val="196"/>
        </w:trPr>
        <w:tc>
          <w:tcPr>
            <w:tcW w:w="21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June 30, 2022</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53,830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21,867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0"/>
              </w:rPr>
              <w:t>$ (1,635,223)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$ 303,029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$ 1,938,692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606,638</w:t>
            </w:r>
          </w:p>
        </w:tc>
        <w:tc>
          <w:tcPr>
            <w:tcW w:w="0" w:type="dxa"/>
            <w:vAlign w:val="bottom"/>
          </w:tcPr>
          <w:p>
            <w:pPr>
              <w:spacing w:after="0"/>
              <w:rPr>
                <w:sz w:val="1"/>
                <w:szCs w:val="1"/>
                <w:color w:val="auto"/>
              </w:rPr>
            </w:pPr>
          </w:p>
        </w:tc>
      </w:tr>
      <w:tr>
        <w:trPr>
          <w:trHeight w:val="20"/>
        </w:trPr>
        <w:tc>
          <w:tcPr>
            <w:tcW w:w="2140" w:type="dxa"/>
            <w:vAlign w:val="bottom"/>
            <w:vMerge w:val="restart"/>
          </w:tcPr>
          <w:p>
            <w:pPr>
              <w:spacing w:after="0"/>
              <w:rPr>
                <w:sz w:val="20"/>
                <w:szCs w:val="20"/>
                <w:color w:val="auto"/>
              </w:rPr>
            </w:pPr>
            <w:r>
              <w:rPr>
                <w:rFonts w:ascii="Arial" w:cs="Arial" w:eastAsia="Arial" w:hAnsi="Arial"/>
                <w:sz w:val="18"/>
                <w:szCs w:val="18"/>
                <w:color w:val="auto"/>
              </w:rPr>
              <w:t>Comprehensive income</w:t>
            </w: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40" w:type="dxa"/>
            <w:vAlign w:val="bottom"/>
            <w:vMerge w:val="continue"/>
          </w:tcPr>
          <w:p>
            <w:pPr>
              <w:spacing w:after="0"/>
              <w:rPr>
                <w:sz w:val="15"/>
                <w:szCs w:val="15"/>
                <w:color w:val="auto"/>
              </w:rPr>
            </w:pPr>
          </w:p>
        </w:tc>
        <w:tc>
          <w:tcPr>
            <w:tcW w:w="56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vMerge w:val="continue"/>
          </w:tcPr>
          <w:p>
            <w:pPr>
              <w:spacing w:after="0"/>
              <w:rPr>
                <w:sz w:val="15"/>
                <w:szCs w:val="15"/>
                <w:color w:val="auto"/>
              </w:rPr>
            </w:pPr>
          </w:p>
        </w:tc>
        <w:tc>
          <w:tcPr>
            <w:tcW w:w="56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7"/>
                <w:szCs w:val="17"/>
                <w:color w:val="auto"/>
              </w:rPr>
              <w:t>(19)</w:t>
            </w:r>
          </w:p>
        </w:tc>
        <w:tc>
          <w:tcPr>
            <w:tcW w:w="80" w:type="dxa"/>
            <w:vAlign w:val="bottom"/>
            <w:vMerge w:val="continue"/>
          </w:tcPr>
          <w:p>
            <w:pPr>
              <w:spacing w:after="0"/>
              <w:rPr>
                <w:sz w:val="15"/>
                <w:szCs w:val="15"/>
                <w:color w:val="auto"/>
              </w:rPr>
            </w:pPr>
          </w:p>
        </w:tc>
        <w:tc>
          <w:tcPr>
            <w:tcW w:w="88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30,008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29,989</w:t>
            </w:r>
          </w:p>
        </w:tc>
        <w:tc>
          <w:tcPr>
            <w:tcW w:w="0" w:type="dxa"/>
            <w:vAlign w:val="bottom"/>
          </w:tcPr>
          <w:p>
            <w:pPr>
              <w:spacing w:after="0"/>
              <w:rPr>
                <w:sz w:val="1"/>
                <w:szCs w:val="1"/>
                <w:color w:val="auto"/>
              </w:rPr>
            </w:pPr>
          </w:p>
        </w:tc>
      </w:tr>
      <w:tr>
        <w:trPr>
          <w:trHeight w:val="202"/>
        </w:trPr>
        <w:tc>
          <w:tcPr>
            <w:tcW w:w="2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purchased</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for treasury</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(48,194)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(48,194)</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Restricted shares forfeited</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w w:val="96"/>
              </w:rPr>
              <w:t>Share-based compensation</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3,123</w:t>
            </w:r>
          </w:p>
        </w:tc>
        <w:tc>
          <w:tcPr>
            <w:tcW w:w="0" w:type="dxa"/>
            <w:vAlign w:val="bottom"/>
          </w:tcPr>
          <w:p>
            <w:pPr>
              <w:spacing w:after="0"/>
              <w:rPr>
                <w:sz w:val="1"/>
                <w:szCs w:val="1"/>
                <w:color w:val="auto"/>
              </w:rPr>
            </w:pPr>
          </w:p>
        </w:tc>
      </w:tr>
      <w:tr>
        <w:trPr>
          <w:trHeight w:val="182"/>
        </w:trPr>
        <w:tc>
          <w:tcPr>
            <w:tcW w:w="2140" w:type="dxa"/>
            <w:vAlign w:val="bottom"/>
          </w:tcPr>
          <w:p>
            <w:pPr>
              <w:spacing w:after="0" w:line="182" w:lineRule="exact"/>
              <w:rPr>
                <w:sz w:val="20"/>
                <w:szCs w:val="20"/>
                <w:color w:val="auto"/>
              </w:rPr>
            </w:pPr>
            <w:r>
              <w:rPr>
                <w:rFonts w:ascii="Arial" w:cs="Arial" w:eastAsia="Arial" w:hAnsi="Arial"/>
                <w:sz w:val="18"/>
                <w:szCs w:val="18"/>
                <w:color w:val="auto"/>
              </w:rPr>
              <w:t>Balance at</w:t>
            </w: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w w:val="92"/>
              </w:rPr>
              <w:t>53,830</w:t>
            </w:r>
          </w:p>
        </w:tc>
        <w:tc>
          <w:tcPr>
            <w:tcW w:w="180" w:type="dxa"/>
            <w:vAlign w:val="bottom"/>
            <w:gridSpan w:val="2"/>
            <w:vMerge w:val="restart"/>
          </w:tcPr>
          <w:p>
            <w:pPr>
              <w:ind w:left="80"/>
              <w:spacing w:after="0"/>
              <w:rPr>
                <w:sz w:val="20"/>
                <w:szCs w:val="20"/>
                <w:color w:val="auto"/>
              </w:rPr>
            </w:pPr>
            <w:r>
              <w:rPr>
                <w:rFonts w:ascii="Arial" w:cs="Arial" w:eastAsia="Arial" w:hAnsi="Arial"/>
                <w:sz w:val="17"/>
                <w:szCs w:val="17"/>
                <w:color w:val="auto"/>
                <w:w w:val="84"/>
              </w:rPr>
              <w:t>$</w:t>
            </w: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rPr>
              <w:t>538</w:t>
            </w:r>
          </w:p>
        </w:tc>
        <w:tc>
          <w:tcPr>
            <w:tcW w:w="8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w w:val="92"/>
              </w:rPr>
              <w:t>22,453</w:t>
            </w:r>
          </w:p>
        </w:tc>
        <w:tc>
          <w:tcPr>
            <w:tcW w:w="1020" w:type="dxa"/>
            <w:vAlign w:val="bottom"/>
            <w:gridSpan w:val="3"/>
            <w:vMerge w:val="restart"/>
          </w:tcPr>
          <w:p>
            <w:pPr>
              <w:jc w:val="right"/>
              <w:spacing w:after="0"/>
              <w:rPr>
                <w:sz w:val="20"/>
                <w:szCs w:val="20"/>
                <w:color w:val="auto"/>
              </w:rPr>
            </w:pPr>
            <w:r>
              <w:rPr>
                <w:rFonts w:ascii="Arial" w:cs="Arial" w:eastAsia="Arial" w:hAnsi="Arial"/>
                <w:sz w:val="17"/>
                <w:szCs w:val="17"/>
                <w:color w:val="auto"/>
                <w:w w:val="98"/>
              </w:rPr>
              <w:t>$ (1,683,417)</w:t>
            </w:r>
          </w:p>
        </w:tc>
        <w:tc>
          <w:tcPr>
            <w:tcW w:w="840" w:type="dxa"/>
            <w:vAlign w:val="bottom"/>
            <w:gridSpan w:val="3"/>
            <w:vMerge w:val="restart"/>
          </w:tcPr>
          <w:p>
            <w:pPr>
              <w:jc w:val="right"/>
              <w:spacing w:after="0"/>
              <w:rPr>
                <w:sz w:val="20"/>
                <w:szCs w:val="20"/>
                <w:color w:val="auto"/>
              </w:rPr>
            </w:pPr>
            <w:r>
              <w:rPr>
                <w:rFonts w:ascii="Arial" w:cs="Arial" w:eastAsia="Arial" w:hAnsi="Arial"/>
                <w:sz w:val="17"/>
                <w:szCs w:val="17"/>
                <w:color w:val="auto"/>
              </w:rPr>
              <w:t>$ 306,152</w:t>
            </w:r>
          </w:p>
        </w:tc>
        <w:tc>
          <w:tcPr>
            <w:tcW w:w="20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(417)</w:t>
            </w:r>
          </w:p>
        </w:tc>
        <w:tc>
          <w:tcPr>
            <w:tcW w:w="960" w:type="dxa"/>
            <w:vAlign w:val="bottom"/>
            <w:gridSpan w:val="3"/>
            <w:vMerge w:val="restart"/>
          </w:tcPr>
          <w:p>
            <w:pPr>
              <w:jc w:val="right"/>
              <w:spacing w:after="0"/>
              <w:rPr>
                <w:sz w:val="20"/>
                <w:szCs w:val="20"/>
                <w:color w:val="auto"/>
              </w:rPr>
            </w:pPr>
            <w:r>
              <w:rPr>
                <w:rFonts w:ascii="Arial" w:cs="Arial" w:eastAsia="Arial" w:hAnsi="Arial"/>
                <w:sz w:val="17"/>
                <w:szCs w:val="17"/>
                <w:color w:val="auto"/>
                <w:w w:val="97"/>
              </w:rPr>
              <w:t>$ 1,968,700</w:t>
            </w:r>
          </w:p>
        </w:tc>
        <w:tc>
          <w:tcPr>
            <w:tcW w:w="80" w:type="dxa"/>
            <w:vAlign w:val="bottom"/>
          </w:tcPr>
          <w:p>
            <w:pPr>
              <w:spacing w:after="0"/>
              <w:rPr>
                <w:sz w:val="15"/>
                <w:szCs w:val="15"/>
                <w:color w:val="auto"/>
              </w:rPr>
            </w:pPr>
          </w:p>
        </w:tc>
        <w:tc>
          <w:tcPr>
            <w:tcW w:w="100" w:type="dxa"/>
            <w:vAlign w:val="bottom"/>
            <w:gridSpan w:val="2"/>
            <w:vMerge w:val="restart"/>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591,556</w:t>
            </w:r>
          </w:p>
        </w:tc>
        <w:tc>
          <w:tcPr>
            <w:tcW w:w="0" w:type="dxa"/>
            <w:vAlign w:val="bottom"/>
          </w:tcPr>
          <w:p>
            <w:pPr>
              <w:spacing w:after="0"/>
              <w:rPr>
                <w:sz w:val="1"/>
                <w:szCs w:val="1"/>
                <w:color w:val="auto"/>
              </w:rPr>
            </w:pPr>
          </w:p>
        </w:tc>
      </w:tr>
      <w:tr>
        <w:trPr>
          <w:trHeight w:val="217"/>
        </w:trPr>
        <w:tc>
          <w:tcPr>
            <w:tcW w:w="2140" w:type="dxa"/>
            <w:vAlign w:val="bottom"/>
          </w:tcPr>
          <w:p>
            <w:pPr>
              <w:spacing w:after="0"/>
              <w:rPr>
                <w:sz w:val="20"/>
                <w:szCs w:val="20"/>
                <w:color w:val="auto"/>
              </w:rPr>
            </w:pPr>
            <w:r>
              <w:rPr>
                <w:rFonts w:ascii="Arial" w:cs="Arial" w:eastAsia="Arial" w:hAnsi="Arial"/>
                <w:sz w:val="18"/>
                <w:szCs w:val="18"/>
                <w:color w:val="auto"/>
              </w:rPr>
              <w:t>September 30, 2022</w:t>
            </w:r>
          </w:p>
        </w:tc>
        <w:tc>
          <w:tcPr>
            <w:tcW w:w="560" w:type="dxa"/>
            <w:vAlign w:val="bottom"/>
            <w:vMerge w:val="continue"/>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96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2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100" w:type="dxa"/>
            <w:vAlign w:val="bottom"/>
            <w:gridSpan w:val="11"/>
          </w:tcPr>
          <w:p>
            <w:pPr>
              <w:jc w:val="right"/>
              <w:ind w:right="518"/>
              <w:spacing w:after="0"/>
              <w:rPr>
                <w:sz w:val="20"/>
                <w:szCs w:val="20"/>
                <w:color w:val="auto"/>
              </w:rPr>
            </w:pPr>
            <w:r>
              <w:rPr>
                <w:rFonts w:ascii="Arial" w:cs="Arial" w:eastAsia="Arial" w:hAnsi="Arial"/>
                <w:sz w:val="14"/>
                <w:szCs w:val="14"/>
                <w:b w:val="1"/>
                <w:bCs w:val="1"/>
                <w:color w:val="auto"/>
                <w:w w:val="93"/>
              </w:rPr>
              <w:t>Nine Months Ended September 30, 2021</w:t>
            </w:r>
          </w:p>
        </w:tc>
        <w:tc>
          <w:tcPr>
            <w:tcW w:w="80" w:type="dxa"/>
            <w:vAlign w:val="bottom"/>
          </w:tcPr>
          <w:p>
            <w:pPr>
              <w:spacing w:after="0"/>
              <w:rPr>
                <w:sz w:val="16"/>
                <w:szCs w:val="16"/>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Additional</w:t>
            </w: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36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1460" w:type="dxa"/>
            <w:vAlign w:val="bottom"/>
            <w:gridSpan w:val="4"/>
            <w:vMerge w:val="restart"/>
          </w:tcPr>
          <w:p>
            <w:pPr>
              <w:jc w:val="right"/>
              <w:ind w:right="176"/>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360" w:type="dxa"/>
            <w:vAlign w:val="bottom"/>
            <w:gridSpan w:val="5"/>
            <w:vMerge w:val="continue"/>
          </w:tcPr>
          <w:p>
            <w:pPr>
              <w:spacing w:after="0"/>
              <w:rPr>
                <w:sz w:val="14"/>
                <w:szCs w:val="14"/>
                <w:color w:val="auto"/>
              </w:rPr>
            </w:pPr>
          </w:p>
        </w:tc>
        <w:tc>
          <w:tcPr>
            <w:tcW w:w="146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78"/>
              <w:spacing w:after="0"/>
              <w:rPr>
                <w:sz w:val="20"/>
                <w:szCs w:val="20"/>
                <w:color w:val="auto"/>
              </w:rPr>
            </w:pPr>
            <w:r>
              <w:rPr>
                <w:rFonts w:ascii="Arial" w:cs="Arial" w:eastAsia="Arial" w:hAnsi="Arial"/>
                <w:sz w:val="14"/>
                <w:szCs w:val="14"/>
                <w:b w:val="1"/>
                <w:bCs w:val="1"/>
                <w:color w:val="auto"/>
              </w:rPr>
              <w:t>Paid-in</w:t>
            </w: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8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Shares</w:t>
            </w:r>
          </w:p>
        </w:tc>
        <w:tc>
          <w:tcPr>
            <w:tcW w:w="8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Par Value</w:t>
            </w:r>
          </w:p>
        </w:tc>
        <w:tc>
          <w:tcPr>
            <w:tcW w:w="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Cost</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36"/>
              <w:spacing w:after="0" w:line="142"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22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Balance at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2"/>
              </w:rPr>
              <w:t>53,277</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533</w:t>
            </w:r>
          </w:p>
        </w:tc>
        <w:tc>
          <w:tcPr>
            <w:tcW w:w="8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6,628</w:t>
            </w:r>
          </w:p>
        </w:tc>
        <w:tc>
          <w:tcPr>
            <w:tcW w:w="880" w:type="dxa"/>
            <w:vAlign w:val="bottom"/>
            <w:gridSpan w:val="3"/>
            <w:vMerge w:val="restart"/>
            <w:shd w:val="clear" w:color="auto" w:fill="CCEEFF"/>
          </w:tcPr>
          <w:p>
            <w:pPr>
              <w:jc w:val="right"/>
              <w:spacing w:after="0"/>
              <w:rPr>
                <w:sz w:val="20"/>
                <w:szCs w:val="20"/>
                <w:color w:val="auto"/>
              </w:rPr>
            </w:pPr>
            <w:r>
              <w:rPr>
                <w:rFonts w:ascii="Arial" w:cs="Arial" w:eastAsia="Arial" w:hAnsi="Arial"/>
                <w:sz w:val="17"/>
                <w:szCs w:val="17"/>
                <w:color w:val="auto"/>
                <w:w w:val="98"/>
              </w:rPr>
              <w:t>$ (303,379)</w:t>
            </w:r>
          </w:p>
        </w:tc>
        <w:tc>
          <w:tcPr>
            <w:tcW w:w="840" w:type="dxa"/>
            <w:vAlign w:val="bottom"/>
            <w:gridSpan w:val="3"/>
            <w:vMerge w:val="restart"/>
            <w:shd w:val="clear" w:color="auto" w:fill="CCEEFF"/>
          </w:tcPr>
          <w:p>
            <w:pPr>
              <w:jc w:val="right"/>
              <w:spacing w:after="0"/>
              <w:rPr>
                <w:sz w:val="20"/>
                <w:szCs w:val="20"/>
                <w:color w:val="auto"/>
              </w:rPr>
            </w:pPr>
            <w:r>
              <w:rPr>
                <w:rFonts w:ascii="Arial" w:cs="Arial" w:eastAsia="Arial" w:hAnsi="Arial"/>
                <w:sz w:val="17"/>
                <w:szCs w:val="17"/>
                <w:color w:val="auto"/>
              </w:rPr>
              <w:t>$ 282,467</w:t>
            </w:r>
          </w:p>
        </w:tc>
        <w:tc>
          <w:tcPr>
            <w:tcW w:w="200" w:type="dxa"/>
            <w:vAlign w:val="bottom"/>
            <w:gridSpan w:val="2"/>
            <w:vMerge w:val="restart"/>
            <w:shd w:val="clear" w:color="auto" w:fill="CCEEFF"/>
          </w:tcPr>
          <w:p>
            <w:pPr>
              <w:ind w:left="80"/>
              <w:spacing w:after="0"/>
              <w:rPr>
                <w:sz w:val="20"/>
                <w:szCs w:val="20"/>
                <w:color w:val="auto"/>
              </w:rPr>
            </w:pPr>
            <w:r>
              <w:rPr>
                <w:rFonts w:ascii="Arial" w:cs="Arial" w:eastAsia="Arial" w:hAnsi="Arial"/>
                <w:sz w:val="17"/>
                <w:szCs w:val="17"/>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vMerge w:val="restart"/>
            <w:shd w:val="clear" w:color="auto" w:fill="CCEEFF"/>
          </w:tcPr>
          <w:p>
            <w:pPr>
              <w:jc w:val="right"/>
              <w:spacing w:after="0"/>
              <w:rPr>
                <w:sz w:val="20"/>
                <w:szCs w:val="20"/>
                <w:color w:val="auto"/>
              </w:rPr>
            </w:pPr>
            <w:r>
              <w:rPr>
                <w:rFonts w:ascii="Arial" w:cs="Arial" w:eastAsia="Arial" w:hAnsi="Arial"/>
                <w:sz w:val="17"/>
                <w:szCs w:val="17"/>
                <w:color w:val="auto"/>
                <w:w w:val="97"/>
              </w:rPr>
              <w:t>$ 1,594,708</w:t>
            </w:r>
          </w:p>
        </w:tc>
        <w:tc>
          <w:tcPr>
            <w:tcW w:w="960" w:type="dxa"/>
            <w:vAlign w:val="bottom"/>
            <w:gridSpan w:val="3"/>
            <w:vMerge w:val="restart"/>
            <w:shd w:val="clear" w:color="auto" w:fill="CCEEFF"/>
          </w:tcPr>
          <w:p>
            <w:pPr>
              <w:jc w:val="right"/>
              <w:spacing w:after="0"/>
              <w:rPr>
                <w:sz w:val="20"/>
                <w:szCs w:val="20"/>
                <w:color w:val="auto"/>
              </w:rPr>
            </w:pPr>
            <w:r>
              <w:rPr>
                <w:rFonts w:ascii="Arial" w:cs="Arial" w:eastAsia="Arial" w:hAnsi="Arial"/>
                <w:sz w:val="17"/>
                <w:szCs w:val="17"/>
                <w:color w:val="auto"/>
                <w:w w:val="97"/>
              </w:rPr>
              <w:t>$ 1,574,329</w:t>
            </w:r>
          </w:p>
        </w:tc>
        <w:tc>
          <w:tcPr>
            <w:tcW w:w="0" w:type="dxa"/>
            <w:vAlign w:val="bottom"/>
          </w:tcPr>
          <w:p>
            <w:pPr>
              <w:spacing w:after="0"/>
              <w:rPr>
                <w:sz w:val="1"/>
                <w:szCs w:val="1"/>
                <w:color w:val="auto"/>
              </w:rPr>
            </w:pPr>
          </w:p>
        </w:tc>
      </w:tr>
      <w:tr>
        <w:trPr>
          <w:trHeight w:val="217"/>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560" w:type="dxa"/>
            <w:vAlign w:val="bottom"/>
            <w:vMerge w:val="continue"/>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880" w:type="dxa"/>
            <w:vAlign w:val="bottom"/>
            <w:gridSpan w:val="3"/>
            <w:vMerge w:val="continue"/>
            <w:shd w:val="clear" w:color="auto" w:fill="CCEEFF"/>
          </w:tcPr>
          <w:p>
            <w:pPr>
              <w:spacing w:after="0"/>
              <w:rPr>
                <w:sz w:val="18"/>
                <w:szCs w:val="18"/>
                <w:color w:val="auto"/>
              </w:rPr>
            </w:pPr>
          </w:p>
        </w:tc>
        <w:tc>
          <w:tcPr>
            <w:tcW w:w="840" w:type="dxa"/>
            <w:vAlign w:val="bottom"/>
            <w:gridSpan w:val="3"/>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960" w:type="dxa"/>
            <w:vAlign w:val="bottom"/>
            <w:gridSpan w:val="3"/>
            <w:vMerge w:val="continue"/>
            <w:shd w:val="clear" w:color="auto" w:fill="CCEEFF"/>
          </w:tcPr>
          <w:p>
            <w:pPr>
              <w:spacing w:after="0"/>
              <w:rPr>
                <w:sz w:val="18"/>
                <w:szCs w:val="18"/>
                <w:color w:val="auto"/>
              </w:rPr>
            </w:pPr>
          </w:p>
        </w:tc>
        <w:tc>
          <w:tcPr>
            <w:tcW w:w="96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Comprehensive income</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80" w:type="dxa"/>
            <w:vAlign w:val="bottom"/>
            <w:vMerge w:val="continue"/>
          </w:tcPr>
          <w:p>
            <w:pPr>
              <w:spacing w:after="0"/>
              <w:rPr>
                <w:sz w:val="15"/>
                <w:szCs w:val="15"/>
                <w:color w:val="auto"/>
              </w:rPr>
            </w:pPr>
          </w:p>
        </w:tc>
        <w:tc>
          <w:tcPr>
            <w:tcW w:w="56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vMerge w:val="continue"/>
          </w:tcPr>
          <w:p>
            <w:pPr>
              <w:spacing w:after="0"/>
              <w:rPr>
                <w:sz w:val="15"/>
                <w:szCs w:val="15"/>
                <w:color w:val="auto"/>
              </w:rPr>
            </w:pPr>
          </w:p>
        </w:tc>
        <w:tc>
          <w:tcPr>
            <w:tcW w:w="58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7"/>
                <w:szCs w:val="17"/>
                <w:color w:val="auto"/>
              </w:rPr>
              <w:t>(120)</w:t>
            </w:r>
          </w:p>
        </w:tc>
        <w:tc>
          <w:tcPr>
            <w:tcW w:w="80" w:type="dxa"/>
            <w:vAlign w:val="bottom"/>
            <w:vMerge w:val="continue"/>
          </w:tcPr>
          <w:p>
            <w:pPr>
              <w:spacing w:after="0"/>
              <w:rPr>
                <w:sz w:val="15"/>
                <w:szCs w:val="15"/>
                <w:color w:val="auto"/>
              </w:rPr>
            </w:pPr>
          </w:p>
        </w:tc>
        <w:tc>
          <w:tcPr>
            <w:tcW w:w="88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78,112</w:t>
            </w:r>
          </w:p>
        </w:tc>
        <w:tc>
          <w:tcPr>
            <w:tcW w:w="80" w:type="dxa"/>
            <w:vAlign w:val="bottom"/>
            <w:vMerge w:val="continue"/>
          </w:tcPr>
          <w:p>
            <w:pPr>
              <w:spacing w:after="0"/>
              <w:rPr>
                <w:sz w:val="15"/>
                <w:szCs w:val="15"/>
                <w:color w:val="auto"/>
              </w:rPr>
            </w:pPr>
          </w:p>
        </w:tc>
        <w:tc>
          <w:tcPr>
            <w:tcW w:w="88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77,992</w:t>
            </w: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Common stock purchased for</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treasury</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(56,348)</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(7,000)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(63,348)</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Restricted shares forfeited</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(5,994)</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3,018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(2,975)</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60" w:type="dxa"/>
            <w:vAlign w:val="bottom"/>
          </w:tcPr>
          <w:p>
            <w:pPr>
              <w:jc w:val="right"/>
              <w:spacing w:after="0"/>
              <w:rPr>
                <w:sz w:val="20"/>
                <w:szCs w:val="20"/>
                <w:color w:val="auto"/>
              </w:rPr>
            </w:pPr>
            <w:r>
              <w:rPr>
                <w:rFonts w:ascii="Arial" w:cs="Arial" w:eastAsia="Arial" w:hAnsi="Arial"/>
                <w:sz w:val="17"/>
                <w:szCs w:val="17"/>
                <w:color w:val="auto"/>
              </w:rPr>
              <w:t>176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2,678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2,680</w:t>
            </w:r>
          </w:p>
        </w:tc>
        <w:tc>
          <w:tcPr>
            <w:tcW w:w="0" w:type="dxa"/>
            <w:vAlign w:val="bottom"/>
          </w:tcPr>
          <w:p>
            <w:pPr>
              <w:spacing w:after="0"/>
              <w:rPr>
                <w:sz w:val="1"/>
                <w:szCs w:val="1"/>
                <w:color w:val="auto"/>
              </w:rPr>
            </w:pPr>
          </w:p>
        </w:tc>
      </w:tr>
      <w:tr>
        <w:trPr>
          <w:trHeight w:val="196"/>
        </w:trPr>
        <w:tc>
          <w:tcPr>
            <w:tcW w:w="22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March 31, 2021</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53,633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7,251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 (365,721)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$ 281,163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$ 1,672,820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$ 1,588,678</w:t>
            </w:r>
          </w:p>
        </w:tc>
        <w:tc>
          <w:tcPr>
            <w:tcW w:w="0" w:type="dxa"/>
            <w:vAlign w:val="bottom"/>
          </w:tcPr>
          <w:p>
            <w:pPr>
              <w:spacing w:after="0"/>
              <w:rPr>
                <w:sz w:val="1"/>
                <w:szCs w:val="1"/>
                <w:color w:val="auto"/>
              </w:rPr>
            </w:pPr>
          </w:p>
        </w:tc>
      </w:tr>
      <w:tr>
        <w:trPr>
          <w:trHeight w:val="20"/>
        </w:trPr>
        <w:tc>
          <w:tcPr>
            <w:tcW w:w="2280" w:type="dxa"/>
            <w:vAlign w:val="bottom"/>
            <w:vMerge w:val="restart"/>
          </w:tcPr>
          <w:p>
            <w:pPr>
              <w:spacing w:after="0"/>
              <w:rPr>
                <w:sz w:val="20"/>
                <w:szCs w:val="20"/>
                <w:color w:val="auto"/>
              </w:rPr>
            </w:pPr>
            <w:r>
              <w:rPr>
                <w:rFonts w:ascii="Arial" w:cs="Arial" w:eastAsia="Arial" w:hAnsi="Arial"/>
                <w:sz w:val="18"/>
                <w:szCs w:val="18"/>
                <w:color w:val="auto"/>
              </w:rPr>
              <w:t>Comprehensive income</w:t>
            </w: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80" w:type="dxa"/>
            <w:vAlign w:val="bottom"/>
            <w:vMerge w:val="continue"/>
          </w:tcPr>
          <w:p>
            <w:pPr>
              <w:spacing w:after="0"/>
              <w:rPr>
                <w:sz w:val="15"/>
                <w:szCs w:val="15"/>
                <w:color w:val="auto"/>
              </w:rPr>
            </w:pPr>
          </w:p>
        </w:tc>
        <w:tc>
          <w:tcPr>
            <w:tcW w:w="56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vMerge w:val="continue"/>
          </w:tcPr>
          <w:p>
            <w:pPr>
              <w:spacing w:after="0"/>
              <w:rPr>
                <w:sz w:val="15"/>
                <w:szCs w:val="15"/>
                <w:color w:val="auto"/>
              </w:rPr>
            </w:pPr>
          </w:p>
        </w:tc>
        <w:tc>
          <w:tcPr>
            <w:tcW w:w="58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7"/>
                <w:szCs w:val="17"/>
                <w:color w:val="auto"/>
              </w:rPr>
              <w:t>(65)</w:t>
            </w:r>
          </w:p>
        </w:tc>
        <w:tc>
          <w:tcPr>
            <w:tcW w:w="80" w:type="dxa"/>
            <w:vAlign w:val="bottom"/>
            <w:vMerge w:val="continue"/>
          </w:tcPr>
          <w:p>
            <w:pPr>
              <w:spacing w:after="0"/>
              <w:rPr>
                <w:sz w:val="15"/>
                <w:szCs w:val="15"/>
                <w:color w:val="auto"/>
              </w:rPr>
            </w:pPr>
          </w:p>
        </w:tc>
        <w:tc>
          <w:tcPr>
            <w:tcW w:w="88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49,461</w:t>
            </w:r>
          </w:p>
        </w:tc>
        <w:tc>
          <w:tcPr>
            <w:tcW w:w="80" w:type="dxa"/>
            <w:vAlign w:val="bottom"/>
            <w:vMerge w:val="continue"/>
          </w:tcPr>
          <w:p>
            <w:pPr>
              <w:spacing w:after="0"/>
              <w:rPr>
                <w:sz w:val="15"/>
                <w:szCs w:val="15"/>
                <w:color w:val="auto"/>
              </w:rPr>
            </w:pPr>
          </w:p>
        </w:tc>
        <w:tc>
          <w:tcPr>
            <w:tcW w:w="88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49,396</w:t>
            </w: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Common stock purchased for</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treasury</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982</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(95,331)</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(3,000)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(98,331)</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Restricted shares forfeited</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2,940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2,940</w:t>
            </w:r>
          </w:p>
        </w:tc>
        <w:tc>
          <w:tcPr>
            <w:tcW w:w="0" w:type="dxa"/>
            <w:vAlign w:val="bottom"/>
          </w:tcPr>
          <w:p>
            <w:pPr>
              <w:spacing w:after="0"/>
              <w:rPr>
                <w:sz w:val="1"/>
                <w:szCs w:val="1"/>
                <w:color w:val="auto"/>
              </w:rPr>
            </w:pPr>
          </w:p>
        </w:tc>
      </w:tr>
      <w:tr>
        <w:trPr>
          <w:trHeight w:val="236"/>
        </w:trPr>
        <w:tc>
          <w:tcPr>
            <w:tcW w:w="228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Balance at June 30, 2021</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53,637</w:t>
            </w:r>
          </w:p>
        </w:tc>
        <w:tc>
          <w:tcPr>
            <w:tcW w:w="8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536</w:t>
            </w:r>
          </w:p>
        </w:tc>
        <w:tc>
          <w:tcPr>
            <w:tcW w:w="80" w:type="dxa"/>
            <w:vAlign w:val="bottom"/>
            <w:tcBorders>
              <w:bottom w:val="single" w:sz="8" w:color="CCEEFF"/>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8,241</w:t>
            </w:r>
          </w:p>
        </w:tc>
        <w:tc>
          <w:tcPr>
            <w:tcW w:w="80" w:type="dxa"/>
            <w:vAlign w:val="bottom"/>
            <w:tcBorders>
              <w:bottom w:val="single" w:sz="8" w:color="CCEEFF"/>
            </w:tcBorders>
          </w:tcPr>
          <w:p>
            <w:pPr>
              <w:spacing w:after="0"/>
              <w:rPr>
                <w:sz w:val="20"/>
                <w:szCs w:val="20"/>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w w:val="89"/>
              </w:rPr>
              <w:t>$ (461,052)</w:t>
            </w:r>
          </w:p>
        </w:tc>
        <w:tc>
          <w:tcPr>
            <w:tcW w:w="80" w:type="dxa"/>
            <w:vAlign w:val="bottom"/>
            <w:tcBorders>
              <w:bottom w:val="single" w:sz="8" w:color="CCEEFF"/>
            </w:tcBorders>
          </w:tcPr>
          <w:p>
            <w:pPr>
              <w:spacing w:after="0"/>
              <w:rPr>
                <w:sz w:val="20"/>
                <w:szCs w:val="20"/>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w w:val="89"/>
              </w:rPr>
              <w:t>$ 281,103</w:t>
            </w:r>
          </w:p>
        </w:tc>
        <w:tc>
          <w:tcPr>
            <w:tcW w:w="8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(185)</w:t>
            </w:r>
          </w:p>
        </w:tc>
        <w:tc>
          <w:tcPr>
            <w:tcW w:w="80" w:type="dxa"/>
            <w:vAlign w:val="bottom"/>
            <w:tcBorders>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w w:val="89"/>
              </w:rPr>
              <w:t>$ 1,722,281</w:t>
            </w:r>
          </w:p>
        </w:tc>
        <w:tc>
          <w:tcPr>
            <w:tcW w:w="80" w:type="dxa"/>
            <w:vAlign w:val="bottom"/>
            <w:tcBorders>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w w:val="89"/>
              </w:rPr>
              <w:t>$ 1,542,683</w:t>
            </w:r>
          </w:p>
        </w:tc>
        <w:tc>
          <w:tcPr>
            <w:tcW w:w="0" w:type="dxa"/>
            <w:vAlign w:val="bottom"/>
          </w:tcPr>
          <w:p>
            <w:pPr>
              <w:spacing w:after="0"/>
              <w:rPr>
                <w:sz w:val="1"/>
                <w:szCs w:val="1"/>
                <w:color w:val="auto"/>
              </w:rPr>
            </w:pPr>
          </w:p>
        </w:tc>
      </w:tr>
      <w:tr>
        <w:trPr>
          <w:trHeight w:val="183"/>
        </w:trPr>
        <w:tc>
          <w:tcPr>
            <w:tcW w:w="228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Comprehensive income</w:t>
            </w:r>
          </w:p>
        </w:tc>
        <w:tc>
          <w:tcPr>
            <w:tcW w:w="5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185</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47,658</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47,843</w:t>
            </w:r>
          </w:p>
        </w:tc>
        <w:tc>
          <w:tcPr>
            <w:tcW w:w="0" w:type="dxa"/>
            <w:vAlign w:val="bottom"/>
          </w:tcPr>
          <w:p>
            <w:pPr>
              <w:spacing w:after="0"/>
              <w:rPr>
                <w:sz w:val="1"/>
                <w:szCs w:val="1"/>
                <w:color w:val="auto"/>
              </w:rPr>
            </w:pPr>
          </w:p>
        </w:tc>
      </w:tr>
      <w:tr>
        <w:trPr>
          <w:trHeight w:val="202"/>
        </w:trPr>
        <w:tc>
          <w:tcPr>
            <w:tcW w:w="2280" w:type="dxa"/>
            <w:vAlign w:val="bottom"/>
          </w:tcPr>
          <w:p>
            <w:pPr>
              <w:spacing w:after="0" w:line="201" w:lineRule="exact"/>
              <w:rPr>
                <w:sz w:val="20"/>
                <w:szCs w:val="20"/>
                <w:color w:val="auto"/>
              </w:rPr>
            </w:pPr>
            <w:r>
              <w:rPr>
                <w:rFonts w:ascii="Arial" w:cs="Arial" w:eastAsia="Arial" w:hAnsi="Arial"/>
                <w:sz w:val="18"/>
                <w:szCs w:val="18"/>
                <w:color w:val="auto"/>
                <w:w w:val="96"/>
              </w:rPr>
              <w:t>Common stock purchased for</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treasury</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2,324</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(202,506)</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10,000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(192,506)</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forfeited</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Share-based compensation</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gridSpan w:val="2"/>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2,756</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gridSpan w:val="2"/>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2,756</w:t>
            </w:r>
          </w:p>
        </w:tc>
        <w:tc>
          <w:tcPr>
            <w:tcW w:w="0" w:type="dxa"/>
            <w:vAlign w:val="bottom"/>
          </w:tcPr>
          <w:p>
            <w:pPr>
              <w:spacing w:after="0"/>
              <w:rPr>
                <w:sz w:val="1"/>
                <w:szCs w:val="1"/>
                <w:color w:val="auto"/>
              </w:rPr>
            </w:pPr>
          </w:p>
        </w:tc>
      </w:tr>
      <w:tr>
        <w:trPr>
          <w:trHeight w:val="182"/>
        </w:trPr>
        <w:tc>
          <w:tcPr>
            <w:tcW w:w="22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Balance at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2"/>
              </w:rPr>
              <w:t>53,637</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536</w:t>
            </w:r>
          </w:p>
        </w:tc>
        <w:tc>
          <w:tcPr>
            <w:tcW w:w="8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6"/>
              </w:rPr>
              <w:t>10,583</w:t>
            </w:r>
          </w:p>
        </w:tc>
        <w:tc>
          <w:tcPr>
            <w:tcW w:w="880" w:type="dxa"/>
            <w:vAlign w:val="bottom"/>
            <w:gridSpan w:val="3"/>
            <w:vMerge w:val="restart"/>
            <w:shd w:val="clear" w:color="auto" w:fill="CCEEFF"/>
          </w:tcPr>
          <w:p>
            <w:pPr>
              <w:jc w:val="right"/>
              <w:spacing w:after="0"/>
              <w:rPr>
                <w:sz w:val="20"/>
                <w:szCs w:val="20"/>
                <w:color w:val="auto"/>
              </w:rPr>
            </w:pPr>
            <w:r>
              <w:rPr>
                <w:rFonts w:ascii="Arial" w:cs="Arial" w:eastAsia="Arial" w:hAnsi="Arial"/>
                <w:sz w:val="17"/>
                <w:szCs w:val="17"/>
                <w:color w:val="auto"/>
                <w:w w:val="98"/>
              </w:rPr>
              <w:t>$ (663,558)</w:t>
            </w:r>
          </w:p>
        </w:tc>
        <w:tc>
          <w:tcPr>
            <w:tcW w:w="840" w:type="dxa"/>
            <w:vAlign w:val="bottom"/>
            <w:gridSpan w:val="3"/>
            <w:vMerge w:val="restart"/>
            <w:shd w:val="clear" w:color="auto" w:fill="CCEEFF"/>
          </w:tcPr>
          <w:p>
            <w:pPr>
              <w:jc w:val="right"/>
              <w:spacing w:after="0"/>
              <w:rPr>
                <w:sz w:val="20"/>
                <w:szCs w:val="20"/>
                <w:color w:val="auto"/>
              </w:rPr>
            </w:pPr>
            <w:r>
              <w:rPr>
                <w:rFonts w:ascii="Arial" w:cs="Arial" w:eastAsia="Arial" w:hAnsi="Arial"/>
                <w:sz w:val="17"/>
                <w:szCs w:val="17"/>
                <w:color w:val="auto"/>
              </w:rPr>
              <w:t>$ 293,859</w:t>
            </w:r>
          </w:p>
        </w:tc>
        <w:tc>
          <w:tcPr>
            <w:tcW w:w="200" w:type="dxa"/>
            <w:vAlign w:val="bottom"/>
            <w:gridSpan w:val="2"/>
            <w:vMerge w:val="restart"/>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800" w:type="dxa"/>
            <w:vAlign w:val="bottom"/>
            <w:gridSpan w:val="4"/>
            <w:vMerge w:val="restart"/>
            <w:shd w:val="clear" w:color="auto" w:fill="CCEEFF"/>
          </w:tcPr>
          <w:p>
            <w:pPr>
              <w:jc w:val="right"/>
              <w:spacing w:after="0"/>
              <w:rPr>
                <w:sz w:val="20"/>
                <w:szCs w:val="20"/>
                <w:color w:val="auto"/>
              </w:rPr>
            </w:pPr>
            <w:r>
              <w:rPr>
                <w:rFonts w:ascii="Arial" w:cs="Arial" w:eastAsia="Arial" w:hAnsi="Arial"/>
                <w:sz w:val="17"/>
                <w:szCs w:val="17"/>
                <w:color w:val="auto"/>
              </w:rPr>
              <w:t>—  $ 1,769,939</w:t>
            </w:r>
          </w:p>
        </w:tc>
        <w:tc>
          <w:tcPr>
            <w:tcW w:w="960" w:type="dxa"/>
            <w:vAlign w:val="bottom"/>
            <w:gridSpan w:val="3"/>
            <w:vMerge w:val="restart"/>
            <w:shd w:val="clear" w:color="auto" w:fill="CCEEFF"/>
          </w:tcPr>
          <w:p>
            <w:pPr>
              <w:jc w:val="right"/>
              <w:spacing w:after="0"/>
              <w:rPr>
                <w:sz w:val="20"/>
                <w:szCs w:val="20"/>
                <w:color w:val="auto"/>
              </w:rPr>
            </w:pPr>
            <w:r>
              <w:rPr>
                <w:rFonts w:ascii="Arial" w:cs="Arial" w:eastAsia="Arial" w:hAnsi="Arial"/>
                <w:sz w:val="17"/>
                <w:szCs w:val="17"/>
                <w:color w:val="auto"/>
                <w:w w:val="97"/>
              </w:rPr>
              <w:t>$ 1,400,776</w:t>
            </w:r>
          </w:p>
        </w:tc>
        <w:tc>
          <w:tcPr>
            <w:tcW w:w="0" w:type="dxa"/>
            <w:vAlign w:val="bottom"/>
          </w:tcPr>
          <w:p>
            <w:pPr>
              <w:spacing w:after="0"/>
              <w:rPr>
                <w:sz w:val="1"/>
                <w:szCs w:val="1"/>
                <w:color w:val="auto"/>
              </w:rPr>
            </w:pPr>
          </w:p>
        </w:tc>
      </w:tr>
      <w:tr>
        <w:trPr>
          <w:trHeight w:val="217"/>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2021</w:t>
            </w:r>
          </w:p>
        </w:tc>
        <w:tc>
          <w:tcPr>
            <w:tcW w:w="560" w:type="dxa"/>
            <w:vAlign w:val="bottom"/>
            <w:vMerge w:val="continue"/>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880" w:type="dxa"/>
            <w:vAlign w:val="bottom"/>
            <w:gridSpan w:val="3"/>
            <w:vMerge w:val="continue"/>
            <w:shd w:val="clear" w:color="auto" w:fill="CCEEFF"/>
          </w:tcPr>
          <w:p>
            <w:pPr>
              <w:spacing w:after="0"/>
              <w:rPr>
                <w:sz w:val="18"/>
                <w:szCs w:val="18"/>
                <w:color w:val="auto"/>
              </w:rPr>
            </w:pPr>
          </w:p>
        </w:tc>
        <w:tc>
          <w:tcPr>
            <w:tcW w:w="840" w:type="dxa"/>
            <w:vAlign w:val="bottom"/>
            <w:gridSpan w:val="3"/>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800" w:type="dxa"/>
            <w:vAlign w:val="bottom"/>
            <w:gridSpan w:val="4"/>
            <w:vMerge w:val="continue"/>
            <w:shd w:val="clear" w:color="auto" w:fill="CCEEFF"/>
          </w:tcPr>
          <w:p>
            <w:pPr>
              <w:spacing w:after="0"/>
              <w:rPr>
                <w:sz w:val="18"/>
                <w:szCs w:val="18"/>
                <w:color w:val="auto"/>
              </w:rPr>
            </w:pPr>
          </w:p>
        </w:tc>
        <w:tc>
          <w:tcPr>
            <w:tcW w:w="96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72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2"/>
        </w:trPr>
        <w:tc>
          <w:tcPr>
            <w:tcW w:w="67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provided by operating activities: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4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113,648</w:t>
            </w:r>
          </w:p>
        </w:tc>
        <w:tc>
          <w:tcPr>
            <w:tcW w:w="36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175,231</w:t>
            </w:r>
          </w:p>
        </w:tc>
        <w:tc>
          <w:tcPr>
            <w:tcW w:w="0" w:type="dxa"/>
            <w:vAlign w:val="bottom"/>
          </w:tcPr>
          <w:p>
            <w:pPr>
              <w:spacing w:after="0"/>
              <w:rPr>
                <w:sz w:val="1"/>
                <w:szCs w:val="1"/>
                <w:color w:val="auto"/>
              </w:rPr>
            </w:pPr>
          </w:p>
        </w:tc>
      </w:tr>
      <w:tr>
        <w:trPr>
          <w:trHeight w:val="149"/>
        </w:trPr>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20" w:type="dxa"/>
            <w:vAlign w:val="bottom"/>
          </w:tcPr>
          <w:p>
            <w:pPr>
              <w:ind w:left="100"/>
              <w:spacing w:after="0" w:line="149" w:lineRule="exact"/>
              <w:rPr>
                <w:sz w:val="20"/>
                <w:szCs w:val="20"/>
                <w:color w:val="auto"/>
              </w:rPr>
            </w:pPr>
            <w:r>
              <w:rPr>
                <w:rFonts w:ascii="Arial" w:cs="Arial" w:eastAsia="Arial" w:hAnsi="Arial"/>
                <w:sz w:val="14"/>
                <w:szCs w:val="14"/>
                <w:color w:val="auto"/>
              </w:rPr>
              <w:t>Share-based compensation</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9,484</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8,715</w:t>
            </w: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17,023</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16,401</w:t>
            </w:r>
          </w:p>
        </w:tc>
        <w:tc>
          <w:tcPr>
            <w:tcW w:w="0" w:type="dxa"/>
            <w:vAlign w:val="bottom"/>
          </w:tcPr>
          <w:p>
            <w:pPr>
              <w:spacing w:after="0"/>
              <w:rPr>
                <w:sz w:val="1"/>
                <w:szCs w:val="1"/>
                <w:color w:val="auto"/>
              </w:rPr>
            </w:pPr>
          </w:p>
        </w:tc>
      </w:tr>
      <w:tr>
        <w:trPr>
          <w:trHeight w:val="148"/>
        </w:trPr>
        <w:tc>
          <w:tcPr>
            <w:tcW w:w="6720" w:type="dxa"/>
            <w:vAlign w:val="bottom"/>
          </w:tcPr>
          <w:p>
            <w:pPr>
              <w:ind w:left="100"/>
              <w:spacing w:after="0" w:line="149" w:lineRule="exact"/>
              <w:rPr>
                <w:sz w:val="20"/>
                <w:szCs w:val="20"/>
                <w:color w:val="auto"/>
              </w:rPr>
            </w:pPr>
            <w:r>
              <w:rPr>
                <w:rFonts w:ascii="Arial" w:cs="Arial" w:eastAsia="Arial" w:hAnsi="Arial"/>
                <w:sz w:val="14"/>
                <w:szCs w:val="14"/>
                <w:color w:val="auto"/>
              </w:rPr>
              <w:t>Amortization of intangible assets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6,315</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6,315</w:t>
            </w: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Deferred income taxes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2,333</w:t>
            </w:r>
          </w:p>
        </w:tc>
        <w:tc>
          <w:tcPr>
            <w:tcW w:w="0" w:type="dxa"/>
            <w:vAlign w:val="bottom"/>
          </w:tcPr>
          <w:p>
            <w:pPr>
              <w:spacing w:after="0"/>
              <w:rPr>
                <w:sz w:val="1"/>
                <w:szCs w:val="1"/>
                <w:color w:val="auto"/>
              </w:rPr>
            </w:pPr>
          </w:p>
        </w:tc>
      </w:tr>
      <w:tr>
        <w:trPr>
          <w:trHeight w:val="149"/>
        </w:trPr>
        <w:tc>
          <w:tcPr>
            <w:tcW w:w="6720" w:type="dxa"/>
            <w:vAlign w:val="bottom"/>
          </w:tcPr>
          <w:p>
            <w:pPr>
              <w:ind w:left="100"/>
              <w:spacing w:after="0" w:line="149" w:lineRule="exact"/>
              <w:rPr>
                <w:sz w:val="20"/>
                <w:szCs w:val="20"/>
                <w:color w:val="auto"/>
              </w:rPr>
            </w:pPr>
            <w:r>
              <w:rPr>
                <w:rFonts w:ascii="Arial" w:cs="Arial" w:eastAsia="Arial" w:hAnsi="Arial"/>
                <w:sz w:val="14"/>
                <w:szCs w:val="14"/>
                <w:color w:val="auto"/>
              </w:rPr>
              <w:t>Other, including fixed asset impairments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1,013</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Changes in assets and liabilities: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20" w:type="dxa"/>
            <w:vAlign w:val="bottom"/>
          </w:tcPr>
          <w:p>
            <w:pPr>
              <w:ind w:left="220"/>
              <w:spacing w:after="0" w:line="149" w:lineRule="exact"/>
              <w:rPr>
                <w:sz w:val="20"/>
                <w:szCs w:val="20"/>
                <w:color w:val="auto"/>
              </w:rPr>
            </w:pPr>
            <w:r>
              <w:rPr>
                <w:rFonts w:ascii="Arial" w:cs="Arial" w:eastAsia="Arial" w:hAnsi="Arial"/>
                <w:sz w:val="14"/>
                <w:szCs w:val="14"/>
                <w:color w:val="auto"/>
              </w:rPr>
              <w:t>Accounts receivable and interest receivable from university partners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(31,107)</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(32,815)</w:t>
            </w: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assets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(1,288)</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(2,451)</w:t>
            </w:r>
          </w:p>
        </w:tc>
        <w:tc>
          <w:tcPr>
            <w:tcW w:w="0" w:type="dxa"/>
            <w:vAlign w:val="bottom"/>
          </w:tcPr>
          <w:p>
            <w:pPr>
              <w:spacing w:after="0"/>
              <w:rPr>
                <w:sz w:val="1"/>
                <w:szCs w:val="1"/>
                <w:color w:val="auto"/>
              </w:rPr>
            </w:pPr>
          </w:p>
        </w:tc>
      </w:tr>
      <w:tr>
        <w:trPr>
          <w:trHeight w:val="148"/>
        </w:trPr>
        <w:tc>
          <w:tcPr>
            <w:tcW w:w="6720" w:type="dxa"/>
            <w:vAlign w:val="bottom"/>
          </w:tcPr>
          <w:p>
            <w:pPr>
              <w:ind w:left="220"/>
              <w:spacing w:after="0" w:line="149" w:lineRule="exact"/>
              <w:rPr>
                <w:sz w:val="20"/>
                <w:szCs w:val="20"/>
                <w:color w:val="auto"/>
              </w:rPr>
            </w:pPr>
            <w:r>
              <w:rPr>
                <w:rFonts w:ascii="Arial" w:cs="Arial" w:eastAsia="Arial" w:hAnsi="Arial"/>
                <w:sz w:val="14"/>
                <w:szCs w:val="14"/>
                <w:color w:val="auto"/>
              </w:rPr>
              <w:t>Right-of-use assets and lease liabilities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700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(5,768)</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23,487</w:t>
            </w:r>
          </w:p>
        </w:tc>
        <w:tc>
          <w:tcPr>
            <w:tcW w:w="0" w:type="dxa"/>
            <w:vAlign w:val="bottom"/>
          </w:tcPr>
          <w:p>
            <w:pPr>
              <w:spacing w:after="0"/>
              <w:rPr>
                <w:sz w:val="1"/>
                <w:szCs w:val="1"/>
                <w:color w:val="auto"/>
              </w:rPr>
            </w:pPr>
          </w:p>
        </w:tc>
      </w:tr>
      <w:tr>
        <w:trPr>
          <w:trHeight w:val="149"/>
        </w:trPr>
        <w:tc>
          <w:tcPr>
            <w:tcW w:w="6720" w:type="dxa"/>
            <w:vAlign w:val="bottom"/>
          </w:tcPr>
          <w:p>
            <w:pPr>
              <w:ind w:left="220"/>
              <w:spacing w:after="0" w:line="149" w:lineRule="exact"/>
              <w:rPr>
                <w:sz w:val="20"/>
                <w:szCs w:val="20"/>
                <w:color w:val="auto"/>
              </w:rPr>
            </w:pPr>
            <w:r>
              <w:rPr>
                <w:rFonts w:ascii="Arial" w:cs="Arial" w:eastAsia="Arial" w:hAnsi="Arial"/>
                <w:sz w:val="14"/>
                <w:szCs w:val="14"/>
                <w:color w:val="auto"/>
              </w:rPr>
              <w:t>Accrued liabilities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2,162</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13,358</w:t>
            </w: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Income taxes receivable/payable</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(8,172)</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(5,806)</w:t>
            </w:r>
          </w:p>
        </w:tc>
        <w:tc>
          <w:tcPr>
            <w:tcW w:w="0" w:type="dxa"/>
            <w:vAlign w:val="bottom"/>
          </w:tcPr>
          <w:p>
            <w:pPr>
              <w:spacing w:after="0"/>
              <w:rPr>
                <w:sz w:val="1"/>
                <w:szCs w:val="1"/>
                <w:color w:val="auto"/>
              </w:rPr>
            </w:pPr>
          </w:p>
        </w:tc>
      </w:tr>
      <w:tr>
        <w:trPr>
          <w:trHeight w:val="148"/>
        </w:trPr>
        <w:tc>
          <w:tcPr>
            <w:tcW w:w="672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Deferred revenue</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6,092</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3,204</w:t>
            </w:r>
          </w:p>
        </w:tc>
        <w:tc>
          <w:tcPr>
            <w:tcW w:w="0" w:type="dxa"/>
            <w:vAlign w:val="bottom"/>
          </w:tcPr>
          <w:p>
            <w:pPr>
              <w:spacing w:after="0"/>
              <w:rPr>
                <w:sz w:val="1"/>
                <w:szCs w:val="1"/>
                <w:color w:val="auto"/>
              </w:rPr>
            </w:pPr>
          </w:p>
        </w:tc>
      </w:tr>
      <w:tr>
        <w:trPr>
          <w:trHeight w:val="142"/>
        </w:trPr>
        <w:tc>
          <w:tcPr>
            <w:tcW w:w="67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cash provided by operating activities</w:t>
            </w:r>
          </w:p>
        </w:tc>
        <w:tc>
          <w:tcPr>
            <w:tcW w:w="2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110,470</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208,895</w:t>
            </w:r>
          </w:p>
        </w:tc>
        <w:tc>
          <w:tcPr>
            <w:tcW w:w="0" w:type="dxa"/>
            <w:vAlign w:val="bottom"/>
          </w:tcPr>
          <w:p>
            <w:pPr>
              <w:spacing w:after="0"/>
              <w:rPr>
                <w:sz w:val="1"/>
                <w:szCs w:val="1"/>
                <w:color w:val="auto"/>
              </w:rPr>
            </w:pPr>
          </w:p>
        </w:tc>
      </w:tr>
      <w:tr>
        <w:trPr>
          <w:trHeight w:val="142"/>
        </w:trPr>
        <w:tc>
          <w:tcPr>
            <w:tcW w:w="6720" w:type="dxa"/>
            <w:vAlign w:val="bottom"/>
          </w:tcPr>
          <w:p>
            <w:pPr>
              <w:spacing w:after="0" w:line="142" w:lineRule="exact"/>
              <w:rPr>
                <w:sz w:val="20"/>
                <w:szCs w:val="20"/>
                <w:color w:val="auto"/>
              </w:rPr>
            </w:pPr>
            <w:r>
              <w:rPr>
                <w:rFonts w:ascii="Arial" w:cs="Arial" w:eastAsia="Arial" w:hAnsi="Arial"/>
                <w:sz w:val="14"/>
                <w:szCs w:val="14"/>
                <w:b w:val="1"/>
                <w:bCs w:val="1"/>
                <w:color w:val="auto"/>
              </w:rPr>
              <w:t>Cash flows used in investing activities: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Capital expenditures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(26,301)</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(21,352)</w:t>
            </w:r>
          </w:p>
        </w:tc>
        <w:tc>
          <w:tcPr>
            <w:tcW w:w="0" w:type="dxa"/>
            <w:vAlign w:val="bottom"/>
          </w:tcPr>
          <w:p>
            <w:pPr>
              <w:spacing w:after="0"/>
              <w:rPr>
                <w:sz w:val="1"/>
                <w:szCs w:val="1"/>
                <w:color w:val="auto"/>
              </w:rPr>
            </w:pPr>
          </w:p>
        </w:tc>
      </w:tr>
      <w:tr>
        <w:trPr>
          <w:trHeight w:val="148"/>
        </w:trPr>
        <w:tc>
          <w:tcPr>
            <w:tcW w:w="6720" w:type="dxa"/>
            <w:vAlign w:val="bottom"/>
          </w:tcPr>
          <w:p>
            <w:pPr>
              <w:ind w:left="100"/>
              <w:spacing w:after="0" w:line="149" w:lineRule="exact"/>
              <w:rPr>
                <w:sz w:val="20"/>
                <w:szCs w:val="20"/>
                <w:color w:val="auto"/>
              </w:rPr>
            </w:pPr>
            <w:r>
              <w:rPr>
                <w:rFonts w:ascii="Arial" w:cs="Arial" w:eastAsia="Arial" w:hAnsi="Arial"/>
                <w:sz w:val="14"/>
                <w:szCs w:val="14"/>
                <w:color w:val="auto"/>
              </w:rPr>
              <w:t>Additions of amortizable content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(294)</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(409)</w:t>
            </w: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Funding to GCU</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(190,000)</w:t>
            </w:r>
          </w:p>
        </w:tc>
        <w:tc>
          <w:tcPr>
            <w:tcW w:w="0" w:type="dxa"/>
            <w:vAlign w:val="bottom"/>
          </w:tcPr>
          <w:p>
            <w:pPr>
              <w:spacing w:after="0"/>
              <w:rPr>
                <w:sz w:val="1"/>
                <w:szCs w:val="1"/>
                <w:color w:val="auto"/>
              </w:rPr>
            </w:pPr>
          </w:p>
        </w:tc>
      </w:tr>
      <w:tr>
        <w:trPr>
          <w:trHeight w:val="149"/>
        </w:trPr>
        <w:tc>
          <w:tcPr>
            <w:tcW w:w="6720" w:type="dxa"/>
            <w:vAlign w:val="bottom"/>
          </w:tcPr>
          <w:p>
            <w:pPr>
              <w:ind w:left="100"/>
              <w:spacing w:after="0" w:line="149" w:lineRule="exact"/>
              <w:rPr>
                <w:sz w:val="20"/>
                <w:szCs w:val="20"/>
                <w:color w:val="auto"/>
              </w:rPr>
            </w:pPr>
            <w:r>
              <w:rPr>
                <w:rFonts w:ascii="Arial" w:cs="Arial" w:eastAsia="Arial" w:hAnsi="Arial"/>
                <w:sz w:val="14"/>
                <w:szCs w:val="14"/>
                <w:color w:val="auto"/>
              </w:rPr>
              <w:t>Repayment by GCU</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190,000</w:t>
            </w: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Purchases of investments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(132,096)</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(56,335)</w:t>
            </w:r>
          </w:p>
        </w:tc>
        <w:tc>
          <w:tcPr>
            <w:tcW w:w="0" w:type="dxa"/>
            <w:vAlign w:val="bottom"/>
          </w:tcPr>
          <w:p>
            <w:pPr>
              <w:spacing w:after="0"/>
              <w:rPr>
                <w:sz w:val="1"/>
                <w:szCs w:val="1"/>
                <w:color w:val="auto"/>
              </w:rPr>
            </w:pPr>
          </w:p>
        </w:tc>
      </w:tr>
      <w:tr>
        <w:trPr>
          <w:trHeight w:val="148"/>
        </w:trPr>
        <w:tc>
          <w:tcPr>
            <w:tcW w:w="6720" w:type="dxa"/>
            <w:vAlign w:val="bottom"/>
            <w:tcBorders>
              <w:bottom w:val="single" w:sz="8" w:color="CCEEFF"/>
            </w:tcBorders>
          </w:tcPr>
          <w:p>
            <w:pPr>
              <w:ind w:left="100"/>
              <w:spacing w:after="0" w:line="149" w:lineRule="exact"/>
              <w:rPr>
                <w:sz w:val="20"/>
                <w:szCs w:val="20"/>
                <w:color w:val="auto"/>
              </w:rPr>
            </w:pPr>
            <w:r>
              <w:rPr>
                <w:rFonts w:ascii="Arial" w:cs="Arial" w:eastAsia="Arial" w:hAnsi="Arial"/>
                <w:sz w:val="14"/>
                <w:szCs w:val="14"/>
                <w:color w:val="auto"/>
              </w:rPr>
              <w:t>Proceeds from sale or maturity of investments</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63,373</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66,792</w:t>
            </w:r>
          </w:p>
        </w:tc>
        <w:tc>
          <w:tcPr>
            <w:tcW w:w="0" w:type="dxa"/>
            <w:vAlign w:val="bottom"/>
          </w:tcPr>
          <w:p>
            <w:pPr>
              <w:spacing w:after="0"/>
              <w:rPr>
                <w:sz w:val="1"/>
                <w:szCs w:val="1"/>
                <w:color w:val="auto"/>
              </w:rPr>
            </w:pPr>
          </w:p>
        </w:tc>
      </w:tr>
      <w:tr>
        <w:trPr>
          <w:trHeight w:val="142"/>
        </w:trPr>
        <w:tc>
          <w:tcPr>
            <w:tcW w:w="67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cash used in investing activities</w:t>
            </w:r>
          </w:p>
        </w:tc>
        <w:tc>
          <w:tcPr>
            <w:tcW w:w="2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(95,318)</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(11,304)</w:t>
            </w:r>
          </w:p>
        </w:tc>
        <w:tc>
          <w:tcPr>
            <w:tcW w:w="0" w:type="dxa"/>
            <w:vAlign w:val="bottom"/>
          </w:tcPr>
          <w:p>
            <w:pPr>
              <w:spacing w:after="0"/>
              <w:rPr>
                <w:sz w:val="1"/>
                <w:szCs w:val="1"/>
                <w:color w:val="auto"/>
              </w:rPr>
            </w:pPr>
          </w:p>
        </w:tc>
      </w:tr>
      <w:tr>
        <w:trPr>
          <w:trHeight w:val="142"/>
        </w:trPr>
        <w:tc>
          <w:tcPr>
            <w:tcW w:w="6720" w:type="dxa"/>
            <w:vAlign w:val="bottom"/>
          </w:tcPr>
          <w:p>
            <w:pPr>
              <w:spacing w:after="0" w:line="142" w:lineRule="exact"/>
              <w:rPr>
                <w:sz w:val="20"/>
                <w:szCs w:val="20"/>
                <w:color w:val="auto"/>
              </w:rPr>
            </w:pPr>
            <w:r>
              <w:rPr>
                <w:rFonts w:ascii="Arial" w:cs="Arial" w:eastAsia="Arial" w:hAnsi="Arial"/>
                <w:sz w:val="14"/>
                <w:szCs w:val="14"/>
                <w:b w:val="1"/>
                <w:bCs w:val="1"/>
                <w:color w:val="auto"/>
              </w:rPr>
              <w:t>Cash flows used in financing activities: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Principal payments on notes payable</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(24,859)</w:t>
            </w:r>
          </w:p>
        </w:tc>
        <w:tc>
          <w:tcPr>
            <w:tcW w:w="0" w:type="dxa"/>
            <w:vAlign w:val="bottom"/>
          </w:tcPr>
          <w:p>
            <w:pPr>
              <w:spacing w:after="0"/>
              <w:rPr>
                <w:sz w:val="1"/>
                <w:szCs w:val="1"/>
                <w:color w:val="auto"/>
              </w:rPr>
            </w:pPr>
          </w:p>
        </w:tc>
      </w:tr>
      <w:tr>
        <w:trPr>
          <w:trHeight w:val="148"/>
        </w:trPr>
        <w:tc>
          <w:tcPr>
            <w:tcW w:w="6720" w:type="dxa"/>
            <w:vAlign w:val="bottom"/>
          </w:tcPr>
          <w:p>
            <w:pPr>
              <w:ind w:left="100"/>
              <w:spacing w:after="0" w:line="149" w:lineRule="exact"/>
              <w:rPr>
                <w:sz w:val="20"/>
                <w:szCs w:val="20"/>
                <w:color w:val="auto"/>
              </w:rPr>
            </w:pPr>
            <w:r>
              <w:rPr>
                <w:rFonts w:ascii="Arial" w:cs="Arial" w:eastAsia="Arial" w:hAnsi="Arial"/>
                <w:sz w:val="14"/>
                <w:szCs w:val="14"/>
                <w:color w:val="auto"/>
              </w:rPr>
              <w:t>Repurchase of common shares and shares withheld in lieu of income taxes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(576,206)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(360,179)</w:t>
            </w: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proceeds from exercise of stock options</w:t>
            </w:r>
          </w:p>
        </w:tc>
        <w:tc>
          <w:tcPr>
            <w:tcW w:w="2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2,680</w:t>
            </w:r>
          </w:p>
        </w:tc>
        <w:tc>
          <w:tcPr>
            <w:tcW w:w="0" w:type="dxa"/>
            <w:vAlign w:val="bottom"/>
          </w:tcPr>
          <w:p>
            <w:pPr>
              <w:spacing w:after="0"/>
              <w:rPr>
                <w:sz w:val="1"/>
                <w:szCs w:val="1"/>
                <w:color w:val="auto"/>
              </w:rPr>
            </w:pPr>
          </w:p>
        </w:tc>
      </w:tr>
      <w:tr>
        <w:trPr>
          <w:trHeight w:val="142"/>
        </w:trPr>
        <w:tc>
          <w:tcPr>
            <w:tcW w:w="67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cash used in financing activities</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(576,206)</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(382,358)</w:t>
            </w:r>
          </w:p>
        </w:tc>
        <w:tc>
          <w:tcPr>
            <w:tcW w:w="0" w:type="dxa"/>
            <w:vAlign w:val="bottom"/>
          </w:tcPr>
          <w:p>
            <w:pPr>
              <w:spacing w:after="0"/>
              <w:rPr>
                <w:sz w:val="1"/>
                <w:szCs w:val="1"/>
                <w:color w:val="auto"/>
              </w:rPr>
            </w:pPr>
          </w:p>
        </w:tc>
      </w:tr>
      <w:tr>
        <w:trPr>
          <w:trHeight w:val="142"/>
        </w:trPr>
        <w:tc>
          <w:tcPr>
            <w:tcW w:w="67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decrease in cash and cash equivalents and restricted cash</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(561,054)</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(184,767)</w:t>
            </w:r>
          </w:p>
        </w:tc>
        <w:tc>
          <w:tcPr>
            <w:tcW w:w="0" w:type="dxa"/>
            <w:vAlign w:val="bottom"/>
          </w:tcPr>
          <w:p>
            <w:pPr>
              <w:spacing w:after="0"/>
              <w:rPr>
                <w:sz w:val="1"/>
                <w:szCs w:val="1"/>
                <w:color w:val="auto"/>
              </w:rPr>
            </w:pPr>
          </w:p>
        </w:tc>
      </w:tr>
      <w:tr>
        <w:trPr>
          <w:trHeight w:val="148"/>
        </w:trPr>
        <w:tc>
          <w:tcPr>
            <w:tcW w:w="67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b w:val="1"/>
                <w:bCs w:val="1"/>
                <w:color w:val="auto"/>
              </w:rPr>
              <w:t>Cash and cash equivalents and restricted cash, beginning of period</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600,941</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245,769</w:t>
            </w:r>
          </w:p>
        </w:tc>
        <w:tc>
          <w:tcPr>
            <w:tcW w:w="0" w:type="dxa"/>
            <w:vAlign w:val="bottom"/>
          </w:tcPr>
          <w:p>
            <w:pPr>
              <w:spacing w:after="0"/>
              <w:rPr>
                <w:sz w:val="1"/>
                <w:szCs w:val="1"/>
                <w:color w:val="auto"/>
              </w:rPr>
            </w:pPr>
          </w:p>
        </w:tc>
      </w:tr>
      <w:tr>
        <w:trPr>
          <w:trHeight w:val="142"/>
        </w:trPr>
        <w:tc>
          <w:tcPr>
            <w:tcW w:w="67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and cash equivalents and restricted cash, end of period</w:t>
            </w:r>
          </w:p>
        </w:tc>
        <w:tc>
          <w:tcPr>
            <w:tcW w:w="2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39,887</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61,002</w:t>
            </w:r>
          </w:p>
        </w:tc>
        <w:tc>
          <w:tcPr>
            <w:tcW w:w="0" w:type="dxa"/>
            <w:vAlign w:val="bottom"/>
          </w:tcPr>
          <w:p>
            <w:pPr>
              <w:spacing w:after="0"/>
              <w:rPr>
                <w:sz w:val="1"/>
                <w:szCs w:val="1"/>
                <w:color w:val="auto"/>
              </w:rPr>
            </w:pPr>
          </w:p>
        </w:tc>
      </w:tr>
      <w:tr>
        <w:trPr>
          <w:trHeight w:val="142"/>
        </w:trPr>
        <w:tc>
          <w:tcPr>
            <w:tcW w:w="6720" w:type="dxa"/>
            <w:vAlign w:val="bottom"/>
          </w:tcPr>
          <w:p>
            <w:pPr>
              <w:spacing w:after="0" w:line="142"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Cash paid for interest</w:t>
            </w:r>
          </w:p>
        </w:tc>
        <w:tc>
          <w:tcPr>
            <w:tcW w:w="4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36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2,399</w:t>
            </w:r>
          </w:p>
        </w:tc>
        <w:tc>
          <w:tcPr>
            <w:tcW w:w="0" w:type="dxa"/>
            <w:vAlign w:val="bottom"/>
          </w:tcPr>
          <w:p>
            <w:pPr>
              <w:spacing w:after="0"/>
              <w:rPr>
                <w:sz w:val="1"/>
                <w:szCs w:val="1"/>
                <w:color w:val="auto"/>
              </w:rPr>
            </w:pPr>
          </w:p>
        </w:tc>
      </w:tr>
      <w:tr>
        <w:trPr>
          <w:trHeight w:val="149"/>
        </w:trPr>
        <w:tc>
          <w:tcPr>
            <w:tcW w:w="6720" w:type="dxa"/>
            <w:vAlign w:val="bottom"/>
          </w:tcPr>
          <w:p>
            <w:pPr>
              <w:ind w:left="100"/>
              <w:spacing w:after="0" w:line="149" w:lineRule="exact"/>
              <w:rPr>
                <w:sz w:val="20"/>
                <w:szCs w:val="20"/>
                <w:color w:val="auto"/>
              </w:rPr>
            </w:pPr>
            <w:r>
              <w:rPr>
                <w:rFonts w:ascii="Arial" w:cs="Arial" w:eastAsia="Arial" w:hAnsi="Arial"/>
                <w:sz w:val="14"/>
                <w:szCs w:val="14"/>
                <w:color w:val="auto"/>
              </w:rPr>
              <w:t>Cash paid for income taxes</w:t>
            </w:r>
          </w:p>
        </w:tc>
        <w:tc>
          <w:tcPr>
            <w:tcW w:w="4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41,118</w:t>
            </w:r>
          </w:p>
        </w:tc>
        <w:tc>
          <w:tcPr>
            <w:tcW w:w="36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48,408</w:t>
            </w: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20" w:type="dxa"/>
            <w:vAlign w:val="bottom"/>
          </w:tcPr>
          <w:p>
            <w:pPr>
              <w:ind w:left="100"/>
              <w:spacing w:after="0" w:line="149" w:lineRule="exact"/>
              <w:rPr>
                <w:sz w:val="20"/>
                <w:szCs w:val="20"/>
                <w:color w:val="auto"/>
              </w:rPr>
            </w:pPr>
            <w:r>
              <w:rPr>
                <w:rFonts w:ascii="Arial" w:cs="Arial" w:eastAsia="Arial" w:hAnsi="Arial"/>
                <w:sz w:val="14"/>
                <w:szCs w:val="14"/>
                <w:color w:val="auto"/>
              </w:rPr>
              <w:t>Purchases of property and equipment included in accounts payable</w:t>
            </w:r>
          </w:p>
        </w:tc>
        <w:tc>
          <w:tcPr>
            <w:tcW w:w="4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1,827</w:t>
            </w:r>
          </w:p>
        </w:tc>
        <w:tc>
          <w:tcPr>
            <w:tcW w:w="36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1,802</w:t>
            </w:r>
          </w:p>
        </w:tc>
        <w:tc>
          <w:tcPr>
            <w:tcW w:w="0" w:type="dxa"/>
            <w:vAlign w:val="bottom"/>
          </w:tcPr>
          <w:p>
            <w:pPr>
              <w:spacing w:after="0"/>
              <w:rPr>
                <w:sz w:val="1"/>
                <w:szCs w:val="1"/>
                <w:color w:val="auto"/>
              </w:rPr>
            </w:pPr>
          </w:p>
        </w:tc>
      </w:tr>
      <w:tr>
        <w:trPr>
          <w:trHeight w:val="149"/>
        </w:trPr>
        <w:tc>
          <w:tcPr>
            <w:tcW w:w="67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ROU Asset and Liability recognition</w:t>
            </w:r>
          </w:p>
        </w:tc>
        <w:tc>
          <w:tcPr>
            <w:tcW w:w="4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17,434</w:t>
            </w:r>
          </w:p>
        </w:tc>
        <w:tc>
          <w:tcPr>
            <w:tcW w:w="36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3,775</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6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Nature of Business</w:t>
      </w:r>
    </w:p>
    <w:p>
      <w:pPr>
        <w:spacing w:after="0" w:line="229" w:lineRule="exact"/>
        <w:rPr>
          <w:sz w:val="20"/>
          <w:szCs w:val="20"/>
          <w:color w:val="auto"/>
        </w:rPr>
      </w:pPr>
    </w:p>
    <w:p>
      <w:pPr>
        <w:ind w:left="60" w:right="199" w:firstLine="648"/>
        <w:spacing w:after="0" w:line="254" w:lineRule="auto"/>
        <w:rPr>
          <w:sz w:val="20"/>
          <w:szCs w:val="20"/>
          <w:color w:val="auto"/>
        </w:rPr>
      </w:pPr>
      <w:r>
        <w:rPr>
          <w:rFonts w:ascii="Arial" w:cs="Arial" w:eastAsia="Arial" w:hAnsi="Arial"/>
          <w:sz w:val="18"/>
          <w:szCs w:val="18"/>
          <w:color w:val="auto"/>
        </w:rPr>
        <w:t>Grand Canyon Education, Inc. (together with its subsidiaries, the “Company” or “GCE”)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an Arizona non-profit corporation, a comprehensive regionally accredited university that offers graduate and undergraduate degree programs, emphases and certificates across nine colleges both online, on ground at its campus in Phoenix, Arizona and at four off-campus classroom and laboratory sites.</w:t>
      </w:r>
    </w:p>
    <w:p>
      <w:pPr>
        <w:spacing w:after="0" w:line="195"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In January 2019, GCE began providing education services to numerous university partners across the United States, through our wholly owned subsidiary, Orbis Education, which we acquired, by merger on January 22, 2019 (the “Acquisition”). Since the Acquisition, GCE, together with Orbis Education, has continued to add additional university partners. In the healthcare field, we work in partnership with a growing number of top universities and healthcare networks across the country, offering healthcare-related academic programs at off-campus classroom and laboratory sites located near healthcare providers and developing high-quality, career-ready graduates who enter the workforce ready to meet the demands of the healthcare industry. In addition, we have provided certain services to a university partner to assist them in expanding their online graduate programs. As of September 30, 2022, GCE provides education services to 27 university partners across the United States.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consolidated financial statements include the accounts of the Company and its wholly-owned subsidiaries.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Intercompany transactions have been eliminated in consolidation.</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accompanying unaudited interim consolidated financial statements of the Company have been prepared in</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accordance with U.S. generally accepted accounting principles and pursuant to the rules and regulations of the United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States Securities and Exchange Commission and the instructions to Form 10-Q and Article 10, consistent in all material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respects with those applied in its financial statements included in its Annual Report on Form 10-K for the fiscal year ended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December 31, 2021. They do not include all of the information and footnotes required by U.S. generally accepted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accounting principles for complete financial statements. Such interim financial information is unaudited but reflects all</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adjustments that in the opinion of management are necessary for the fair presentation of the interim periods presented.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Interim results are not necessarily indicative of results for a full year. These consolidated financial statements should be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read in conjunction with the Company’s audited financial statements and footnotes included in its Annual Report on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Form 10-K for the fiscal year ended December 31, 2021 from which the December 31, 2021 balance sheet information was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derived.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60" w:right="159" w:firstLine="648"/>
        <w:spacing w:after="0" w:line="293" w:lineRule="auto"/>
        <w:rPr>
          <w:sz w:val="20"/>
          <w:szCs w:val="20"/>
          <w:color w:val="auto"/>
        </w:rPr>
      </w:pPr>
      <w:r>
        <w:rPr>
          <w:rFonts w:ascii="Arial" w:cs="Arial" w:eastAsia="Arial" w:hAnsi="Arial"/>
          <w:sz w:val="16"/>
          <w:szCs w:val="16"/>
          <w:color w:val="auto"/>
        </w:rPr>
        <w:t>As of September 30, 2022 and 2021, the Company considered its investments in corporate bonds, commercial paper, municipal securities, asset backed securities, municipal bonds, and collateralized mortgage obligations as available-for-sale securities based on the Company’s intent for the respective securities. Available-for-sale securities are carried at fair value, determined using Level 2 of the hierarchy of valuation inputs, with the use of inputs other than quoted prices that are observable for the assets, with unrealized gains and losses, net of tax, reported as a separate component of other comprehensive income. Unrealized losses considered to be other-than-temporary are recognized</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239"/>
        <w:spacing w:after="0" w:line="342" w:lineRule="auto"/>
        <w:rPr>
          <w:sz w:val="20"/>
          <w:szCs w:val="20"/>
          <w:color w:val="auto"/>
        </w:rPr>
      </w:pPr>
      <w:r>
        <w:rPr>
          <w:rFonts w:ascii="Arial" w:cs="Arial" w:eastAsia="Arial" w:hAnsi="Arial"/>
          <w:sz w:val="16"/>
          <w:szCs w:val="16"/>
          <w:color w:val="auto"/>
        </w:rPr>
        <w:t>currently in earnings. Amortization of premiums, accretion of discounts, interest and dividend income and realized gains and losses are included in interest and other income. As of December 31, 2021, the Company had no investments.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Arrangements with GCU</w:t>
      </w:r>
    </w:p>
    <w:p>
      <w:pPr>
        <w:spacing w:after="0" w:line="225"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On July 1, 2018, the Company consummated an Asset Purchase Agreement (the “Asset Purchase Agreement”) with GCU. In conjunction with the Asset Purchase Agreement, we received a secured note from GCU as consideration for the transferred assets in the initial principal amount of $870,097 (the “Secured Note”) which was repaid by GCU in the fourth quarter of 2021. In connection therewith, the Company and GCU entered into a long-term master services agreement (the “Master Services Agreement”) pursuant to which the Company provides identified technology and academic services, counseling services and support, marketing and communication services, and several back-office services to GCU in return for 60% of GCU’s tuition and fee revenue. Except for identified liabilities assumed by GCU, GCE retained responsibility for all liabilities of the business arising from pre-closing operations.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Internally Developed Software</w:t>
      </w:r>
    </w:p>
    <w:p>
      <w:pPr>
        <w:spacing w:after="0" w:line="225" w:lineRule="exact"/>
        <w:rPr>
          <w:sz w:val="20"/>
          <w:szCs w:val="20"/>
          <w:color w:val="auto"/>
        </w:rPr>
      </w:pPr>
    </w:p>
    <w:p>
      <w:pPr>
        <w:ind w:left="60" w:right="139" w:firstLine="648"/>
        <w:spacing w:after="0" w:line="289" w:lineRule="auto"/>
        <w:rPr>
          <w:sz w:val="20"/>
          <w:szCs w:val="20"/>
          <w:color w:val="auto"/>
        </w:rPr>
      </w:pPr>
      <w:r>
        <w:rPr>
          <w:rFonts w:ascii="Arial" w:cs="Arial" w:eastAsia="Arial" w:hAnsi="Arial"/>
          <w:sz w:val="16"/>
          <w:szCs w:val="16"/>
          <w:color w:val="auto"/>
        </w:rPr>
        <w:t>The Company capitalizes certain costs related to internal-use software, primarily consisting of direct labor associated with creating the software. Software development projects generally include three stages: the preliminary project stage (all costs are expensed as incurred), the application development stage (certain costs are capitalized and certain costs are expensed as incurred) and the post-implementation or operation stage (all costs are expensed as incurred). Costs capitalized in the application development stage include costs of design, coding, integration, and testing of the software developed. Capitalization of costs requires judgment in determining when a project has reached the application development stage and the period over which we expect to benefit from the use of that software. Once the software is placed in service, these costs are amortized straight-line over the estimated useful life of the software, which is generally three years. These assets are a component of our property and equipment, net in our consolidated balance sheets.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Capitalized Content Development</w:t>
      </w:r>
    </w:p>
    <w:p>
      <w:pPr>
        <w:spacing w:after="0" w:line="225"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The Company capitalizes certain costs to fulfill a contract related to the development and digital creation of content on a course-by-course basis for each university partner, many times in conjunction with faculty and subject matter experts. The Company is responsible for the conversion of instructional materials to an on-line format, including outlines, quizzes, lectures, and articles in accordance with the educational guidelines provided to us by our university partners, prior to the respective course commencing. We also capitalize the creation of learning objects which are digital assets such as online demonstrations, simulations, and case studies used to obtain learning objectives.</w:t>
      </w:r>
    </w:p>
    <w:p>
      <w:pPr>
        <w:spacing w:after="0" w:line="164"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color w:val="auto"/>
        </w:rPr>
        <w:t>Costs that are capitalized include payroll and payroll-related costs for employees who are directly associated and spend time producing content and payments to faculty and subject matter experts involved in the process. The Company starts capitalizing content costs when it begins to develop or to convert a particular course, resources have been assigned and a timeline has been set. The content asset is placed in service when all work is complete, and the curriculum could be used for instruction. Capitalized content development assets are included in other assets in our consolidated balance sheets. The Company has concluded that the most appropriate method to amortize the deferred content assets is on a straight-line basis over the estimated life of the course, which is generally four years which corresponds with course’s review and major revision cycle. As of September 30, 2022 and December 31, 2021, $1,038 and $1,168, respectively, net of amortization, of deferred content assets are included in other assets, long-term in the Company’s consolidated balance sheets and amortization is included in technical and academic services where the costs originated.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The Company evaluates the recoverability of its long-lived assets for impairment, other than goodwill,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60" w:right="139" w:firstLine="648"/>
        <w:spacing w:after="0" w:line="288" w:lineRule="auto"/>
        <w:rPr>
          <w:sz w:val="20"/>
          <w:szCs w:val="20"/>
          <w:color w:val="auto"/>
        </w:rPr>
      </w:pPr>
      <w:r>
        <w:rPr>
          <w:rFonts w:ascii="Arial" w:cs="Arial" w:eastAsia="Arial" w:hAnsi="Arial"/>
          <w:sz w:val="16"/>
          <w:szCs w:val="16"/>
          <w:color w:val="auto"/>
        </w:rPr>
        <w:t>The Company determines if an arrangement is a lease at inception and evaluates the lease agreement to determine whether the lease is a finance or operating lease. Right-of-use (“ROU”) assets and lease liabilities are recognized at commencement date based on the present value of lease payments over the lease term. The Company uses its incremental borrowing rate based on the information available at the commencement to determine the present value of lease payments over the lease term. At lease inception, the Company determines the lease term by assuming no exercises of renewal options, due to the Company’s constantly changing geographical needs for its university partners. Leases with an initial term of 12 months or less are not recorded in the consolidated balance sheets and are recognized as lease expense on a straight-line basis over the lease term. The Company has lease agreements with lease and non-lease components, and the non-lease components are accounted for separately and not included in our ROU assets and lease liabilities. Leases primarily consist of off-campus classroom and laboratory site locations and office space.</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The purchase price of an acquisition is allocated to the assets acquired, including tangible and intangible assets, and liabilities assumed, based on their respective fair values at the acquisition date. The excess of the fair value of the purchase price over the fair values of these identifiable assets and liabilities is recorded as goodwill. Transaction costs associated with business combinations are expensed as incurred and are recorded in the loss on transaction in the consolidated financial statements. The determination of the fair value and useful lives of the intangible assets acquired involves certain judgments and estimates. These judgements can include, but are not limited to, the cash flows that an asset is expected to generate in the future and the appropriate weighted average cost of capital. The net assets and result of operations of an acquired entity are included in the Company’s consolidated financial statements from the acquisition date.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Goodwill and Amortizable Intangible Assets</w:t>
      </w:r>
    </w:p>
    <w:p>
      <w:pPr>
        <w:spacing w:after="0" w:line="225"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7"/>
          <w:szCs w:val="17"/>
          <w:color w:val="auto"/>
        </w:rPr>
        <w:t>Goodwill represents the excess of the purchase price of an acquired business over the amount assigned to the tangible and intangible assets acquired and liabilities assumed. Goodwill is assessed at least annually for impairment during the fourth quarter, or more frequently if circumstances indicate potential impairment. Goodwill is allocated to our reporting unit at the education services segment, which is the same as the entity as a whole (entity level reporting unit). The Company has concluded there is one operating segment and one reporting unit for goodwill impairment consideration. The Financial Accounting Standards Board has issued guidance that permits an entity to first assess qualitative factors to determine whether it is necessary to perform the quantitative goodwill impairment test. The Company reviews goodwill at least annually or more frequently if an event occurs or circumstances change that would more likely than not reduce the fair value of the reporting unit below its carrying amount.</w:t>
      </w:r>
    </w:p>
    <w:p>
      <w:pPr>
        <w:spacing w:after="0" w:line="181"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Finite-lived intangible assets that are acquired in a business combination are recorded at fair value on their acquisition dates and are amortized using a method that reflects the pattern in which the economic benefits of the intangible assets are consumed or on a straight-line basis over the estimated useful life of the intangible asset if the pattern of economic benefit cannot be reliability determined. Finite-lived intangible assets consist of university partner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jc w:val="both"/>
        <w:ind w:left="60" w:right="219"/>
        <w:spacing w:after="0" w:line="287" w:lineRule="auto"/>
        <w:rPr>
          <w:sz w:val="20"/>
          <w:szCs w:val="20"/>
          <w:color w:val="auto"/>
        </w:rPr>
      </w:pPr>
      <w:r>
        <w:rPr>
          <w:rFonts w:ascii="Arial" w:cs="Arial" w:eastAsia="Arial" w:hAnsi="Arial"/>
          <w:sz w:val="16"/>
          <w:szCs w:val="16"/>
          <w:color w:val="auto"/>
        </w:rPr>
        <w:t>relationships and trade names. The Company reviews its finite-lived intangible assets for impairment whenever events or changes in circumstances indicate that the carrying amount of an intangible asset may not be recoverable. There were no indicators that the carrying amount of the finite-lived intangible assets were impaired as of September 30, 2022.</w:t>
      </w:r>
    </w:p>
    <w:p>
      <w:pPr>
        <w:spacing w:after="0" w:line="2" w:lineRule="exact"/>
        <w:rPr>
          <w:sz w:val="20"/>
          <w:szCs w:val="20"/>
          <w:color w:val="auto"/>
        </w:rPr>
      </w:pPr>
    </w:p>
    <w:p>
      <w:pPr>
        <w:ind w:left="60" w:right="139"/>
        <w:spacing w:after="0" w:line="302" w:lineRule="auto"/>
        <w:rPr>
          <w:sz w:val="20"/>
          <w:szCs w:val="20"/>
          <w:color w:val="auto"/>
        </w:rPr>
      </w:pPr>
      <w:r>
        <w:rPr>
          <w:rFonts w:ascii="Arial" w:cs="Arial" w:eastAsia="Arial" w:hAnsi="Arial"/>
          <w:sz w:val="16"/>
          <w:szCs w:val="16"/>
          <w:color w:val="auto"/>
        </w:rPr>
        <w:t>Recoverability of assets to be held and used is measured by a comparison of the carrying amount of an asset to undiscounted future net cash flows expected to be generated by the assets. If such intangible assets are not recoverable, a potential impairment loss is recognized to the extent the carrying amounts of the assets exceeds the fair value of the assets.</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Acquisition</w:t>
      </w:r>
    </w:p>
    <w:p>
      <w:pPr>
        <w:spacing w:after="0" w:line="225"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On January 22, 2019, GCE acquired Orbis Education for $361,184 (inclusive of closing date adjustments and net of cash acquired). The Acquisition was accounted for in accordance with the acquisition method of accounting. Under this method the cost of the target is allocated to the identifiable assets acquired and liabilities assumed based on their estimated fair values at the date of acquisition. The estimated fair values of current assets and liabilities were based upon their historical costs on the date of acquisition due to their short-term nature. The majority of property and equipment were also estimated based upon historical costs as they approximated fair value. Identified intangible assets of $210,280 consisted primarily of university partner relationships that were valued at $210,000. The fair value of university partner relationships was determined using the multiple-period excess earnings method. The fair value of the assets acquired, less the liabilities assumed, exceeded the purchase price by $157,825 which was recorded as goodwill.</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8"/>
          <w:szCs w:val="18"/>
          <w:color w:val="auto"/>
        </w:rPr>
        <w:t>The Company measures and recognizes compensation expense for share-based payment awards made to employees and directors. The fair value of the Company’s restricted stock awards is based on the market price of its common stock on the date of grant. Stock-based compensation expense related to restricted stock grants is expensed over the vesting period using the straight-line method for Company employees and the Company’s board of directors. The Company recognizes forfeitures as they occur.</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The carrying value of cash and cash equivalents, accounts receivable, accounts payable, accrued compensation and benefits and accrued liabilities expenses approximate their fair value based on the liquidity or the short-term maturities of these instruments.</w:t>
      </w:r>
    </w:p>
    <w:p>
      <w:pPr>
        <w:spacing w:after="0" w:line="184"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The fair value of investments was determined using Level 1 and Level 2 of the hierarchy of valuation inputs, with the use of inputs other than quoted prices that are observable for the assets. The unit of account used for valuation is the individual underlying security. The basis for fair value measurements for each level is described below, with Level 1 having the highest priority.</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-Level 1 – inputs are quoted prices (unadjusted) in active markets for identical assets or liabilities.</w:t>
      </w:r>
    </w:p>
    <w:p>
      <w:pPr>
        <w:spacing w:after="0" w:line="225" w:lineRule="exact"/>
        <w:rPr>
          <w:sz w:val="20"/>
          <w:szCs w:val="20"/>
          <w:color w:val="auto"/>
        </w:rPr>
      </w:pPr>
    </w:p>
    <w:p>
      <w:pPr>
        <w:ind w:left="700" w:right="139"/>
        <w:spacing w:after="0" w:line="263" w:lineRule="auto"/>
        <w:rPr>
          <w:sz w:val="20"/>
          <w:szCs w:val="20"/>
          <w:color w:val="auto"/>
        </w:rPr>
      </w:pPr>
      <w:r>
        <w:rPr>
          <w:rFonts w:ascii="Arial" w:cs="Arial" w:eastAsia="Arial" w:hAnsi="Arial"/>
          <w:sz w:val="18"/>
          <w:szCs w:val="18"/>
          <w:color w:val="auto"/>
        </w:rPr>
        <w:t>-Level 2 – inputs are quoted prices for similar instruments in active markets; quoted prices for identical or similar instruments in non-active markets; and model-derived valuations whose inputs are observable or whose significant valuation drivers are observable.</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-Level 3 – unobservable inputs that are not corroborated by market data.</w:t>
      </w:r>
    </w:p>
    <w:p>
      <w:pPr>
        <w:spacing w:after="0" w:line="225" w:lineRule="exact"/>
        <w:rPr>
          <w:sz w:val="20"/>
          <w:szCs w:val="20"/>
          <w:color w:val="auto"/>
        </w:rPr>
      </w:pPr>
    </w:p>
    <w:p>
      <w:pPr>
        <w:ind w:left="60" w:right="319" w:firstLine="648"/>
        <w:spacing w:after="0" w:line="277" w:lineRule="auto"/>
        <w:rPr>
          <w:sz w:val="20"/>
          <w:szCs w:val="20"/>
          <w:color w:val="auto"/>
        </w:rPr>
      </w:pPr>
      <w:r>
        <w:rPr>
          <w:rFonts w:ascii="Arial" w:cs="Arial" w:eastAsia="Arial" w:hAnsi="Arial"/>
          <w:sz w:val="18"/>
          <w:szCs w:val="18"/>
          <w:color w:val="auto"/>
        </w:rPr>
        <w:t>Investments are comprised of corporate bonds, commercial paper, municipal securities, asset backed securities, municipal bonds, and collateralized mortgage obligations.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60" w:right="459" w:firstLine="648"/>
        <w:spacing w:after="0" w:line="259" w:lineRule="auto"/>
        <w:rPr>
          <w:sz w:val="20"/>
          <w:szCs w:val="20"/>
          <w:color w:val="auto"/>
        </w:rPr>
      </w:pPr>
      <w:r>
        <w:rPr>
          <w:rFonts w:ascii="Arial" w:cs="Arial" w:eastAsia="Arial" w:hAnsi="Arial"/>
          <w:sz w:val="18"/>
          <w:szCs w:val="18"/>
          <w:color w:val="auto"/>
        </w:rPr>
        <w:t>The Company generates all of its revenue through services agreements with its university partners (“Services Agreements”), pursuant to which the Company provides integrated technology and academic services, marketing and communication services, and back-office services to its university partners in return for a percentage of tuition and fee revenue.</w:t>
      </w:r>
    </w:p>
    <w:p>
      <w:pPr>
        <w:spacing w:after="0" w:line="187" w:lineRule="exact"/>
        <w:rPr>
          <w:sz w:val="20"/>
          <w:szCs w:val="20"/>
          <w:color w:val="auto"/>
        </w:rPr>
      </w:pPr>
    </w:p>
    <w:p>
      <w:pPr>
        <w:ind w:left="60" w:right="59" w:firstLine="648"/>
        <w:spacing w:after="0" w:line="284" w:lineRule="auto"/>
        <w:rPr>
          <w:sz w:val="20"/>
          <w:szCs w:val="20"/>
          <w:color w:val="auto"/>
        </w:rPr>
      </w:pPr>
      <w:r>
        <w:rPr>
          <w:rFonts w:ascii="Arial" w:cs="Arial" w:eastAsia="Arial" w:hAnsi="Arial"/>
          <w:sz w:val="16"/>
          <w:szCs w:val="16"/>
          <w:color w:val="auto"/>
        </w:rPr>
        <w:t>The Company’s Services Agreements have initial terms ranging from 7-15 years, subject to renewal options, although certain agreements may give the university partners the right to terminate early if certain conditions are met. The Company’s Services Agreements have a single performance obligation, as the promises to provide the identified services are not distinct within the context of these agreements. The single performance obligation is delivered as our partners receive and consume benefits, which occurs ratably over a series of distinct service periods (daily or semester). Service revenue is recognized over time using the output method of measuring progress towards complete satisfaction of the single performance obligation. The output method provides a faithful depiction of the performance toward complete satisfaction of the performance obligation and can be tied to the time elapsed which is consumed evenly over the service period and is a direct measurement of the value provided to our partners. The service fees received from our partners over the term of the agreement are variable in nature in that they are dependent upon the number of students attending the university partner’s program and revenues generated from those students during the service period. Due to the variable nature of the consideration over the life of the service arrangement, the Company considered forming an expectation of the variable consideration to be received over the service life of this one performance obligation. However, since the performance obligation represents a series of distinct services, the Company recognizes the variable consideration that becomes known and billable because these fees relate to the distinct service period in which the fees are earned. The Company meets the criteria in the standard and exercises the practical expedient to not disclose the aggregate amount of the transaction price allocated to the single performance obligation that is unsatisfied as of the end of the reporting period. The Company does not disclose the value of unsatisfied performance obligations because the directly allocable variable consideration is allocated entirely to a wholly unsatisfied promise to transfer a service that forms part of a single performance obligation. The service fees are calculated and settled per the terms of the Services Agreements and result in a settlement duration of less than one year for all partners. There are no refunds or return rights under the Services Agreements.</w:t>
      </w:r>
    </w:p>
    <w:p>
      <w:pPr>
        <w:spacing w:after="0" w:line="180"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The Company’s receivables represent unconditional rights to consideration from our Services Agreements with our university partners. Accounts receivable, net is stated at net realizable value and contains billed and unbilled revenue. The Company utilizes the allowance method to provide for doubtful accounts based on its evaluation of the expected credit losses. There have been no amounts written off and no reserves established as of September 30, 2022. The Company will continue to review and revise its allowance methodology based on its collection experience with its partners.</w:t>
      </w:r>
    </w:p>
    <w:p>
      <w:pPr>
        <w:spacing w:after="0" w:line="161"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For our partners with unbilled revenue, revenue recognition occurs in advance of billings. Billings for some university partners do not occur until after the service period has commenced and final enrollment information is available. Our unbilled revenue of $11,973 and $3,841 as of September 30, 2022 and December 31, 2021, respectively, are included in accounts receivable in our consolidated balance sheets. Deferred revenue represents the excess of amounts received as compared to amounts recognized in revenue on our consolidated statements of income as of the end of the reporting period, and such amounts are reflected as a current liability on our consolidated balance sheets. We generally receive payments for our services billed within 30 days of invoice. These payments are recorded as deferred revenue until the services are delivered and revenue is recognized.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25" w:lineRule="exact"/>
        <w:rPr>
          <w:sz w:val="20"/>
          <w:szCs w:val="20"/>
          <w:color w:val="auto"/>
        </w:rPr>
      </w:pPr>
    </w:p>
    <w:p>
      <w:pPr>
        <w:ind w:left="60" w:right="359" w:firstLine="648"/>
        <w:spacing w:after="0" w:line="342" w:lineRule="auto"/>
        <w:rPr>
          <w:sz w:val="20"/>
          <w:szCs w:val="20"/>
          <w:color w:val="auto"/>
        </w:rPr>
      </w:pPr>
      <w:r>
        <w:rPr>
          <w:rFonts w:ascii="Arial" w:cs="Arial" w:eastAsia="Arial" w:hAnsi="Arial"/>
          <w:sz w:val="16"/>
          <w:szCs w:val="16"/>
          <w:color w:val="auto"/>
        </w:rPr>
        <w:t>The Company records its accounts receivable and previously had recorded its Secured Note (as defined above) receivable at the net amount expected to be collected. Our accounts receivable are derived through education services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79"/>
        <w:spacing w:after="0" w:line="268" w:lineRule="auto"/>
        <w:rPr>
          <w:sz w:val="20"/>
          <w:szCs w:val="20"/>
          <w:color w:val="auto"/>
        </w:rPr>
      </w:pPr>
      <w:r>
        <w:rPr>
          <w:rFonts w:ascii="Arial" w:cs="Arial" w:eastAsia="Arial" w:hAnsi="Arial"/>
          <w:sz w:val="17"/>
          <w:szCs w:val="17"/>
          <w:color w:val="auto"/>
        </w:rPr>
        <w:t xml:space="preserve">provided to university partners. Our Secured Note receivable was derived through the sale of university-related assets to our most significant university partner, GCU. The Company maintains an allowance for credit losses resulting from our university partners not making payments. The Company determines the adequacy of the allowance by periodically evaluating each university partners balance, considering their financial condition and credit history, and considering current and forecasted economic conditions. In the first quarter of 2020, the Company adopted ASU 2016-13,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 Credit Losses: Measurement of Credit Losses on Financial Instruments </w:t>
      </w:r>
      <w:r>
        <w:rPr>
          <w:rFonts w:ascii="Arial" w:cs="Arial" w:eastAsia="Arial" w:hAnsi="Arial"/>
          <w:sz w:val="17"/>
          <w:szCs w:val="17"/>
          <w:color w:val="auto"/>
        </w:rPr>
        <w:t>using a modified retrospective</w:t>
      </w:r>
      <w:r>
        <w:rPr>
          <w:rFonts w:ascii="Arial" w:cs="Arial" w:eastAsia="Arial" w:hAnsi="Arial"/>
          <w:sz w:val="17"/>
          <w:szCs w:val="17"/>
          <w:i w:val="1"/>
          <w:iCs w:val="1"/>
          <w:color w:val="auto"/>
        </w:rPr>
        <w:t xml:space="preserve"> </w:t>
      </w:r>
      <w:r>
        <w:rPr>
          <w:rFonts w:ascii="Arial" w:cs="Arial" w:eastAsia="Arial" w:hAnsi="Arial"/>
          <w:sz w:val="17"/>
          <w:szCs w:val="17"/>
          <w:color w:val="auto"/>
        </w:rPr>
        <w:t>approach. This model requires consideration of a broader range of reasonable and supportable information and requires the Company to estimate expected credit losses including a measure of the expected risk of credit loss even if that risk is remote over the lifetime of the asset. Upon adoption, the Company recorded a reserve of $5,000 on its long-term Secured Note receivable. The cumulative effect for the Company upon adoption of this new standard was $3,832, net of taxes of $1,168. Bad debt expense is recorded as a technology and academic services expense in the consolidated income statements. In the fourth quarter of 2021, the Secured Note receivable was paid off and the credit loss reserve of $5,000 was reversed. The Company will also continue to actively monitor the impact of the COVID-19 pandemic as well as other factors on expected credit losses.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Technology and Academic Services</w:t>
      </w:r>
    </w:p>
    <w:p>
      <w:pPr>
        <w:spacing w:after="0" w:line="225" w:lineRule="exact"/>
        <w:rPr>
          <w:sz w:val="20"/>
          <w:szCs w:val="20"/>
          <w:color w:val="auto"/>
        </w:rPr>
      </w:pPr>
    </w:p>
    <w:p>
      <w:pPr>
        <w:ind w:left="60" w:right="259" w:firstLine="648"/>
        <w:spacing w:after="0" w:line="289" w:lineRule="auto"/>
        <w:rPr>
          <w:sz w:val="20"/>
          <w:szCs w:val="20"/>
          <w:color w:val="auto"/>
        </w:rPr>
      </w:pPr>
      <w:r>
        <w:rPr>
          <w:rFonts w:ascii="Arial" w:cs="Arial" w:eastAsia="Arial" w:hAnsi="Arial"/>
          <w:sz w:val="16"/>
          <w:szCs w:val="16"/>
          <w:color w:val="auto"/>
        </w:rPr>
        <w:t>Technology and academic services consist primarily of costs related to ongoing maintenance of educational infrastructure, including online course delivery and management, student records, assessment, customer relations management and other internal administrative systems. This also includes costs to provide support for content development, faculty training, development and other faculty support, technology support, rent and occupancy costs for university partners’ off-campus classroom and laboratory sites, and assistance with state compliance. This expense category includes salaries, benefits and share-based compensation, information technology costs, amortization of content development costs and other costs associated with these support services. This category also includes an allocation of depreciation, amortization, and occupancy costs attributable to the provision of certain services, primarily at the Company’s Phoenix, Arizona and Indianapolis, Indiana locations.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Counseling Services and Support</w:t>
      </w:r>
    </w:p>
    <w:p>
      <w:pPr>
        <w:spacing w:after="0" w:line="225" w:lineRule="exact"/>
        <w:rPr>
          <w:sz w:val="20"/>
          <w:szCs w:val="20"/>
          <w:color w:val="auto"/>
        </w:rPr>
      </w:pPr>
    </w:p>
    <w:p>
      <w:pPr>
        <w:ind w:left="60" w:right="59" w:firstLine="648"/>
        <w:spacing w:after="0" w:line="296" w:lineRule="auto"/>
        <w:rPr>
          <w:sz w:val="20"/>
          <w:szCs w:val="20"/>
          <w:color w:val="auto"/>
        </w:rPr>
      </w:pPr>
      <w:r>
        <w:rPr>
          <w:rFonts w:ascii="Arial" w:cs="Arial" w:eastAsia="Arial" w:hAnsi="Arial"/>
          <w:sz w:val="16"/>
          <w:szCs w:val="16"/>
          <w:color w:val="auto"/>
        </w:rPr>
        <w:t>Counseling services and support consist primarily of costs including team-based counseling and other support to prospective and current students as well as financial aid processing. This expense category includes salaries, benefits and share-based compensation, and other costs such as dues, fees and subscriptions and travel costs. This category also includes an allocation of depreciation, amortization, lease expense, and occupancy costs attributable to the provision of certain services, primarily at the Company’s Phoenix, Arizona and Indianapolis, Indiana locations.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Marketing and Communication</w:t>
      </w:r>
    </w:p>
    <w:p>
      <w:pPr>
        <w:spacing w:after="0" w:line="225"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Marketing and communication includes lead acquisition, digital communication strategies, brand identity advertising, media planning and strategy, video, data science and analysis, marketing to potential students and other promotional and communication services. This expense category includes salaries, benefits and share-based compensation for marketing and communication personnel, brand advertising, marketing leads and other promotional and communication expenses. This category also includes an allocation of depreciation, amortization, lease expense, and occupancy costs attributable to the provision of certain services, primarily at the Company’s Phoenix, Arizona and Indianapolis, Indiana locations. Advertising costs are expensed as incurred.</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left="60" w:right="379" w:firstLine="648"/>
        <w:spacing w:after="0" w:line="342" w:lineRule="auto"/>
        <w:rPr>
          <w:sz w:val="20"/>
          <w:szCs w:val="20"/>
          <w:color w:val="auto"/>
        </w:rPr>
      </w:pPr>
      <w:r>
        <w:rPr>
          <w:rFonts w:ascii="Arial" w:cs="Arial" w:eastAsia="Arial" w:hAnsi="Arial"/>
          <w:sz w:val="16"/>
          <w:szCs w:val="16"/>
          <w:color w:val="auto"/>
        </w:rPr>
        <w:t>General and administrative expenses include salaries, benefits and share-based compensation of employees engaged in corporate management, finance, human resources, compliance, and other corporate functions. This category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259"/>
        <w:spacing w:after="0" w:line="308" w:lineRule="auto"/>
        <w:rPr>
          <w:sz w:val="20"/>
          <w:szCs w:val="20"/>
          <w:color w:val="auto"/>
        </w:rPr>
      </w:pPr>
      <w:r>
        <w:rPr>
          <w:rFonts w:ascii="Arial" w:cs="Arial" w:eastAsia="Arial" w:hAnsi="Arial"/>
          <w:sz w:val="17"/>
          <w:szCs w:val="17"/>
          <w:color w:val="auto"/>
        </w:rPr>
        <w:t>also includes an allocation of depreciation, amortization, lease expense, and occupancy costs attributable to the provision of these services, primarily at the Company’s Phoenix, Arizona and Indianapolis, Indiana locations.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225" w:lineRule="exact"/>
        <w:rPr>
          <w:sz w:val="20"/>
          <w:szCs w:val="20"/>
          <w:color w:val="auto"/>
        </w:rPr>
      </w:pPr>
    </w:p>
    <w:p>
      <w:pPr>
        <w:ind w:left="60" w:right="179" w:firstLine="648"/>
        <w:spacing w:after="0" w:line="271" w:lineRule="auto"/>
        <w:rPr>
          <w:sz w:val="20"/>
          <w:szCs w:val="20"/>
          <w:color w:val="auto"/>
        </w:rPr>
      </w:pPr>
      <w:r>
        <w:rPr>
          <w:rFonts w:ascii="Arial" w:cs="Arial" w:eastAsia="Arial" w:hAnsi="Arial"/>
          <w:sz w:val="17"/>
          <w:szCs w:val="17"/>
          <w:color w:val="auto"/>
        </w:rPr>
        <w:t>The Company accrues for contingent obligations when it is probable that a liability has been incurred and the amount is reasonably estimable. When the Company becomes aware of a claim or potential claim, the likelihood of any loss exposure is assessed. If it is probable that a loss will result and the amount of the loss is estimable, the Company records a liability for the estimated loss. If the loss is not probable or the amount of the potential loss is not estimable, the Company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Company expenses legal fees as incurred.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The Company believes the credit risk related to cash equivalents and investments is limited due to its adherence to an investment policy that requires investments to have a minimum BBB rating, depending on the type of security, by one major rating agency at the time of purchase. All of the Company’s cash equivalents and investments as of September 30, 2022 and December 31, 2021 consist of investments rated BBB or higher by at least one rating agency. Additionally, the Company utilizes at least one financial institution to conduct initial and ongoing credit analysis on its investment portfolio to monitor and lower the potential impact of market risk associated with its cash equivalents and investment portfolio. Financial instruments that potentially subject the Company to concentration of credit risk consist principally of cash balances, which are primarily invested in money market funds or on deposit at high credit quality financial institutions in the U.S. Accounts at each institution are insured by the Federal Deposit Insurance Corporation (“FDIC”) up to $250,000. At September 30, 2022 and December 31, 2021, the Company had $38,851 and $600,130, respectively, in excess of the FDIC insured limit. The Company is also subject to credit risk for its accounts receivable balance. Our dependence on our most significant university partner, with 84.8% and 85.0% of total service revenue for the nine-month periods ended September 30, 2022 and 2021, respectively, subjects us to the risk that declines in our customer’s operations would result in a sustained reduction in service revenue for the Company.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60" w:right="359" w:firstLine="648"/>
        <w:spacing w:after="0" w:line="286" w:lineRule="auto"/>
        <w:rPr>
          <w:sz w:val="20"/>
          <w:szCs w:val="20"/>
          <w:color w:val="auto"/>
        </w:rPr>
      </w:pPr>
      <w:r>
        <w:rPr>
          <w:rFonts w:ascii="Arial" w:cs="Arial" w:eastAsia="Arial" w:hAnsi="Arial"/>
          <w:sz w:val="17"/>
          <w:szCs w:val="17"/>
          <w:color w:val="auto"/>
        </w:rPr>
        <w:t>The preparation of consolidated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The Company operates as a single education services company using a core infrastructure that serves the curriculum and educational delivery needs of its university partners. The Company’s Chief Executive Officer manages the Company’s operations as a whole and no expense or operating income information is generated or evaluated on any component level.</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60" w:right="379" w:firstLine="648"/>
        <w:spacing w:after="0" w:line="277" w:lineRule="auto"/>
        <w:rPr>
          <w:sz w:val="20"/>
          <w:szCs w:val="20"/>
          <w:color w:val="auto"/>
        </w:rPr>
      </w:pPr>
      <w:r>
        <w:rPr>
          <w:rFonts w:ascii="Arial" w:cs="Arial" w:eastAsia="Arial" w:hAnsi="Arial"/>
          <w:sz w:val="18"/>
          <w:szCs w:val="18"/>
          <w:color w:val="auto"/>
        </w:rPr>
        <w:t>The Company has determined that no other recent accounting pronouncements apply to its operations or could otherwise have a material impact on its consolidated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Investments</w:t>
      </w:r>
    </w:p>
    <w:p>
      <w:pPr>
        <w:spacing w:after="0" w:line="229"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As of September 30, 2022, the Company had investments of $68,403, classified as available-for-sale securities. As of December 31, 2021, the Company had no investments.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September 30, 2022, the Company had available-for-sale investments comprised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As of September 30, 2022</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Adjusted</w:t>
            </w:r>
          </w:p>
        </w:tc>
        <w:tc>
          <w:tcPr>
            <w:tcW w:w="140" w:type="dxa"/>
            <w:vAlign w:val="bottom"/>
          </w:tcPr>
          <w:p>
            <w:pPr>
              <w:spacing w:after="0"/>
              <w:rPr>
                <w:sz w:val="10"/>
                <w:szCs w:val="10"/>
                <w:color w:val="auto"/>
              </w:rPr>
            </w:pPr>
          </w:p>
        </w:tc>
        <w:tc>
          <w:tcPr>
            <w:tcW w:w="108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Pr>
          <w:p>
            <w:pPr>
              <w:spacing w:after="0"/>
              <w:rPr>
                <w:sz w:val="10"/>
                <w:szCs w:val="10"/>
                <w:color w:val="auto"/>
              </w:rPr>
            </w:pPr>
          </w:p>
        </w:tc>
        <w:tc>
          <w:tcPr>
            <w:tcW w:w="108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860" w:type="dxa"/>
            <w:vAlign w:val="bottom"/>
          </w:tcPr>
          <w:p>
            <w:pPr>
              <w:jc w:val="center"/>
              <w:ind w:right="60"/>
              <w:spacing w:after="0" w:line="119" w:lineRule="exact"/>
              <w:rPr>
                <w:sz w:val="20"/>
                <w:szCs w:val="20"/>
                <w:color w:val="auto"/>
              </w:rPr>
            </w:pPr>
            <w:r>
              <w:rPr>
                <w:rFonts w:ascii="Arial" w:cs="Arial" w:eastAsia="Arial" w:hAnsi="Arial"/>
                <w:sz w:val="13"/>
                <w:szCs w:val="13"/>
                <w:b w:val="1"/>
                <w:bCs w:val="1"/>
                <w:color w:val="auto"/>
              </w:rPr>
              <w:t>Estimated</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8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(Losses)</w:t>
            </w:r>
          </w:p>
        </w:tc>
        <w:tc>
          <w:tcPr>
            <w:tcW w:w="140" w:type="dxa"/>
            <w:vAlign w:val="bottom"/>
          </w:tcPr>
          <w:p>
            <w:pPr>
              <w:spacing w:after="0"/>
              <w:rPr>
                <w:sz w:val="14"/>
                <w:szCs w:val="14"/>
                <w:color w:val="auto"/>
              </w:rPr>
            </w:pPr>
          </w:p>
        </w:tc>
        <w:tc>
          <w:tcPr>
            <w:tcW w:w="860" w:type="dxa"/>
            <w:vAlign w:val="bottom"/>
          </w:tcPr>
          <w:p>
            <w:pPr>
              <w:jc w:val="center"/>
              <w:ind w:right="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9"/>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34,120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33,658</w:t>
            </w: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34,831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34,745</w:t>
            </w:r>
          </w:p>
        </w:tc>
        <w:tc>
          <w:tcPr>
            <w:tcW w:w="0" w:type="dxa"/>
            <w:vAlign w:val="bottom"/>
          </w:tcPr>
          <w:p>
            <w:pPr>
              <w:spacing w:after="0"/>
              <w:rPr>
                <w:sz w:val="1"/>
                <w:szCs w:val="1"/>
                <w:color w:val="auto"/>
              </w:rPr>
            </w:pPr>
          </w:p>
        </w:tc>
      </w:tr>
      <w:tr>
        <w:trPr>
          <w:trHeight w:val="209"/>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68,951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68,403</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99" w:firstLine="648"/>
        <w:spacing w:after="0" w:line="255" w:lineRule="auto"/>
        <w:rPr>
          <w:sz w:val="20"/>
          <w:szCs w:val="20"/>
          <w:color w:val="auto"/>
        </w:rPr>
      </w:pPr>
      <w:r>
        <w:rPr>
          <w:rFonts w:ascii="Arial" w:cs="Arial" w:eastAsia="Arial" w:hAnsi="Arial"/>
          <w:sz w:val="18"/>
          <w:szCs w:val="18"/>
          <w:color w:val="auto"/>
        </w:rPr>
        <w:t>For the nine months ended September 30, 2022, the net unrealized losses were $417, net of taxes. Available-for-sale debt securities are carried at fair value on the consolidated balance sheets. The Company estimates the lifetime expected credit losses for all available-for sale debt securities in an unrealized loss position. If our assessment indicates that an expected credit loss exists, we determine the portion of the unrealized loss attributable to credit deterioration and record a reserve for the expected credit loss in the allowance for credit losses in technology and academic services in our consolidated income statements.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Available-for-sale securities maturing as of December 31:</w:t>
            </w: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(Remainder of year)</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46,199</w:t>
            </w: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2023</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7,376</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6,715</w:t>
            </w:r>
          </w:p>
        </w:tc>
      </w:tr>
      <w:tr>
        <w:trPr>
          <w:trHeight w:val="216"/>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2025</w:t>
            </w: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8,113</w:t>
            </w:r>
          </w:p>
        </w:tc>
      </w:tr>
      <w:tr>
        <w:trPr>
          <w:trHeight w:val="209"/>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68,403</w:t>
            </w:r>
          </w:p>
        </w:tc>
      </w:tr>
      <w:tr>
        <w:trPr>
          <w:trHeight w:val="20"/>
        </w:trPr>
        <w:tc>
          <w:tcPr>
            <w:tcW w:w="7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Net Income Per Common Share</w:t>
      </w:r>
    </w:p>
    <w:p>
      <w:pPr>
        <w:spacing w:after="0" w:line="229" w:lineRule="exact"/>
        <w:rPr>
          <w:sz w:val="20"/>
          <w:szCs w:val="20"/>
          <w:color w:val="auto"/>
        </w:rPr>
      </w:pPr>
    </w:p>
    <w:p>
      <w:pPr>
        <w:ind w:left="60" w:right="179" w:firstLine="648"/>
        <w:spacing w:after="0" w:line="272" w:lineRule="auto"/>
        <w:rPr>
          <w:sz w:val="20"/>
          <w:szCs w:val="20"/>
          <w:color w:val="auto"/>
        </w:rPr>
      </w:pPr>
      <w:r>
        <w:rPr>
          <w:rFonts w:ascii="Arial" w:cs="Arial" w:eastAsia="Arial" w:hAnsi="Arial"/>
          <w:sz w:val="17"/>
          <w:szCs w:val="17"/>
          <w:color w:val="auto"/>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 The table below reflects the calculation of the weighted average number of common shares outstanding, on an as if converted basis, used in computing basic and diluted earnings per common share.</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5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5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1400" w:type="dxa"/>
            <w:vAlign w:val="bottom"/>
            <w:gridSpan w:val="3"/>
          </w:tcPr>
          <w:p>
            <w:pPr>
              <w:jc w:val="right"/>
              <w:ind w:right="195"/>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960" w:type="dxa"/>
            <w:vAlign w:val="bottom"/>
            <w:vMerge w:val="restart"/>
          </w:tcPr>
          <w:p>
            <w:pPr>
              <w:ind w:left="20"/>
              <w:spacing w:after="0"/>
              <w:rPr>
                <w:sz w:val="20"/>
                <w:szCs w:val="20"/>
                <w:color w:val="auto"/>
              </w:rPr>
            </w:pPr>
            <w:r>
              <w:rPr>
                <w:rFonts w:ascii="Arial" w:cs="Arial" w:eastAsia="Arial" w:hAnsi="Arial"/>
                <w:sz w:val="18"/>
                <w:szCs w:val="18"/>
                <w:color w:val="auto"/>
              </w:rPr>
              <w:t>Denominator:</w:t>
            </w:r>
          </w:p>
        </w:tc>
        <w:tc>
          <w:tcPr>
            <w:tcW w:w="6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weighted average shares outstanding</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31,302</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44,212</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32,623</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45,272</w:t>
            </w:r>
          </w:p>
        </w:tc>
        <w:tc>
          <w:tcPr>
            <w:tcW w:w="0" w:type="dxa"/>
            <w:vAlign w:val="bottom"/>
          </w:tcPr>
          <w:p>
            <w:pPr>
              <w:spacing w:after="0"/>
              <w:rPr>
                <w:sz w:val="1"/>
                <w:szCs w:val="1"/>
                <w:color w:val="auto"/>
              </w:rPr>
            </w:pPr>
          </w:p>
        </w:tc>
      </w:tr>
      <w:tr>
        <w:trPr>
          <w:trHeight w:val="216"/>
        </w:trPr>
        <w:tc>
          <w:tcPr>
            <w:tcW w:w="59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Effect of dilutive stock options and restricted stock</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9"/>
        </w:trPr>
        <w:tc>
          <w:tcPr>
            <w:tcW w:w="5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 weighted average shares outstanding</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31,387</w:t>
            </w:r>
          </w:p>
        </w:tc>
        <w:tc>
          <w:tcPr>
            <w:tcW w:w="1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44,298</w:t>
            </w:r>
          </w:p>
        </w:tc>
        <w:tc>
          <w:tcPr>
            <w:tcW w:w="1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32,709</w:t>
            </w:r>
          </w:p>
        </w:tc>
        <w:tc>
          <w:tcPr>
            <w:tcW w:w="1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45,404</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599" w:firstLine="648"/>
        <w:spacing w:after="0" w:line="311" w:lineRule="auto"/>
        <w:rPr>
          <w:sz w:val="20"/>
          <w:szCs w:val="20"/>
          <w:color w:val="auto"/>
        </w:rPr>
      </w:pPr>
      <w:r>
        <w:rPr>
          <w:rFonts w:ascii="Arial" w:cs="Arial" w:eastAsia="Arial" w:hAnsi="Arial"/>
          <w:sz w:val="16"/>
          <w:szCs w:val="16"/>
          <w:color w:val="auto"/>
        </w:rPr>
        <w:t>Diluted weighted average shares outstanding excludes the incremental effect of unvested restricted stock in accordance with the treasury stock method. For the three-month periods ended September 30, 2022 and 2021, approximately 25 and 73, respectively, and for the nine-month periods ended September 30, 2022 and 2021,</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419"/>
        <w:spacing w:after="0" w:line="263" w:lineRule="auto"/>
        <w:rPr>
          <w:sz w:val="20"/>
          <w:szCs w:val="20"/>
          <w:color w:val="auto"/>
        </w:rPr>
      </w:pPr>
      <w:r>
        <w:rPr>
          <w:rFonts w:ascii="Arial" w:cs="Arial" w:eastAsia="Arial" w:hAnsi="Arial"/>
          <w:sz w:val="18"/>
          <w:szCs w:val="18"/>
          <w:color w:val="auto"/>
        </w:rPr>
        <w:t>approximately 77 and 25, respectively, of the Company’s restricted stock awards outstanding were excluded from the calculation of diluted earnings per share as their inclusion would have been anti-dilutive. These restricted stock awards could be dilutive in the future.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Allowance for Credit Losses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Balance at</w:t>
            </w: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Charged to</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Deductions/</w:t>
            </w:r>
          </w:p>
        </w:tc>
        <w:tc>
          <w:tcPr>
            <w:tcW w:w="800" w:type="dxa"/>
            <w:vAlign w:val="bottom"/>
            <w:gridSpan w:val="3"/>
          </w:tcPr>
          <w:p>
            <w:pPr>
              <w:ind w:left="160"/>
              <w:spacing w:after="0"/>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2240" w:type="dxa"/>
            <w:vAlign w:val="bottom"/>
            <w:gridSpan w:val="4"/>
          </w:tcPr>
          <w:p>
            <w:pPr>
              <w:ind w:left="1300"/>
              <w:spacing w:after="0" w:line="149" w:lineRule="exact"/>
              <w:rPr>
                <w:sz w:val="20"/>
                <w:szCs w:val="20"/>
                <w:color w:val="auto"/>
              </w:rPr>
            </w:pPr>
            <w:r>
              <w:rPr>
                <w:rFonts w:ascii="Arial" w:cs="Arial" w:eastAsia="Arial" w:hAnsi="Arial"/>
                <w:sz w:val="14"/>
                <w:szCs w:val="14"/>
                <w:b w:val="1"/>
                <w:bCs w:val="1"/>
                <w:color w:val="auto"/>
              </w:rPr>
              <w:t>Beginning of</w:t>
            </w:r>
          </w:p>
        </w:tc>
        <w:tc>
          <w:tcPr>
            <w:tcW w:w="84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39"/>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Period (1)</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Expense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Transfers (2)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39"/>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Allowance for credit losses</w:t>
            </w:r>
          </w:p>
        </w:tc>
        <w:tc>
          <w:tcPr>
            <w:tcW w:w="1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Nine months ended September 30, 2022</w:t>
            </w:r>
          </w:p>
        </w:tc>
        <w:tc>
          <w:tcPr>
            <w:tcW w:w="150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 September 30, 2021</w:t>
            </w:r>
          </w:p>
        </w:tc>
        <w:tc>
          <w:tcPr>
            <w:tcW w:w="15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162560</wp:posOffset>
            </wp:positionV>
            <wp:extent cx="14141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30" w:lineRule="exact"/>
        <w:rPr>
          <w:sz w:val="20"/>
          <w:szCs w:val="20"/>
          <w:color w:val="auto"/>
        </w:rPr>
      </w:pPr>
    </w:p>
    <w:p>
      <w:pPr>
        <w:ind w:left="720" w:hanging="319"/>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represents the cumulative effect of the adoption of ASU No. 2016-13 on the Secured Note.</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Deductions represent accounts written off, net of recoveries.</w:t>
      </w:r>
    </w:p>
    <w:p>
      <w:pPr>
        <w:spacing w:after="0" w:line="220" w:lineRule="exact"/>
        <w:rPr>
          <w:rFonts w:ascii="Arial" w:cs="Arial" w:eastAsia="Arial" w:hAnsi="Arial"/>
          <w:sz w:val="18"/>
          <w:szCs w:val="18"/>
          <w:color w:val="auto"/>
        </w:rPr>
      </w:pPr>
    </w:p>
    <w:p>
      <w:pPr>
        <w:ind w:left="240" w:hanging="190"/>
        <w:spacing w:after="0"/>
        <w:tabs>
          <w:tab w:leader="none" w:pos="2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and equipment consist of the following:</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660" w:type="dxa"/>
            <w:vAlign w:val="bottom"/>
            <w:gridSpan w:val="3"/>
          </w:tcPr>
          <w:p>
            <w:pPr>
              <w:ind w:left="1740"/>
              <w:spacing w:after="0"/>
              <w:rPr>
                <w:sz w:val="20"/>
                <w:szCs w:val="20"/>
                <w:color w:val="auto"/>
              </w:rPr>
            </w:pPr>
            <w:r>
              <w:rPr>
                <w:rFonts w:ascii="Arial" w:cs="Arial" w:eastAsia="Arial" w:hAnsi="Arial"/>
                <w:sz w:val="14"/>
                <w:szCs w:val="14"/>
                <w:b w:val="1"/>
                <w:bCs w:val="1"/>
                <w:color w:val="auto"/>
                <w:w w:val="93"/>
              </w:rPr>
              <w:t>September 30,</w:t>
            </w:r>
          </w:p>
        </w:tc>
        <w:tc>
          <w:tcPr>
            <w:tcW w:w="14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42"/>
        </w:trPr>
        <w:tc>
          <w:tcPr>
            <w:tcW w:w="520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Land improvements</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2,242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2,242</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51,399</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21,719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17,161</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117,793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113,680</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20,359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17,921</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Internally developed software</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55,083</w:t>
            </w:r>
          </w:p>
        </w:tc>
      </w:tr>
      <w:tr>
        <w:trPr>
          <w:trHeight w:val="216"/>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17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3,381</w:t>
            </w:r>
          </w:p>
        </w:tc>
      </w:tr>
      <w:tr>
        <w:trPr>
          <w:trHeight w:val="209"/>
        </w:trPr>
        <w:tc>
          <w:tcPr>
            <w:tcW w:w="5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288,496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266,446</w:t>
            </w:r>
          </w:p>
        </w:tc>
      </w:tr>
      <w:tr>
        <w:trPr>
          <w:trHeight w:val="216"/>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17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(143,624)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(130,326)</w:t>
            </w:r>
          </w:p>
        </w:tc>
      </w:tr>
      <w:tr>
        <w:trPr>
          <w:trHeight w:val="209"/>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7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144,872</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136,120</w:t>
            </w:r>
          </w:p>
        </w:tc>
      </w:tr>
      <w:tr>
        <w:trPr>
          <w:trHeight w:val="20"/>
        </w:trPr>
        <w:tc>
          <w:tcPr>
            <w:tcW w:w="5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Amortizable Intangible Assets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Amortizable intangible assets consist of the following as of:</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5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Estimated</w:t>
            </w:r>
          </w:p>
        </w:tc>
        <w:tc>
          <w:tcPr>
            <w:tcW w:w="180" w:type="dxa"/>
            <w:vAlign w:val="bottom"/>
          </w:tcPr>
          <w:p>
            <w:pPr>
              <w:spacing w:after="0"/>
              <w:rPr>
                <w:sz w:val="14"/>
                <w:szCs w:val="14"/>
                <w:color w:val="auto"/>
              </w:rPr>
            </w:pPr>
          </w:p>
        </w:tc>
        <w:tc>
          <w:tcPr>
            <w:tcW w:w="234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September 30, 2022</w:t>
            </w:r>
          </w:p>
        </w:tc>
        <w:tc>
          <w:tcPr>
            <w:tcW w:w="180" w:type="dxa"/>
            <w:vAlign w:val="bottom"/>
          </w:tcPr>
          <w:p>
            <w:pPr>
              <w:spacing w:after="0"/>
              <w:rPr>
                <w:sz w:val="14"/>
                <w:szCs w:val="14"/>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 Useful</w:t>
            </w:r>
          </w:p>
        </w:tc>
        <w:tc>
          <w:tcPr>
            <w:tcW w:w="1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Life (in years)</w:t>
            </w:r>
          </w:p>
        </w:tc>
        <w:tc>
          <w:tcPr>
            <w:tcW w:w="18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09"/>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University partner relationships</w:t>
            </w:r>
          </w:p>
        </w:tc>
        <w:tc>
          <w:tcPr>
            <w:tcW w:w="1420" w:type="dxa"/>
            <w:vAlign w:val="bottom"/>
            <w:tcBorders>
              <w:top w:val="single" w:sz="8" w:color="auto"/>
            </w:tcBorders>
            <w:shd w:val="clear" w:color="auto" w:fill="CCEEFF"/>
          </w:tcPr>
          <w:p>
            <w:pPr>
              <w:jc w:val="right"/>
              <w:ind w:right="539"/>
              <w:spacing w:after="0"/>
              <w:rPr>
                <w:sz w:val="20"/>
                <w:szCs w:val="20"/>
                <w:color w:val="auto"/>
              </w:rPr>
            </w:pPr>
            <w:r>
              <w:rPr>
                <w:rFonts w:ascii="Arial" w:cs="Arial" w:eastAsia="Arial" w:hAnsi="Arial"/>
                <w:sz w:val="18"/>
                <w:szCs w:val="18"/>
                <w:color w:val="auto"/>
              </w:rPr>
              <w:t>25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(31,096)</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1420" w:type="dxa"/>
            <w:vAlign w:val="bottom"/>
          </w:tcPr>
          <w:p>
            <w:pPr>
              <w:jc w:val="right"/>
              <w:ind w:right="579"/>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(280)</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amortizable intangible assets, net</w:t>
            </w:r>
          </w:p>
        </w:tc>
        <w:tc>
          <w:tcPr>
            <w:tcW w:w="14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(31,376)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color w:val="auto"/>
                <w:w w:val="89"/>
              </w:rPr>
              <w:t>17</w:t>
            </w: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74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7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Amortization expense for university partner relationships and trade names for the years ending December 31:</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r>
      <w:tr>
        <w:trPr>
          <w:trHeight w:val="216"/>
        </w:trPr>
        <w:tc>
          <w:tcPr>
            <w:tcW w:w="788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7880" w:type="dxa"/>
            <w:vAlign w:val="bottom"/>
          </w:tcPr>
          <w:p>
            <w:pPr>
              <w:ind w:left="20"/>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143,124</w:t>
            </w:r>
          </w:p>
        </w:tc>
      </w:tr>
      <w:tr>
        <w:trPr>
          <w:trHeight w:val="209"/>
        </w:trPr>
        <w:tc>
          <w:tcPr>
            <w:tcW w:w="78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178,904</w:t>
            </w:r>
          </w:p>
        </w:tc>
      </w:tr>
      <w:tr>
        <w:trPr>
          <w:trHeight w:val="20"/>
        </w:trPr>
        <w:tc>
          <w:tcPr>
            <w:tcW w:w="7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Leases</w:t>
      </w:r>
    </w:p>
    <w:p>
      <w:pPr>
        <w:spacing w:after="0" w:line="229"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The Company has operating leases for off-campus classroom and laboratory sites, office space, office equipment, and optical fiber communication lines. These leases have remaining lease terms that range from one month to 10 years and 9 months. At lease inception, we determine the lease term by assuming no exercises of renewal options, due to the Company’s constantly changing geographical needs for its university partners. Leases with an initial term of 12 months or less are not recorded in the consolidated balance sheets and we recognize lease expense for these leases on a straight-line basis over the lease term. The Company had operating lease costs of $7,596 and $7,371 for the nine-month periods ended September 30, 2022 and 2021, respectively.</w:t>
      </w:r>
    </w:p>
    <w:p>
      <w:pPr>
        <w:spacing w:after="0" w:line="177"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As of September 30, 2022, the Company had $9,569 of non-cancelable operating lease commitments for one off-campus classroom and laboratory sites that had not yet commenced. The Company’s weighted-average remaining lease term relating to its operating leases is 8.22 years, with a weighted-average discount rate of 3.35%. As of September 30, 2022, the Company had no financing leases.</w:t>
      </w:r>
    </w:p>
    <w:p>
      <w:pPr>
        <w:spacing w:after="0" w:line="187"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Future payment obligations with respect to the Company’s operating leases, which were existing at September 30, 2022, by year and in the aggregate, are as follows: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8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Year Ending December 31,</w:t>
            </w:r>
          </w:p>
        </w:tc>
        <w:tc>
          <w:tcPr>
            <w:tcW w:w="25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Amount</w:t>
            </w:r>
          </w:p>
        </w:tc>
      </w:tr>
      <w:tr>
        <w:trPr>
          <w:trHeight w:val="209"/>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25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2023</w:t>
            </w: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10,907</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11,144</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2025</w:t>
            </w: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10,869</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10,807</w:t>
            </w:r>
          </w:p>
        </w:tc>
      </w:tr>
      <w:tr>
        <w:trPr>
          <w:trHeight w:val="216"/>
        </w:trPr>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5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45,229</w:t>
            </w: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5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91,479</w:t>
            </w:r>
          </w:p>
        </w:tc>
      </w:tr>
      <w:tr>
        <w:trPr>
          <w:trHeight w:val="210"/>
        </w:trPr>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interest</w:t>
            </w:r>
          </w:p>
        </w:tc>
        <w:tc>
          <w:tcPr>
            <w:tcW w:w="25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12,164</w:t>
            </w: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25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79,315</w:t>
            </w:r>
          </w:p>
        </w:tc>
      </w:tr>
    </w:tbl>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Notes Payable and Other Noncurrent Liabilities</w:t>
      </w:r>
    </w:p>
    <w:p>
      <w:pPr>
        <w:spacing w:after="0" w:line="229"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The Company upon its receipt of the paydown of $500,000 on the Secured Note in October 2021 repaid all amounts due under the outstanding term loan and revolving credit facilities, terminated the credit agreement and expensed all remaining capitalized loan cost of $1,028 to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From time to time, the Company is a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could be material. With respect to the majority of pending litigation matters, the Company’s ultimate legal and financial responsibility, if any, cannot be estimated with certainty and, in most cases, any potential losses related to those matters are not considered probable.</w:t>
      </w:r>
    </w:p>
    <w:p>
      <w:pPr>
        <w:spacing w:after="0" w:line="165" w:lineRule="exact"/>
        <w:rPr>
          <w:sz w:val="20"/>
          <w:szCs w:val="20"/>
          <w:color w:val="auto"/>
        </w:rPr>
      </w:pPr>
    </w:p>
    <w:p>
      <w:pPr>
        <w:ind w:left="60" w:right="199" w:firstLine="648"/>
        <w:spacing w:after="0" w:line="286" w:lineRule="auto"/>
        <w:rPr>
          <w:sz w:val="20"/>
          <w:szCs w:val="20"/>
          <w:color w:val="auto"/>
        </w:rPr>
      </w:pPr>
      <w:r>
        <w:rPr>
          <w:rFonts w:ascii="Arial" w:cs="Arial" w:eastAsia="Arial" w:hAnsi="Arial"/>
          <w:sz w:val="17"/>
          <w:szCs w:val="17"/>
          <w:color w:val="auto"/>
        </w:rPr>
        <w:t>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spacing w:after="0" w:line="391" w:lineRule="exact"/>
        <w:rPr>
          <w:sz w:val="20"/>
          <w:szCs w:val="20"/>
          <w:color w:val="auto"/>
        </w:rPr>
      </w:pPr>
    </w:p>
    <w:p>
      <w:pPr>
        <w:ind w:left="700" w:right="6579" w:hanging="650"/>
        <w:spacing w:after="0" w:line="603" w:lineRule="auto"/>
        <w:tabs>
          <w:tab w:leader="none" w:pos="312"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Share-Based Compensation </w:t>
      </w:r>
      <w:r>
        <w:rPr>
          <w:rFonts w:ascii="Arial" w:cs="Arial" w:eastAsia="Arial" w:hAnsi="Arial"/>
          <w:sz w:val="15"/>
          <w:szCs w:val="15"/>
          <w:i w:val="1"/>
          <w:iCs w:val="1"/>
          <w:color w:val="auto"/>
        </w:rPr>
        <w:t>Incentive Plan</w:t>
      </w:r>
    </w:p>
    <w:p>
      <w:pPr>
        <w:spacing w:after="0" w:line="1"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The Company makes equity incentive grants pursuant to our 2017 Equity Incentive Plan (the “2017 Plan”) under which a maximum of 3,000 shares may be granted. As of September 30, 2022, 1,221 shares were available for grants under the 2017 Plan.</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left="60" w:right="59" w:firstLine="648"/>
        <w:spacing w:after="0" w:line="283" w:lineRule="auto"/>
        <w:rPr>
          <w:sz w:val="20"/>
          <w:szCs w:val="20"/>
          <w:color w:val="auto"/>
        </w:rPr>
      </w:pPr>
      <w:r>
        <w:rPr>
          <w:rFonts w:ascii="Arial" w:cs="Arial" w:eastAsia="Arial" w:hAnsi="Arial"/>
          <w:sz w:val="16"/>
          <w:szCs w:val="16"/>
          <w:color w:val="auto"/>
        </w:rPr>
        <w:t>During the nine months ended September 30, 2022, the Company granted 189 shares of common stock with a service vesting condition to certain of its executives, officers and employees. The restricted shares have voting rights and vest in five annual installments of 20%, with the first installment vesting in March of the calendar year following the date of grant (the “first vesting date”) and subsequent installments vesting on each of the four anniversaries of the first vesting date. Upon vesting, shares will be withheld in lieu of taxes equivalent to the minimum statutory tax withholding required to be paid when the restricted stock vests. During the nine months ended September 30, 2022, the Company withheld 52 shares of common stock in lieu of taxes at a cost of $4,625 on the restricted stock vesting dates. In June 2022, following the annual stockholders meeting, the Company granted 4 shares of common stock to the non-employee members of the Company’s Board of Directors. The restricted shares granted to these directors have voting rights and vest on the earlier of</w:t>
      </w:r>
    </w:p>
    <w:p>
      <w:pPr>
        <w:spacing w:after="0" w:line="6" w:lineRule="exact"/>
        <w:rPr>
          <w:sz w:val="20"/>
          <w:szCs w:val="20"/>
          <w:color w:val="auto"/>
        </w:rPr>
      </w:pPr>
    </w:p>
    <w:p>
      <w:pPr>
        <w:ind w:left="60" w:right="599" w:hanging="10"/>
        <w:spacing w:after="0" w:line="260" w:lineRule="auto"/>
        <w:tabs>
          <w:tab w:leader="none" w:pos="30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one year anniversary of the date of grant or (b) immediately prior to the following year’s annual stockholders meeting.</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summary of the activity related to restricted stock granted under the Company’s Incentive Plan since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2021 is as follows:</w:t>
      </w:r>
    </w:p>
    <w:tbl>
      <w:tblPr>
        <w:tblLayout w:type="fixed"/>
        <w:tblInd w:w="40" w:type="dxa"/>
        <w:tblCellMar>
          <w:top w:w="0" w:type="dxa"/>
          <w:left w:w="0" w:type="dxa"/>
          <w:bottom w:w="0" w:type="dxa"/>
          <w:right w:w="0" w:type="dxa"/>
        </w:tblCellMar>
      </w:tblPr>
      <w:tr>
        <w:trPr>
          <w:trHeight w:val="148"/>
        </w:trPr>
        <w:tc>
          <w:tcPr>
            <w:tcW w:w="36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Shares</w:t>
            </w:r>
          </w:p>
        </w:tc>
        <w:tc>
          <w:tcPr>
            <w:tcW w:w="13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Fair Value per Share</w:t>
            </w:r>
          </w:p>
        </w:tc>
        <w:tc>
          <w:tcPr>
            <w:tcW w:w="0" w:type="dxa"/>
            <w:vAlign w:val="bottom"/>
          </w:tcPr>
          <w:p>
            <w:pPr>
              <w:spacing w:after="0"/>
              <w:rPr>
                <w:sz w:val="1"/>
                <w:szCs w:val="1"/>
                <w:color w:val="auto"/>
              </w:rPr>
            </w:pPr>
          </w:p>
        </w:tc>
      </w:tr>
      <w:tr>
        <w:trPr>
          <w:trHeight w:val="209"/>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December 31, 2021</w:t>
            </w:r>
          </w:p>
        </w:tc>
        <w:tc>
          <w:tcPr>
            <w:tcW w:w="3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20"/>
              <w:spacing w:after="0"/>
              <w:rPr>
                <w:sz w:val="20"/>
                <w:szCs w:val="20"/>
                <w:color w:val="auto"/>
              </w:rPr>
            </w:pPr>
            <w:r>
              <w:rPr>
                <w:rFonts w:ascii="Arial" w:cs="Arial" w:eastAsia="Arial" w:hAnsi="Arial"/>
                <w:sz w:val="18"/>
                <w:szCs w:val="18"/>
                <w:color w:val="auto"/>
              </w:rPr>
              <w:t>Granted</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3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20"/>
              <w:spacing w:after="0"/>
              <w:rPr>
                <w:sz w:val="20"/>
                <w:szCs w:val="20"/>
                <w:color w:val="auto"/>
              </w:rPr>
            </w:pPr>
            <w:r>
              <w:rPr>
                <w:rFonts w:ascii="Arial" w:cs="Arial" w:eastAsia="Arial" w:hAnsi="Arial"/>
                <w:sz w:val="18"/>
                <w:szCs w:val="18"/>
                <w:color w:val="auto"/>
              </w:rPr>
              <w:t>Forfeited, canceled or expired</w:t>
            </w:r>
          </w:p>
        </w:tc>
        <w:tc>
          <w:tcPr>
            <w:tcW w:w="3940" w:type="dxa"/>
            <w:vAlign w:val="bottom"/>
            <w:gridSpan w:val="3"/>
          </w:tcPr>
          <w:p>
            <w:pPr>
              <w:jc w:val="right"/>
              <w:ind w:right="140"/>
              <w:spacing w:after="0"/>
              <w:rPr>
                <w:sz w:val="20"/>
                <w:szCs w:val="20"/>
                <w:color w:val="auto"/>
              </w:rPr>
            </w:pPr>
            <w:r>
              <w:rPr>
                <w:rFonts w:ascii="Arial" w:cs="Arial" w:eastAsia="Arial" w:hAnsi="Arial"/>
                <w:sz w:val="18"/>
                <w:szCs w:val="18"/>
                <w:color w:val="auto"/>
              </w:rPr>
              <w:t>(10)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85.54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September 30, 2022</w:t>
            </w:r>
          </w:p>
        </w:tc>
        <w:tc>
          <w:tcPr>
            <w:tcW w:w="3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100" w:type="dxa"/>
            <w:vAlign w:val="bottom"/>
            <w:vMerge w:val="restart"/>
          </w:tcPr>
          <w:p>
            <w:pPr>
              <w:jc w:val="right"/>
              <w:ind w:right="2090"/>
              <w:spacing w:after="0"/>
              <w:rPr>
                <w:sz w:val="20"/>
                <w:szCs w:val="20"/>
                <w:color w:val="auto"/>
              </w:rPr>
            </w:pPr>
            <w:r>
              <w:rPr>
                <w:rFonts w:ascii="Arial" w:cs="Arial" w:eastAsia="Arial" w:hAnsi="Arial"/>
                <w:sz w:val="18"/>
                <w:szCs w:val="18"/>
                <w:color w:val="auto"/>
              </w:rPr>
              <w:t>19</w:t>
            </w: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64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6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2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60" w:right="619" w:firstLine="648"/>
        <w:spacing w:after="0" w:line="277" w:lineRule="auto"/>
        <w:rPr>
          <w:sz w:val="20"/>
          <w:szCs w:val="20"/>
          <w:color w:val="auto"/>
        </w:rPr>
      </w:pPr>
      <w:r>
        <w:rPr>
          <w:rFonts w:ascii="Arial" w:cs="Arial" w:eastAsia="Arial" w:hAnsi="Arial"/>
          <w:sz w:val="18"/>
          <w:szCs w:val="18"/>
          <w:color w:val="auto"/>
        </w:rPr>
        <w:t>During the nine months ended September 30, 2022, no options were granted. As of December 31, 2021, all options have been exercised or expired.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25" w:lineRule="exact"/>
        <w:rPr>
          <w:sz w:val="20"/>
          <w:szCs w:val="20"/>
          <w:color w:val="auto"/>
        </w:rPr>
      </w:pPr>
    </w:p>
    <w:p>
      <w:pPr>
        <w:ind w:left="60" w:right="259" w:firstLine="648"/>
        <w:spacing w:after="0" w:line="277" w:lineRule="auto"/>
        <w:rPr>
          <w:sz w:val="20"/>
          <w:szCs w:val="20"/>
          <w:color w:val="auto"/>
        </w:rPr>
      </w:pPr>
      <w:r>
        <w:rPr>
          <w:rFonts w:ascii="Arial" w:cs="Arial" w:eastAsia="Arial" w:hAnsi="Arial"/>
          <w:sz w:val="18"/>
          <w:szCs w:val="18"/>
          <w:color w:val="auto"/>
        </w:rPr>
        <w:t>The table below outlines share-based compensation expense for the nine months ended September 30, 2022 and 2021 related to restricted stock granted: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r>
      <w:tr>
        <w:trPr>
          <w:trHeight w:val="209"/>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academic services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Counseling services and support</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4,720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4,350</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Marketing and communication</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2,838</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w:t>
            </w:r>
          </w:p>
        </w:tc>
      </w:tr>
      <w:tr>
        <w:trPr>
          <w:trHeight w:val="209"/>
        </w:trPr>
        <w:tc>
          <w:tcPr>
            <w:tcW w:w="61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Share-based compensation expense included in operating expenses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8,715</w:t>
            </w:r>
          </w:p>
        </w:tc>
      </w:tr>
      <w:tr>
        <w:trPr>
          <w:trHeight w:val="216"/>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Tax effect of share-based compensation</w:t>
            </w:r>
          </w:p>
        </w:tc>
        <w:tc>
          <w:tcPr>
            <w:tcW w:w="9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w:t>
            </w:r>
          </w:p>
        </w:tc>
      </w:tr>
      <w:tr>
        <w:trPr>
          <w:trHeight w:val="210"/>
        </w:trPr>
        <w:tc>
          <w:tcPr>
            <w:tcW w:w="61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Share-based compensation expense, net of tax</w:t>
            </w:r>
          </w:p>
        </w:tc>
        <w:tc>
          <w:tcPr>
            <w:tcW w:w="9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7,113</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6,536</w:t>
            </w:r>
          </w:p>
        </w:tc>
      </w:tr>
      <w:tr>
        <w:trPr>
          <w:trHeight w:val="20"/>
        </w:trPr>
        <w:tc>
          <w:tcPr>
            <w:tcW w:w="6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Treasury Stock</w:t>
      </w:r>
    </w:p>
    <w:p>
      <w:pPr>
        <w:spacing w:after="0" w:line="229"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On October 26, 2022, the Board of Directors increased the authorization under its existing stock repurchase program by $200,000 reflecting an aggregate authorization for share repurchases since the initiation of our program of $1,845,000. The expiration date on the repurchase authorization is December 31, 2023. Repurchases occur at the Company’s discretion. Repurchases may be made in the open market or in privately negotiated transactions, pursuant to the applicable Securities and Exchange Commission rules. The amount and timing of future share repurchases, if any, will be made as market and business conditions warrant.</w:t>
      </w:r>
    </w:p>
    <w:p>
      <w:pPr>
        <w:spacing w:after="0" w:line="192" w:lineRule="exact"/>
        <w:rPr>
          <w:sz w:val="20"/>
          <w:szCs w:val="20"/>
          <w:color w:val="auto"/>
        </w:rPr>
      </w:pPr>
    </w:p>
    <w:p>
      <w:pPr>
        <w:ind w:left="60" w:right="139" w:firstLine="648"/>
        <w:spacing w:after="0" w:line="268" w:lineRule="auto"/>
        <w:rPr>
          <w:sz w:val="20"/>
          <w:szCs w:val="20"/>
          <w:color w:val="auto"/>
        </w:rPr>
      </w:pPr>
      <w:r>
        <w:rPr>
          <w:rFonts w:ascii="Arial" w:cs="Arial" w:eastAsia="Arial" w:hAnsi="Arial"/>
          <w:sz w:val="17"/>
          <w:szCs w:val="17"/>
          <w:color w:val="auto"/>
        </w:rPr>
        <w:t>On March 10, 2021, the Company entered into an accelerated share repurchase (“ASR”) agreement with Morgan Stanley &amp; Co. LLC (“Morgan Stanley”) to repurchase up to $35,000 of its outstanding shares of common stock as part of the Company’s share repurchase program. Under the ASR agreement, the Company received initial delivery of approximately 276 shares of common stock, representing approximately 80% of the number of shares of common stock initially underlying the ASR agreement based on the closing price of the common stock of $101.49, on March 9, 2021. At inception of the ASR agreement, the Company recognized the initial delivery of shares as treasury stock of $28,000 and recognized the remaining amount underlying the ASR agreement as a reduction of additional paid in capital of $7,000. The total number of shares that the Company repurchased under the ASR program was based on the volume-weighted average price of the common stock during the term of the ASR agreement, less a discount, and subject to potential adjustments pursuant to the terms and conditions of the ASR agreement. The final settlement of the share repurchases under the ASR agreement was completed on May 4, 2021 with additional delivery of 46 shares of common stock. At settlement of the ASR agreement, the Company recognized an increase to additional paid in capital and a decrease in treasury stock of $7,000 related to the remaining delivery of shares. The ASR agreement resulted in total of 322 shares repurchased at an average cost of $108.76.</w:t>
      </w:r>
    </w:p>
    <w:p>
      <w:pPr>
        <w:spacing w:after="0" w:line="184"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On May 14, 2021, the Company entered into an ASR agreement with Morgan Stanley to repurchase up to $50,000 of its outstanding shares of common stock as part of the Company’s share repurchase program. Under the ASR agreement, the Company received initial delivery on May 17, 2021 of approximately 418 shares of common stock, representing approximately 80% of the number of shares of common stock initially underlying the ASR agreement based on the closing price of the common stock of $95.63, on May 14, 2021. At inception of the ASR agreement, the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Company recognized the initial delivery of shares as treasury stock of $40,000, and recognized the remaining amount underlying the ASR agreement as a reduction to additional paid in capital of $10,000. The total number of shares that the Company repurchased under the ASR program was based on the volume-weighted average price of the common stock during the term of the ASR agreement, less a discount, and subject to potential adjustments pursuant to the terms and conditions of the ASR agreement. The final settlement of the shares repurchases under the ASR agreement was completed on August 13, 2021 with additional delivery of 139 shares of common stock. At settlement of the ASR agreement, the Company recognized an increase to additional paid in capital and a decrease in treasury stock of $10,000 related to the remaining delivery of shares. The ASR agreement resulted in a total of 558 shares repurchased at an average cost of $89.68.</w:t>
      </w:r>
    </w:p>
    <w:p>
      <w:pPr>
        <w:spacing w:after="0" w:line="196" w:lineRule="exact"/>
        <w:rPr>
          <w:sz w:val="20"/>
          <w:szCs w:val="20"/>
          <w:color w:val="auto"/>
        </w:rPr>
      </w:pPr>
    </w:p>
    <w:p>
      <w:pPr>
        <w:ind w:left="60" w:right="199" w:firstLine="648"/>
        <w:spacing w:after="0" w:line="301" w:lineRule="auto"/>
        <w:rPr>
          <w:sz w:val="20"/>
          <w:szCs w:val="20"/>
          <w:color w:val="auto"/>
        </w:rPr>
      </w:pPr>
      <w:r>
        <w:rPr>
          <w:rFonts w:ascii="Arial" w:cs="Arial" w:eastAsia="Arial" w:hAnsi="Arial"/>
          <w:sz w:val="16"/>
          <w:szCs w:val="16"/>
          <w:color w:val="auto"/>
        </w:rPr>
        <w:t>During the nine months ended September 30, 2022 the Company repurchased 6,476 shares of common stock, at an aggregate cost of $571,581. As of September 30, 2022, there remained $23,852 available under its current share repurchase authorization (which authorization was increased to $223,852 in October 2022). Shares repurchased in lieu of taxes are not included in the repurchase plan totals as they were approved in conjunction with the restricted share awards.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Related Party Transactions</w:t>
      </w:r>
    </w:p>
    <w:p>
      <w:pPr>
        <w:spacing w:after="0" w:line="229" w:lineRule="exact"/>
        <w:rPr>
          <w:sz w:val="20"/>
          <w:szCs w:val="20"/>
          <w:color w:val="auto"/>
        </w:rPr>
      </w:pPr>
    </w:p>
    <w:p>
      <w:pPr>
        <w:jc w:val="both"/>
        <w:ind w:left="60" w:right="279" w:firstLine="648"/>
        <w:spacing w:after="0" w:line="263" w:lineRule="auto"/>
        <w:rPr>
          <w:sz w:val="20"/>
          <w:szCs w:val="20"/>
          <w:color w:val="auto"/>
        </w:rPr>
      </w:pPr>
      <w:r>
        <w:rPr>
          <w:rFonts w:ascii="Arial" w:cs="Arial" w:eastAsia="Arial" w:hAnsi="Arial"/>
          <w:sz w:val="18"/>
          <w:szCs w:val="18"/>
          <w:color w:val="auto"/>
        </w:rPr>
        <w:t>Related party transactions include transaction between the Company and certain of its affiliates. The following transactions were in the normal course of operations and were measured at the exchange amount, which is the amount of consideration established and agreed to by the parties.</w:t>
      </w:r>
    </w:p>
    <w:p>
      <w:pPr>
        <w:spacing w:after="0" w:line="184" w:lineRule="exact"/>
        <w:rPr>
          <w:sz w:val="20"/>
          <w:szCs w:val="20"/>
          <w:color w:val="auto"/>
        </w:rPr>
      </w:pPr>
    </w:p>
    <w:p>
      <w:pPr>
        <w:ind w:left="60" w:right="419" w:firstLine="648"/>
        <w:spacing w:after="0" w:line="277" w:lineRule="auto"/>
        <w:rPr>
          <w:sz w:val="20"/>
          <w:szCs w:val="20"/>
          <w:color w:val="auto"/>
        </w:rPr>
      </w:pPr>
      <w:r>
        <w:rPr>
          <w:rFonts w:ascii="Arial" w:cs="Arial" w:eastAsia="Arial" w:hAnsi="Arial"/>
          <w:sz w:val="18"/>
          <w:szCs w:val="18"/>
          <w:color w:val="auto"/>
        </w:rPr>
        <w:t>As of and for the nine months ended September 30, 2022 and 2021, related party transactions consisted of the following:</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Affiliates</w:t>
      </w:r>
    </w:p>
    <w:p>
      <w:pPr>
        <w:spacing w:after="0" w:line="229"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i w:val="1"/>
          <w:iCs w:val="1"/>
          <w:color w:val="auto"/>
        </w:rPr>
        <w:t xml:space="preserve">GCE Community Fund (“GCECF”) </w:t>
      </w:r>
      <w:r>
        <w:rPr>
          <w:rFonts w:ascii="Arial" w:cs="Arial" w:eastAsia="Arial" w:hAnsi="Arial"/>
          <w:sz w:val="16"/>
          <w:szCs w:val="16"/>
          <w:color w:val="auto"/>
        </w:rPr>
        <w:t>– GCECF was initially formed in 2014. GCECF makes grants for charitable,</w:t>
      </w:r>
      <w:r>
        <w:rPr>
          <w:rFonts w:ascii="Arial" w:cs="Arial" w:eastAsia="Arial" w:hAnsi="Arial"/>
          <w:sz w:val="16"/>
          <w:szCs w:val="16"/>
          <w:i w:val="1"/>
          <w:iCs w:val="1"/>
          <w:color w:val="auto"/>
        </w:rPr>
        <w:t xml:space="preserve"> </w:t>
      </w:r>
      <w:r>
        <w:rPr>
          <w:rFonts w:ascii="Arial" w:cs="Arial" w:eastAsia="Arial" w:hAnsi="Arial"/>
          <w:sz w:val="16"/>
          <w:szCs w:val="16"/>
          <w:color w:val="auto"/>
        </w:rPr>
        <w:t>educational, literary, religious or scientific purposes within the meaning of Section 501(c )(3) of the Internal Revenue Code, including for such purposes as the making of distributions to organizations that qualify as exempt organization under Section 501(c )(3) of the Code. The Company’s CEO and Chairman serves as the president of GCECF. All of the board seats are taken by Company executives. The Company is not the primary beneficiary of GCECF, and accordingly, the Company does not consolidate GCECF’s statement of activities with its financial results. The Company contributed $200 for the nine months ended September 30, 2022, of which no amounts were owed as of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60" w:right="559" w:firstLine="648"/>
        <w:spacing w:after="0" w:line="308"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financial statements and related notes that appear elsewhere in this report.</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159" w:firstLine="648"/>
        <w:spacing w:after="0" w:line="287" w:lineRule="auto"/>
        <w:rPr>
          <w:sz w:val="20"/>
          <w:szCs w:val="20"/>
          <w:color w:val="auto"/>
        </w:rPr>
      </w:pPr>
      <w:r>
        <w:rPr>
          <w:rFonts w:ascii="Arial" w:cs="Arial" w:eastAsia="Arial" w:hAnsi="Arial"/>
          <w:sz w:val="16"/>
          <w:szCs w:val="16"/>
          <w:color w:val="auto"/>
        </w:rPr>
        <w:t xml:space="preserve">This Quarterly Report on Form 10-Q, including Item 2, </w:t>
      </w:r>
      <w:r>
        <w:rPr>
          <w:rFonts w:ascii="Arial" w:cs="Arial" w:eastAsia="Arial" w:hAnsi="Arial"/>
          <w:sz w:val="16"/>
          <w:szCs w:val="16"/>
          <w:i w:val="1"/>
          <w:iCs w:val="1"/>
          <w:color w:val="auto"/>
        </w:rPr>
        <w:t>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Condition and Results of Operations</w:t>
      </w:r>
      <w:r>
        <w:rPr>
          <w:rFonts w:ascii="Arial" w:cs="Arial" w:eastAsia="Arial" w:hAnsi="Arial"/>
          <w:sz w:val="16"/>
          <w:szCs w:val="16"/>
          <w:color w:val="auto"/>
        </w:rPr>
        <w:t>, contains certain “forward-looking statements” within the meaning of Section 27A of</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Act of 1933, as amended, and Section 21E of the Securities Exchange Act of 1934, as amended (the “Exchange Act”).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the negative of these expressions, as well as statements in future tense, identify forward-looking statements. You can also identify forward-looking statements by discussions of strategy, plans or intentions of management.</w:t>
      </w:r>
    </w:p>
    <w:p>
      <w:pPr>
        <w:spacing w:after="0" w:line="168" w:lineRule="exact"/>
        <w:rPr>
          <w:sz w:val="20"/>
          <w:szCs w:val="20"/>
          <w:color w:val="auto"/>
        </w:rPr>
      </w:pPr>
    </w:p>
    <w:p>
      <w:pPr>
        <w:ind w:left="60" w:right="159" w:firstLine="648"/>
        <w:spacing w:after="0" w:line="268" w:lineRule="auto"/>
        <w:rPr>
          <w:sz w:val="20"/>
          <w:szCs w:val="20"/>
          <w:color w:val="auto"/>
        </w:rPr>
      </w:pPr>
      <w:r>
        <w:rPr>
          <w:rFonts w:ascii="Arial" w:cs="Arial" w:eastAsia="Arial" w:hAnsi="Arial"/>
          <w:sz w:val="17"/>
          <w:szCs w:val="17"/>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Currently, one of the most significant factors that could cause actual outcomes to differ materially from our forward-looking statements is the continuing, and potential future, adverse effects of the COVID-19 pandemic, and federal, state and/or local regulatory guidelines and private business actions to control it, on the global economy and the financial markets, the higher education industry in which we operate, our university partners, and, ultimately, on our financial condition, operating results and cash flows. The extent to which the COVID-19 pandemic will continue to impact us, and our university partners will depend on future developments, including the scope, severity and duration of the pandemic, and the resulting economic impacts and potential changes in behavior, among others, all of which are highly uncertain and cannot be predicted with confidence. Important factors that could cause our actual performance or results to differ materially from those expressed in or suggested by the forward-looking statements, and which may be further heightened by the COVID-19 pandemic, include, but are not limited to:</w:t>
      </w:r>
    </w:p>
    <w:p>
      <w:pPr>
        <w:spacing w:after="0" w:line="182" w:lineRule="exact"/>
        <w:rPr>
          <w:sz w:val="20"/>
          <w:szCs w:val="20"/>
          <w:color w:val="auto"/>
        </w:rPr>
      </w:pPr>
    </w:p>
    <w:p>
      <w:pPr>
        <w:ind w:left="720" w:right="619" w:hanging="319"/>
        <w:spacing w:after="0" w:line="342"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harm to our business, results of operations, and financial condition, and harm to our university partners resulting from epidemics, pandemics, including the COVID-19 outbreak, or public health crises;</w:t>
      </w:r>
    </w:p>
    <w:p>
      <w:pPr>
        <w:spacing w:after="0" w:line="123" w:lineRule="exact"/>
        <w:rPr>
          <w:rFonts w:ascii="Arial" w:cs="Arial" w:eastAsia="Arial" w:hAnsi="Arial"/>
          <w:sz w:val="16"/>
          <w:szCs w:val="16"/>
          <w:color w:val="auto"/>
        </w:rPr>
      </w:pPr>
    </w:p>
    <w:p>
      <w:pPr>
        <w:ind w:left="720" w:right="9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occurrence of any event, change or other circumstance that could give rise to the termination of any of the key university partner agreements;</w:t>
      </w:r>
    </w:p>
    <w:p>
      <w:pPr>
        <w:spacing w:after="0" w:line="170" w:lineRule="exact"/>
        <w:rPr>
          <w:rFonts w:ascii="Arial" w:cs="Arial" w:eastAsia="Arial" w:hAnsi="Arial"/>
          <w:sz w:val="18"/>
          <w:szCs w:val="18"/>
          <w:color w:val="auto"/>
        </w:rPr>
      </w:pPr>
    </w:p>
    <w:p>
      <w:pPr>
        <w:ind w:left="720" w:right="599" w:hanging="319"/>
        <w:spacing w:after="0" w:line="311"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w:t>
      </w:r>
    </w:p>
    <w:p>
      <w:pPr>
        <w:spacing w:after="0" w:line="148" w:lineRule="exact"/>
        <w:rPr>
          <w:rFonts w:ascii="Arial" w:cs="Arial" w:eastAsia="Arial" w:hAnsi="Arial"/>
          <w:sz w:val="16"/>
          <w:szCs w:val="16"/>
          <w:color w:val="auto"/>
        </w:rPr>
      </w:pPr>
    </w:p>
    <w:p>
      <w:pPr>
        <w:ind w:left="720" w:right="159" w:hanging="319"/>
        <w:spacing w:after="0" w:line="311"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failure to comply with the extensive regulatory framework applicable to us either directly as a third-party service provider or indirectly through our university partners, including Title IV of the Higher Education Act and the regulations thereunder, state laws and regulatory requirements, and accrediting commission requirements;</w:t>
      </w:r>
    </w:p>
    <w:p>
      <w:pPr>
        <w:spacing w:after="0" w:line="148" w:lineRule="exact"/>
        <w:rPr>
          <w:rFonts w:ascii="Arial" w:cs="Arial" w:eastAsia="Arial" w:hAnsi="Arial"/>
          <w:sz w:val="16"/>
          <w:szCs w:val="16"/>
          <w:color w:val="auto"/>
        </w:rPr>
      </w:pPr>
    </w:p>
    <w:p>
      <w:pPr>
        <w:ind w:left="720" w:right="47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our university partners’ students to obtain federal Title IV funds, state financial aid, and private financing;</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59" w:hanging="319"/>
        <w:spacing w:after="0" w:line="263"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damage to our reputation or other adverse effects as a result of negative publicity in the media, in the industry or in connection with governmental reports or investigations or otherwise, affecting us or other companies in the education services sector;</w:t>
      </w:r>
    </w:p>
    <w:p>
      <w:pPr>
        <w:spacing w:after="0" w:line="183" w:lineRule="exact"/>
        <w:rPr>
          <w:rFonts w:ascii="Arial" w:cs="Arial" w:eastAsia="Arial" w:hAnsi="Arial"/>
          <w:sz w:val="18"/>
          <w:szCs w:val="18"/>
          <w:color w:val="auto"/>
        </w:rPr>
      </w:pPr>
    </w:p>
    <w:p>
      <w:pPr>
        <w:ind w:left="720" w:right="299" w:hanging="319"/>
        <w:spacing w:after="0" w:line="263"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associated with changes in applicable federal and state laws and regulations and accrediting commission standards, including pending rulemaking by the Department of Education applicable to us directly or indirectly through our university partners;</w:t>
      </w:r>
    </w:p>
    <w:p>
      <w:pPr>
        <w:spacing w:after="0" w:line="183" w:lineRule="exact"/>
        <w:rPr>
          <w:rFonts w:ascii="Arial" w:cs="Arial" w:eastAsia="Arial" w:hAnsi="Arial"/>
          <w:sz w:val="18"/>
          <w:szCs w:val="18"/>
          <w:color w:val="auto"/>
        </w:rPr>
      </w:pPr>
    </w:p>
    <w:p>
      <w:pPr>
        <w:ind w:left="720" w:right="599" w:hanging="319"/>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 from other education service companies in our geographic region and market sector, including competition for students, qualified executives and other personnel;</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expected tax payments and tax rate;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hire and train new, and develop and train existing, employees;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pace of growth of our university partners’ enrollment and its effect on the pace of our own growth;</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our revenues due to seasonality;</w:t>
      </w:r>
    </w:p>
    <w:p>
      <w:pPr>
        <w:spacing w:after="0" w:line="225" w:lineRule="exact"/>
        <w:rPr>
          <w:rFonts w:ascii="Arial" w:cs="Arial" w:eastAsia="Arial" w:hAnsi="Arial"/>
          <w:sz w:val="18"/>
          <w:szCs w:val="18"/>
          <w:color w:val="auto"/>
        </w:rPr>
      </w:pPr>
    </w:p>
    <w:p>
      <w:pPr>
        <w:ind w:left="720" w:right="199" w:hanging="319"/>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on behalf of our university partners, convert prospective students to enrolled students and to retain active students to graduation;</w:t>
      </w:r>
    </w:p>
    <w:p>
      <w:pPr>
        <w:spacing w:after="0" w:line="170" w:lineRule="exact"/>
        <w:rPr>
          <w:rFonts w:ascii="Arial" w:cs="Arial" w:eastAsia="Arial" w:hAnsi="Arial"/>
          <w:sz w:val="18"/>
          <w:szCs w:val="18"/>
          <w:color w:val="auto"/>
        </w:rPr>
      </w:pPr>
    </w:p>
    <w:p>
      <w:pPr>
        <w:ind w:left="720" w:right="219" w:hanging="319"/>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 for our university partners;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risks associated with the competitive environment for marketing the programs of our university partners;</w:t>
      </w:r>
    </w:p>
    <w:p>
      <w:pPr>
        <w:spacing w:after="0" w:line="236" w:lineRule="exact"/>
        <w:rPr>
          <w:rFonts w:ascii="Arial" w:cs="Arial" w:eastAsia="Arial" w:hAnsi="Arial"/>
          <w:sz w:val="17"/>
          <w:szCs w:val="17"/>
          <w:color w:val="auto"/>
        </w:rPr>
      </w:pPr>
    </w:p>
    <w:p>
      <w:pPr>
        <w:ind w:left="720" w:right="319" w:hanging="319"/>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on our part to keep up with advances in technology that could enhance the experience for our university partners’ students;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manage future growth effectively;</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any natural disasters or public health emergencies; and</w:t>
      </w:r>
    </w:p>
    <w:p>
      <w:pPr>
        <w:spacing w:after="0" w:line="238" w:lineRule="exact"/>
        <w:rPr>
          <w:rFonts w:ascii="Arial" w:cs="Arial" w:eastAsia="Arial" w:hAnsi="Arial"/>
          <w:sz w:val="18"/>
          <w:szCs w:val="18"/>
          <w:color w:val="auto"/>
        </w:rPr>
      </w:pPr>
    </w:p>
    <w:p>
      <w:pPr>
        <w:ind w:left="720" w:right="699" w:hanging="319"/>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adverse economic conditions or other developments that affect the job prospects of our university partners’ students.</w:t>
      </w:r>
    </w:p>
    <w:p>
      <w:pPr>
        <w:spacing w:after="0" w:line="170" w:lineRule="exact"/>
        <w:rPr>
          <w:sz w:val="20"/>
          <w:szCs w:val="20"/>
          <w:color w:val="auto"/>
        </w:rPr>
      </w:pPr>
    </w:p>
    <w:p>
      <w:pPr>
        <w:ind w:left="60" w:right="159" w:firstLine="648"/>
        <w:spacing w:after="0" w:line="269" w:lineRule="auto"/>
        <w:rPr>
          <w:sz w:val="20"/>
          <w:szCs w:val="20"/>
          <w:color w:val="auto"/>
        </w:rPr>
      </w:pPr>
      <w:r>
        <w:rPr>
          <w:rFonts w:ascii="Arial" w:cs="Arial" w:eastAsia="Arial" w:hAnsi="Arial"/>
          <w:sz w:val="17"/>
          <w:szCs w:val="17"/>
          <w:color w:val="auto"/>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 (the “2021 Form 10-K”) filed with the Securities and Exchange Commission (“SEC”) for the fiscal year ended December 31, 2021, as updated in our subsequent reports filed with the SEC, including any updates found in Part II, Item 1A of this Quarterly Report on Form 10-Q or our other reports on Form 10-Q. You should not put undue reliance on any forward-looking statements. Forward-looking statements speak only as of the date the statements are made and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60" w:right="259" w:firstLine="648"/>
        <w:spacing w:after="0" w:line="342" w:lineRule="auto"/>
        <w:rPr>
          <w:sz w:val="20"/>
          <w:szCs w:val="20"/>
          <w:color w:val="auto"/>
        </w:rPr>
      </w:pPr>
      <w:r>
        <w:rPr>
          <w:rFonts w:ascii="Arial" w:cs="Arial" w:eastAsia="Arial" w:hAnsi="Arial"/>
          <w:sz w:val="16"/>
          <w:szCs w:val="16"/>
          <w:color w:val="auto"/>
        </w:rPr>
        <w:t>Grand Canyon Education, Inc. (together with its subsidiaries, the “Company” or “GCE”) is a publicly traded education services company dedicated to serving colleges and universities. GCE has developed significant technological</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9" w:lineRule="auto"/>
        <w:rPr>
          <w:sz w:val="20"/>
          <w:szCs w:val="20"/>
          <w:color w:val="auto"/>
        </w:rPr>
      </w:pPr>
      <w:r>
        <w:rPr>
          <w:rFonts w:ascii="Arial" w:cs="Arial" w:eastAsia="Arial" w:hAnsi="Arial"/>
          <w:sz w:val="17"/>
          <w:szCs w:val="17"/>
          <w:color w:val="auto"/>
        </w:rPr>
        <w:t>solutions, infrastructure and operational processes to provide services to these institutions on a large scale. GCE’s most significant university partner is Grand Canyon University (“GCU”), a comprehensive regionally accredited university that offers graduate and undergraduate degree programs, emphases and certificates across nine colleges both online and on ground at its campus in Phoenix, Arizona, and at four off-campus classroom and laboratory sites.</w:t>
      </w:r>
    </w:p>
    <w:p>
      <w:pPr>
        <w:spacing w:after="0" w:line="171"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8"/>
          <w:szCs w:val="18"/>
          <w:color w:val="auto"/>
        </w:rPr>
        <w:t>In January 2019, GCE began providing education services to numerous university partners across the United States, through our wholly owned subsidiary, Orbis Education, which we acquired on January 22, 2019. Since the acquisition, GCE, together with Orbis Education, has continued to add additional university partners. In the healthcare field, we work in partnership with a growing number of top universities and healthcare networks across the country, offering healthcare-related academic programs at off-campus classroom and laboratory sites located near healthcare providers and developing high-quality, career-ready graduates who enter the workforce ready to meet the demands of the healthcare industry. In addition, we have provided certain services to a university partner to assist them in expanding their online graduate programs. As of September 30, 2022, GCE provides education services to 27 university partners across the United States.</w:t>
      </w:r>
    </w:p>
    <w:p>
      <w:pPr>
        <w:spacing w:after="0" w:line="196"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We plan to continue to add additional university partners and to introduce additional programs with both our existing partners and with new partners. We may engage with both new and existing university partners to offer healthcare programs, online only or hybrid programs, or, as is the case for our most significant partner, GCU, both healthcare and other programs. In addition, we have centralized a number of services that historically were provided separately to university partners of Orbis Education. Therefore, we refer to all university partners as “GCE partners” or “our partners”. We do disclose significant information for GCU, such as enrollments, due to its size in comparison to our other university partners.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SIGNIFICANT DEVELOPMENTS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231F20"/>
        </w:rPr>
        <w:t>Since March 2020, the world has been, and continues to be, impacted by the COVID-19 pandemic. This contagious outbreak, which has continued to spread, and the related adverse public health developments that have occurred at various times since March 2020, including orders to shelter-in-place, travel restrictions and mandated non-essential business closures, have adversely affected workforces, organizations, customers, economies and financial markets globally. It has also disrupted the normal operations of many businesses, including ours, and that of our university partners.</w:t>
      </w:r>
    </w:p>
    <w:p>
      <w:pPr>
        <w:spacing w:after="0" w:line="161"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231F20"/>
        </w:rPr>
        <w:t>Pursuant to the Master Services Agreement, GCE provides education services to GCU in return for 60% of GCU’s tuition and fee revenues, which includes fee revenues from room, board, and other ancillary businesses including a student-run golf course. GCU has four types of students: traditional ground university students, who attend class on its campus in Phoenix, Arizona and of which approximately 70% have historically lived on campus in university owned residence halls; professional studies students, who are working adult students who attend class one night a week on the Phoenix campus; online students who attend class fully online; and students who are studying in hybrid programs in which the ground component takes place at off-campus classroom and laboratory sites.</w:t>
      </w:r>
    </w:p>
    <w:p>
      <w:pPr>
        <w:spacing w:after="0" w:line="177"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231F20"/>
        </w:rPr>
        <w:t>The COVID-19 outbreak, as well as measures taken to contain its spread, has impacted GCU’s students and its business in a number of ways. A full description of those impacts is described in our 2021 Form 10-K. Below is an explanation of those impacts from the COVID-19 pandemic, that had an effect on GCU’s tuition and non-tuition revenue during 2021 and the first nine months of 2022 and, consequently, the service revenues we earned under the Master Services Agreement:</w:t>
      </w:r>
    </w:p>
    <w:p>
      <w:pPr>
        <w:spacing w:after="0" w:line="188" w:lineRule="exact"/>
        <w:rPr>
          <w:sz w:val="20"/>
          <w:szCs w:val="20"/>
          <w:color w:val="auto"/>
        </w:rPr>
      </w:pPr>
    </w:p>
    <w:p>
      <w:pPr>
        <w:ind w:left="720" w:right="159" w:hanging="319"/>
        <w:spacing w:after="0" w:line="293" w:lineRule="auto"/>
        <w:tabs>
          <w:tab w:leader="none" w:pos="720" w:val="left"/>
        </w:tabs>
        <w:numPr>
          <w:ilvl w:val="0"/>
          <w:numId w:val="9"/>
        </w:numPr>
        <w:rPr>
          <w:rFonts w:ascii="Arial" w:cs="Arial" w:eastAsia="Arial" w:hAnsi="Arial"/>
          <w:sz w:val="16"/>
          <w:szCs w:val="16"/>
          <w:color w:val="231F20"/>
        </w:rPr>
      </w:pPr>
      <w:r>
        <w:rPr>
          <w:rFonts w:ascii="Arial" w:cs="Arial" w:eastAsia="Arial" w:hAnsi="Arial"/>
          <w:sz w:val="16"/>
          <w:szCs w:val="16"/>
          <w:color w:val="231F20"/>
        </w:rPr>
        <w:t>Room, board and certain fee income was negatively impacted in the Spring semester of 2021 for GCU’s traditional students as the first week of the Spring 2021 semester was completed in an online modality to provide greater flexibility for students returning to campus after the holidays. Face-to-face instruction for the semester commenced on January 11, 2021 and ended April 1, 2021 for approximately 80% of classes, followed by two weeks of online instruction. Approximately 3,500 traditional ground students elected to complete the Spring 2021 semester entirely in the online modality. GCU’s ground traditional students residing on campus in</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99"/>
        <w:spacing w:after="0" w:line="311" w:lineRule="auto"/>
        <w:rPr>
          <w:sz w:val="20"/>
          <w:szCs w:val="20"/>
          <w:color w:val="auto"/>
        </w:rPr>
      </w:pPr>
      <w:r>
        <w:rPr>
          <w:rFonts w:ascii="Arial" w:cs="Arial" w:eastAsia="Arial" w:hAnsi="Arial"/>
          <w:sz w:val="16"/>
          <w:szCs w:val="16"/>
          <w:color w:val="231F20"/>
        </w:rPr>
        <w:t>GCU’s residence halls returned to historical levels in the Spring semester of 2022 and the entire semester was conducted face-to-face. Thus, GCU experienced a significant year over year increase in these revenues, primarily in the first four months of 2022 as compared to 2021 and thus the service revenues earned by GCE;</w:t>
      </w:r>
    </w:p>
    <w:p>
      <w:pPr>
        <w:spacing w:after="0" w:line="149" w:lineRule="exact"/>
        <w:rPr>
          <w:sz w:val="20"/>
          <w:szCs w:val="20"/>
          <w:color w:val="auto"/>
        </w:rPr>
      </w:pPr>
    </w:p>
    <w:p>
      <w:pPr>
        <w:ind w:left="720" w:right="79" w:hanging="319"/>
        <w:spacing w:after="0" w:line="285" w:lineRule="auto"/>
        <w:tabs>
          <w:tab w:leader="none" w:pos="720" w:val="left"/>
        </w:tabs>
        <w:numPr>
          <w:ilvl w:val="0"/>
          <w:numId w:val="10"/>
        </w:numPr>
        <w:rPr>
          <w:rFonts w:ascii="Arial" w:cs="Arial" w:eastAsia="Arial" w:hAnsi="Arial"/>
          <w:sz w:val="16"/>
          <w:szCs w:val="16"/>
          <w:color w:val="231F20"/>
        </w:rPr>
      </w:pPr>
      <w:r>
        <w:rPr>
          <w:rFonts w:ascii="Arial" w:cs="Arial" w:eastAsia="Arial" w:hAnsi="Arial"/>
          <w:sz w:val="16"/>
          <w:szCs w:val="16"/>
          <w:color w:val="231F20"/>
        </w:rPr>
        <w:t>During the second quarter of 2020, GCU’s online enrollment growth accelerated significantly into the high single digits. The increased level of online enrollment at that time resulted from a combination of factors including an acceleration of new students starting programs, a higher-than-expected number of students returning to the university that had taken a break from their program (“re-enters”) and a lower-than-expected number of students deciding to drop out of or take a break from their program. We believe these trends were primarily caused by the shutdowns precipitated by the COVID-19 outbreak as greater numbers of working adults decided to return to school to finish undergraduate degree programs that they had previously started or to start new graduate degree programs during this time. These trends generally continued through the first quarter of 2021. Beginning in the second quarter of 2021, online enrollment growth rates as compared to the prior year period began to slow as both new enrollments and re-enters were down year over year, the numbers of students dropping out of school or taking periodic breaks in their program returned to historical levels and students completing their programs increased significantly on a year over year basis. These trends continued through the rest of 2021 and thus the year over year online growth rate continued to decline. The decline in new enrollments as compared to the prior year beginning in the second quarter of 2021 was also the result of recruitment challenges caused by the reduced access to schools, hospitals, and businesses where our potential students work. In the third quarter of 2022, we have seen an online new student increase over the prior year. As the year over year comparables returned to historical levels in the third quarter of 2022 and schools, hospitals and businesses are generally reopened, our online enrollment growth rate has begun to re-accelerate; and</w:t>
      </w:r>
    </w:p>
    <w:p>
      <w:pPr>
        <w:spacing w:after="0" w:line="171" w:lineRule="exact"/>
        <w:rPr>
          <w:rFonts w:ascii="Arial" w:cs="Arial" w:eastAsia="Arial" w:hAnsi="Arial"/>
          <w:sz w:val="16"/>
          <w:szCs w:val="16"/>
          <w:color w:val="231F20"/>
        </w:rPr>
      </w:pPr>
    </w:p>
    <w:p>
      <w:pPr>
        <w:ind w:left="720" w:right="119" w:hanging="319"/>
        <w:spacing w:after="0" w:line="257" w:lineRule="auto"/>
        <w:tabs>
          <w:tab w:leader="none" w:pos="72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Professional studies students have declined significantly since the onset of the COVID-19 outbreak. Professional studies students at that time were converted to the online learning environment; since then, most have completed their programs while no new cohorts have been started until very recently. Now that the university has approved the recruitment of new professional studies cohorts, we anticipate that the number of these students will begin to grow.</w:t>
      </w:r>
    </w:p>
    <w:p>
      <w:pPr>
        <w:spacing w:after="0" w:line="188"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The changes described above at GCU have impacted or will impact GCE’s service revenue under the Master Services Agreement. In addition, due to the limited operating expenses that we incur to deliver those services, there has been or will be a direct reduction in our operating profit and operating margin.</w:t>
      </w:r>
    </w:p>
    <w:p>
      <w:pPr>
        <w:spacing w:after="0" w:line="184"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color w:val="231F20"/>
        </w:rPr>
        <w:t xml:space="preserve">GCE also provides services to </w:t>
      </w:r>
      <w:r>
        <w:rPr>
          <w:rFonts w:ascii="Arial" w:cs="Arial" w:eastAsia="Arial" w:hAnsi="Arial"/>
          <w:sz w:val="16"/>
          <w:szCs w:val="16"/>
          <w:color w:val="000000"/>
        </w:rPr>
        <w:t>numerous university partners across the United States, including GCU, at off-campus classroom and laboratory sites. The majority of these university partners’ students are studying in the Accelerated Bachelor of Science in Nursing (“ABSN”) program which is offered in a 12-16-month format in three or four academic semesters. Beginning with the Summer 2021 semester we experienced a decline in revenue per student from students in these programs caused primarily by some students delaying their scheduled clinical courses due to vaccine mandates at hospital partners and we started to see a reduction in our off-site classroom and laboratory student enrollment growth rate due primarily to delays in the opening of scheduled new sites and requests by some of our university or hospital partners or their state regulatory boards to reduce cohort sizes due to concerns over potential clinical faculty availability caused by nursing and other healthcare employee shortages. This is especially true with one of our university partner’s Occupational Therapy Assistants (“OTA”) program in which enrollment declined 22.7% between September 30, 2021 and 2022 as the university partner stopped admitting new students for most of 2021 due to clinical placement backlog. None of our ABSN partners have stopped admitting new students but some locations that were scheduled to open in 2021 and 2022 have been pushed back and some existing partners have reduced incoming cohort sizes due to the concern that there are not enough nurses to serve as clinical faculty.</w:t>
      </w:r>
    </w:p>
    <w:p>
      <w:pPr>
        <w:spacing w:after="0" w:line="171"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No other changes are currently anticipated with our other university partners that would have a material impact on GCE’s service revenue, operating profit and operating margins. However, if one of our university partners were to close an off-campus classroom and laboratory site or take some other action that adversely impacted program enrollment, such an event would reduce the service revenues earned by GCE.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212529"/>
        </w:rPr>
        <w:t>Beginning at the time of the COVID-19 outbreak a large percentage of our workforce began to work remotely and is expected to continue doing so for the foreseeable future. This degree of remote working could increase risks in the areas of internal control, cyber security and the use of remote technology, and thereby result in interruptions or disruptions in normal operational processes.</w:t>
      </w:r>
    </w:p>
    <w:p>
      <w:pPr>
        <w:spacing w:after="0" w:line="187" w:lineRule="exact"/>
        <w:rPr>
          <w:sz w:val="20"/>
          <w:szCs w:val="20"/>
          <w:color w:val="auto"/>
        </w:rPr>
      </w:pPr>
    </w:p>
    <w:p>
      <w:pPr>
        <w:jc w:val="both"/>
        <w:ind w:left="60" w:right="299" w:firstLine="648"/>
        <w:spacing w:after="0" w:line="263" w:lineRule="auto"/>
        <w:rPr>
          <w:sz w:val="20"/>
          <w:szCs w:val="20"/>
          <w:color w:val="auto"/>
        </w:rPr>
      </w:pPr>
      <w:r>
        <w:rPr>
          <w:rFonts w:ascii="Arial" w:cs="Arial" w:eastAsia="Arial" w:hAnsi="Arial"/>
          <w:sz w:val="18"/>
          <w:szCs w:val="18"/>
          <w:color w:val="212529"/>
        </w:rPr>
        <w:t xml:space="preserve">It is not possible for us to completely predict the duration or magnitude </w:t>
      </w:r>
      <w:r>
        <w:rPr>
          <w:rFonts w:ascii="Arial" w:cs="Arial" w:eastAsia="Arial" w:hAnsi="Arial"/>
          <w:sz w:val="18"/>
          <w:szCs w:val="18"/>
          <w:color w:val="231F20"/>
        </w:rPr>
        <w:t>of the adverse results of the COVID-19</w:t>
      </w:r>
      <w:r>
        <w:rPr>
          <w:rFonts w:ascii="Arial" w:cs="Arial" w:eastAsia="Arial" w:hAnsi="Arial"/>
          <w:sz w:val="18"/>
          <w:szCs w:val="18"/>
          <w:color w:val="212529"/>
        </w:rPr>
        <w:t xml:space="preserve"> </w:t>
      </w:r>
      <w:r>
        <w:rPr>
          <w:rFonts w:ascii="Arial" w:cs="Arial" w:eastAsia="Arial" w:hAnsi="Arial"/>
          <w:sz w:val="18"/>
          <w:szCs w:val="18"/>
          <w:color w:val="231F20"/>
        </w:rPr>
        <w:t>pandemic and its effects on our business, results of operations or financial condition at this time, but such effects may be material in future quarters.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critical accounting policies are disclosed in the 2021 Form 10-K for the fiscal year ended December 31, 2021.</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During the nine months ended September 30, 2022, there were no significant changes in our critical accounting policies.</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The following table sets forth certain income statement data as a percentage of net revenue for each of the periods indicated. Amortization of intangible assets has been excluded from the table below:</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8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5"/>
              </w:rPr>
              <w:t>Three Months Ended</w:t>
            </w:r>
          </w:p>
        </w:tc>
        <w:tc>
          <w:tcPr>
            <w:tcW w:w="17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5380" w:type="dxa"/>
            <w:vAlign w:val="bottom"/>
          </w:tcPr>
          <w:p>
            <w:pPr>
              <w:spacing w:after="0"/>
              <w:rPr>
                <w:sz w:val="14"/>
                <w:szCs w:val="14"/>
                <w:color w:val="auto"/>
              </w:rPr>
            </w:pPr>
          </w:p>
        </w:tc>
        <w:tc>
          <w:tcPr>
            <w:tcW w:w="180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17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3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CCEEFF"/>
            </w:tcBorders>
          </w:tcPr>
          <w:p>
            <w:pPr>
              <w:spacing w:after="0"/>
              <w:rPr>
                <w:sz w:val="12"/>
                <w:szCs w:val="12"/>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5380" w:type="dxa"/>
            <w:vAlign w:val="bottom"/>
          </w:tcPr>
          <w:p>
            <w:pPr>
              <w:ind w:left="100"/>
              <w:spacing w:after="0"/>
              <w:rPr>
                <w:sz w:val="20"/>
                <w:szCs w:val="20"/>
                <w:color w:val="auto"/>
              </w:rPr>
            </w:pPr>
            <w:r>
              <w:rPr>
                <w:rFonts w:ascii="Arial" w:cs="Arial" w:eastAsia="Arial" w:hAnsi="Arial"/>
                <w:sz w:val="18"/>
                <w:szCs w:val="18"/>
                <w:color w:val="auto"/>
              </w:rPr>
              <w:t>Technology and academic services</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18.0 %</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17.2 %</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17.2 %</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15.7 %</w:t>
            </w:r>
          </w:p>
        </w:tc>
      </w:tr>
      <w:tr>
        <w:trPr>
          <w:trHeight w:val="216"/>
        </w:trPr>
        <w:tc>
          <w:tcPr>
            <w:tcW w:w="5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Counseling services and support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400" w:type="dxa"/>
            <w:vAlign w:val="bottom"/>
            <w:shd w:val="clear" w:color="auto" w:fill="CCEEFF"/>
          </w:tcPr>
          <w:p>
            <w:pPr>
              <w:spacing w:after="0"/>
              <w:rPr>
                <w:sz w:val="18"/>
                <w:szCs w:val="18"/>
                <w:color w:val="auto"/>
              </w:rPr>
            </w:pPr>
          </w:p>
        </w:tc>
      </w:tr>
      <w:tr>
        <w:trPr>
          <w:trHeight w:val="216"/>
        </w:trPr>
        <w:tc>
          <w:tcPr>
            <w:tcW w:w="5380" w:type="dxa"/>
            <w:vAlign w:val="bottom"/>
          </w:tcPr>
          <w:p>
            <w:pPr>
              <w:ind w:left="100"/>
              <w:spacing w:after="0"/>
              <w:rPr>
                <w:sz w:val="20"/>
                <w:szCs w:val="20"/>
                <w:color w:val="auto"/>
              </w:rPr>
            </w:pPr>
            <w:r>
              <w:rPr>
                <w:rFonts w:ascii="Arial" w:cs="Arial" w:eastAsia="Arial" w:hAnsi="Arial"/>
                <w:sz w:val="18"/>
                <w:szCs w:val="18"/>
                <w:color w:val="auto"/>
              </w:rPr>
              <w:t>Marketing and communication</w:t>
            </w:r>
          </w:p>
        </w:tc>
        <w:tc>
          <w:tcPr>
            <w:tcW w:w="580" w:type="dxa"/>
            <w:vAlign w:val="bottom"/>
          </w:tcPr>
          <w:p>
            <w:pPr>
              <w:jc w:val="right"/>
              <w:spacing w:after="0"/>
              <w:rPr>
                <w:sz w:val="20"/>
                <w:szCs w:val="20"/>
                <w:color w:val="auto"/>
              </w:rPr>
            </w:pPr>
            <w:r>
              <w:rPr>
                <w:rFonts w:ascii="Arial" w:cs="Arial" w:eastAsia="Arial" w:hAnsi="Arial"/>
                <w:sz w:val="18"/>
                <w:szCs w:val="18"/>
                <w:color w:val="auto"/>
              </w:rPr>
              <w:t>24.3</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22.8</w:t>
            </w:r>
          </w:p>
        </w:tc>
        <w:tc>
          <w:tcPr>
            <w:tcW w:w="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23.2</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21.7</w:t>
            </w:r>
          </w:p>
        </w:tc>
        <w:tc>
          <w:tcPr>
            <w:tcW w:w="400" w:type="dxa"/>
            <w:vAlign w:val="bottom"/>
          </w:tcPr>
          <w:p>
            <w:pPr>
              <w:spacing w:after="0"/>
              <w:rPr>
                <w:sz w:val="18"/>
                <w:szCs w:val="18"/>
                <w:color w:val="auto"/>
              </w:rPr>
            </w:pPr>
          </w:p>
        </w:tc>
      </w:tr>
      <w:tr>
        <w:trPr>
          <w:trHeight w:val="216"/>
        </w:trPr>
        <w:tc>
          <w:tcPr>
            <w:tcW w:w="5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Three Months Ended September 30, 2022 Compared to Three Months Ended September 30, 2021</w:t>
      </w:r>
    </w:p>
    <w:p>
      <w:pPr>
        <w:spacing w:after="0" w:line="225" w:lineRule="exact"/>
        <w:rPr>
          <w:sz w:val="20"/>
          <w:szCs w:val="20"/>
          <w:color w:val="auto"/>
        </w:rPr>
      </w:pPr>
    </w:p>
    <w:p>
      <w:pPr>
        <w:ind w:left="60" w:right="79" w:firstLine="648"/>
        <w:spacing w:after="0" w:line="278" w:lineRule="auto"/>
        <w:rPr>
          <w:sz w:val="20"/>
          <w:szCs w:val="20"/>
          <w:color w:val="auto"/>
        </w:rPr>
      </w:pPr>
      <w:r>
        <w:rPr>
          <w:rFonts w:ascii="Arial" w:cs="Arial" w:eastAsia="Arial" w:hAnsi="Arial"/>
          <w:sz w:val="16"/>
          <w:szCs w:val="16"/>
          <w:i w:val="1"/>
          <w:iCs w:val="1"/>
          <w:color w:val="auto"/>
        </w:rPr>
        <w:t>Service revenue</w:t>
      </w:r>
      <w:r>
        <w:rPr>
          <w:rFonts w:ascii="Arial" w:cs="Arial" w:eastAsia="Arial" w:hAnsi="Arial"/>
          <w:sz w:val="16"/>
          <w:szCs w:val="16"/>
          <w:color w:val="auto"/>
        </w:rPr>
        <w:t>. Our service revenue for the three months ended September 30, 2022 was $208.7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increase of $1.9 million, or 0.9%, as compared to service revenue of $206.8 million for the three months ended September 30, 2021. The increase year over year in service revenue was primarily due to an increase in GCU traditional campus enrollments of 8.0% and increases in revenue per student year over year, partially offset by a decrease in online enrollments at GCU of 4.7% (see - </w:t>
      </w:r>
      <w:r>
        <w:rPr>
          <w:rFonts w:ascii="Arial" w:cs="Arial" w:eastAsia="Arial" w:hAnsi="Arial"/>
          <w:sz w:val="16"/>
          <w:szCs w:val="16"/>
          <w:i w:val="1"/>
          <w:iCs w:val="1"/>
          <w:color w:val="auto"/>
        </w:rPr>
        <w:t>Impact of COVID-19</w:t>
      </w:r>
      <w:r>
        <w:rPr>
          <w:rFonts w:ascii="Arial" w:cs="Arial" w:eastAsia="Arial" w:hAnsi="Arial"/>
          <w:sz w:val="16"/>
          <w:szCs w:val="16"/>
          <w:color w:val="auto"/>
        </w:rPr>
        <w:t xml:space="preserve"> above) and to a lesser extent, students in a university partner’s OTA program of 22.7% (see - </w:t>
      </w:r>
      <w:r>
        <w:rPr>
          <w:rFonts w:ascii="Arial" w:cs="Arial" w:eastAsia="Arial" w:hAnsi="Arial"/>
          <w:sz w:val="16"/>
          <w:szCs w:val="16"/>
          <w:i w:val="1"/>
          <w:iCs w:val="1"/>
          <w:color w:val="auto"/>
        </w:rPr>
        <w:t>Impact of COVID-19</w:t>
      </w:r>
      <w:r>
        <w:rPr>
          <w:rFonts w:ascii="Arial" w:cs="Arial" w:eastAsia="Arial" w:hAnsi="Arial"/>
          <w:sz w:val="16"/>
          <w:szCs w:val="16"/>
          <w:color w:val="auto"/>
        </w:rPr>
        <w:t xml:space="preserve"> above). Additionally, GCU’s traditional campus Fall semester moved forward one day compared to the third quarter of 2021, which increased service revenues earned in the third quarter by $1.5 million. The increase in revenue per student between years is primarily due to the service revenue impact of the increased room, board and other ancillary revenues at GCU in the third quarter of 2022 as compared to the prior year period although the impact of this growth is not as significant in the 3</w:t>
      </w:r>
      <w:r>
        <w:rPr>
          <w:rFonts w:ascii="Arial" w:cs="Arial" w:eastAsia="Arial" w:hAnsi="Arial"/>
          <w:sz w:val="23"/>
          <w:szCs w:val="23"/>
          <w:color w:val="auto"/>
          <w:vertAlign w:val="superscript"/>
        </w:rPr>
        <w:t>rd</w:t>
      </w:r>
      <w:r>
        <w:rPr>
          <w:rFonts w:ascii="Arial" w:cs="Arial" w:eastAsia="Arial" w:hAnsi="Arial"/>
          <w:sz w:val="16"/>
          <w:szCs w:val="16"/>
          <w:color w:val="auto"/>
        </w:rPr>
        <w:t xml:space="preserve"> quarter of each year as it is in the 1</w:t>
      </w:r>
      <w:r>
        <w:rPr>
          <w:rFonts w:ascii="Arial" w:cs="Arial" w:eastAsia="Arial" w:hAnsi="Arial"/>
          <w:sz w:val="23"/>
          <w:szCs w:val="23"/>
          <w:color w:val="auto"/>
          <w:vertAlign w:val="superscript"/>
        </w:rPr>
        <w:t>st</w:t>
      </w:r>
      <w:r>
        <w:rPr>
          <w:rFonts w:ascii="Arial" w:cs="Arial" w:eastAsia="Arial" w:hAnsi="Arial"/>
          <w:sz w:val="16"/>
          <w:szCs w:val="16"/>
          <w:color w:val="auto"/>
        </w:rPr>
        <w:t xml:space="preserve"> and 4</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quarters as the Fall semester does not begin until the first week in September. In addition, service revenue per student for ABSN students at off-campus classroom and laboratory sites generates a significantly higher revenue per student than we earn under our agreement with GCU, as these agreements generally provide us with a higher revenue share percentage, the partners have higher tuition rates than GCU and the majority of their students take more credits on average per semester. Partner enrollments totaled 116,202 at September 30, 2022 as compared to 118,832 at September 30, 2021. University partner enrollments at our off-campus classroom and laboratory sites were 5,695, an increase of 0.8% over enrollments at September 30, 2021, which includes 421 GCU students at September 30, 2022. This growth rate has slowed over the past year primarily due to the 22.7% decline in OTA students as the university partner stopped admitting new students for most of 2021 due to clinical placement backlog. Year over year ABSN students increased 2.7% at September 30, 2022. None of our ABSN partners have stopped admitting new students due to the clinical faculty challenges that began during the pandemic, however some locations that were scheduled to open in 2021 and 2022 have been pushed back and some existing partners have reduced incoming cohort sizes which has slowed the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growth. In addition, in a joint decision between us and one of our university partners, two ABSN off-campus classroom and laboratory sites were closed at the beginning of this year to allow the university partner to focus its resources closer to its home location. Excluding the prior year enrollments from locations that have been closed in the past twelve months, ABSN students grew by 7.5% year over year. We did open six new off-campus classroom and laboratory sites in the nine months ended September 30, 2022 increasing the total number of these sites to 35 at September 30, 2022 and we anticipate opening six to eight more in 2023 which should re-accelerate the ABSN student enrollment growth. Enrollments at GCU declined to 110,928 at September 30, 2022, a decrease of 2.2% over enrollments at September 30, 2021 primarily due to the decrease in GCU online enrollments between years. Enrollments for GCU ground students were 25,350 at September 30, 2022 up from 23,628 at September 30, 2021 primarily due to a 8.0% increase in traditional ground students between years.</w:t>
      </w:r>
    </w:p>
    <w:p>
      <w:pPr>
        <w:spacing w:after="0" w:line="185"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i w:val="1"/>
          <w:iCs w:val="1"/>
          <w:color w:val="auto"/>
        </w:rPr>
        <w:t>Technology and academic services</w:t>
      </w:r>
      <w:r>
        <w:rPr>
          <w:rFonts w:ascii="Arial" w:cs="Arial" w:eastAsia="Arial" w:hAnsi="Arial"/>
          <w:sz w:val="16"/>
          <w:szCs w:val="16"/>
          <w:color w:val="auto"/>
        </w:rPr>
        <w:t>. Our technology and academic services expenses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2022 were $37.6 million, an increase of $2.0 million, or 5.8%, as compared to technology and academic services expenses of $35.6 million for the three months ended September 30, 2021. This increase was primarily due to increases in employee compensation and related expenses, including share-based compensation and benefit expenses, in occupancy and depreciation and in other technology and academic costs of $1.2 million, $0.4 million and $0.4 million, respectively. These increases were primarily due to increased headcount to support our 27 university partners, and their increased enrollment growth, tenure-based salary adjustments, an increase in benefit costs and the increased number of off-campus classroom and laboratory sites year over year. Our technology and academic services expenses as a percentage of revenue increased 0.8% to 18.0% for the three months ended September 30, 2022, from 17.2% for the three months ended September 30, 2021. This increase was primarily due to partnership agreements with university partners that have off-campus classroom and laboratory sites requiring a higher level of technology and academic services than our agreement with GCU. We anticipate that technology and academic services expenses as a percentage of revenue will continue to increase in the future as we open more off-campus classroom and laboratory sites.</w:t>
      </w:r>
    </w:p>
    <w:p>
      <w:pPr>
        <w:spacing w:after="0" w:line="174"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i w:val="1"/>
          <w:iCs w:val="1"/>
          <w:color w:val="auto"/>
        </w:rPr>
        <w:t>Counseling services and support</w:t>
      </w:r>
      <w:r>
        <w:rPr>
          <w:rFonts w:ascii="Arial" w:cs="Arial" w:eastAsia="Arial" w:hAnsi="Arial"/>
          <w:sz w:val="16"/>
          <w:szCs w:val="16"/>
          <w:color w:val="auto"/>
        </w:rPr>
        <w:t>. Our counseling services and support expenses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2022 were $67.2 million, an increase of $5.0 million, or 8.1%, as compared to counseling services and support expenses of $62.2 million for the three months ended September 30, 2021. This increase was primarily attributable to increases in employee compensation and related expenses including share-based compensation and benefit expenses, in other counseling services and support expenses and in occupancy and depreciation of $3.5 million, $1.4 million, and $0.1 million, respectively. The increases in employee compensation and related expenses were primarily due to increased headcount to support our university partners, and their planned increases in enrollment, tenure-based salary adjustments, an increase in benefit costs and the increased number of off-campus classroom and laboratory sites open year over year. The increase in other counseling services and support expenses is primarily the result of increased travel costs for our 27 university partners as compared to the third quarter of 2021, during which significantly lower travel costs were incurred. Our counseling services and support expenses as a percentage of revenue increased 2.1% to 32.2% for the three months ended September 30, 2022, from 30.1% for the three months ended September 30, 2021 primarily due to the significant increase year over year in travel and benefit costs and the increased headcount. We anticipate that counseling services and support expense as a percentage of revenue will continue to be higher in 2022 than in 2021 as travel expenses return to pre-COVID-19 levels and we grow our employee base and their compensation to meet our university partners’ growth expectations and retain our employees.</w:t>
      </w:r>
    </w:p>
    <w:p>
      <w:pPr>
        <w:spacing w:after="0" w:line="176" w:lineRule="exact"/>
        <w:rPr>
          <w:sz w:val="20"/>
          <w:szCs w:val="20"/>
          <w:color w:val="auto"/>
        </w:rPr>
      </w:pPr>
    </w:p>
    <w:p>
      <w:pPr>
        <w:ind w:left="60" w:right="159" w:firstLine="648"/>
        <w:spacing w:after="0" w:line="288" w:lineRule="auto"/>
        <w:rPr>
          <w:sz w:val="20"/>
          <w:szCs w:val="20"/>
          <w:color w:val="auto"/>
        </w:rPr>
      </w:pPr>
      <w:r>
        <w:rPr>
          <w:rFonts w:ascii="Arial" w:cs="Arial" w:eastAsia="Arial" w:hAnsi="Arial"/>
          <w:sz w:val="16"/>
          <w:szCs w:val="16"/>
          <w:i w:val="1"/>
          <w:iCs w:val="1"/>
          <w:color w:val="auto"/>
        </w:rPr>
        <w:t>Marketing and communication</w:t>
      </w:r>
      <w:r>
        <w:rPr>
          <w:rFonts w:ascii="Arial" w:cs="Arial" w:eastAsia="Arial" w:hAnsi="Arial"/>
          <w:sz w:val="16"/>
          <w:szCs w:val="16"/>
          <w:color w:val="auto"/>
        </w:rPr>
        <w:t>. Our marketing and communication expenses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2022 were $50.7 million, an increase of $3.6 million, or 7.5%, as compared to marketing and communication expenses of $47.1 million for the three months ended September 30, 2021. This increase was primarily attributable to the increased cost to market our university partners’ programs and to the marketing of new university partners and new locations which resulted in increased advertising of $3.0 million and increased employee compensation, including share-based compensation and benefit expenses of $0.8 million, partially offset by a decrease in other marketing and communication expenses of $0.2 million. Our marketing and communication expenses as a percentage of revenue increased by 1.5% to 24.3% for the three months ended September 30, 2022, from 22.8% for the three months ended September 30, 2021, primarily due to the increase in the number of new university partners and their growth expectations and increased off-campus classroom and laboratory sites opened and sites planned to open in the next 12 months.</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Our general and administrative expenses for the three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2022 were $15.6 million, an increase of $1.1 million, or 7.8%, as compared to general and administrative expenses of $14.5 million for the three months ended September 30, 2021. This increase was primarily attributable to an increase in other general and administrative expenses, in employee compensation, including share-based compensation and benefit expenses and in professional fees of $0.6 million, $0.5 million and $0.1 million, respectively, partially offset by a decrease in occupancy and depreciation of $0.1 million. Our increase in other general and administrative expenses is primarily related to increases in travel costs and other charitable contributions between years. The increase in employee compensation and related expenses is primarily related to tenure adjustments and higher benefit costs between years. The increased professional fees is primarily increased legal and audit fees between years. Our general and administrative expenses as a percentage of revenue increased by 0.5% to 7.5% for the three months ended September 30, 2022, from 7.0% for the three months ended September 30, 2021 primarily due to the increase in other expenses.</w:t>
      </w:r>
    </w:p>
    <w:p>
      <w:pPr>
        <w:spacing w:after="0" w:line="172"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i w:val="1"/>
          <w:iCs w:val="1"/>
          <w:color w:val="auto"/>
        </w:rPr>
        <w:t>Amortization of intangible assets</w:t>
      </w:r>
      <w:r>
        <w:rPr>
          <w:rFonts w:ascii="Arial" w:cs="Arial" w:eastAsia="Arial" w:hAnsi="Arial"/>
          <w:sz w:val="18"/>
          <w:szCs w:val="18"/>
          <w:color w:val="auto"/>
        </w:rPr>
        <w:t>. Amortization of intangible assets for the three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2022 and 2021 were $2.1 million for both periods. As a result of the acquisition of our wholly owned subsidiary, Orbis Education, certain identifiable intangible assets were created (primarily customer relationships) that will be amortized over their expected lives.</w:t>
      </w:r>
    </w:p>
    <w:p>
      <w:pPr>
        <w:spacing w:after="0" w:line="187" w:lineRule="exact"/>
        <w:rPr>
          <w:sz w:val="20"/>
          <w:szCs w:val="20"/>
          <w:color w:val="auto"/>
        </w:rPr>
      </w:pPr>
    </w:p>
    <w:p>
      <w:pPr>
        <w:ind w:left="60" w:right="199" w:firstLine="648"/>
        <w:spacing w:after="0" w:line="275" w:lineRule="auto"/>
        <w:rPr>
          <w:sz w:val="20"/>
          <w:szCs w:val="20"/>
          <w:color w:val="auto"/>
        </w:rPr>
      </w:pPr>
      <w:r>
        <w:rPr>
          <w:rFonts w:ascii="Arial" w:cs="Arial" w:eastAsia="Arial" w:hAnsi="Arial"/>
          <w:sz w:val="17"/>
          <w:szCs w:val="17"/>
          <w:i w:val="1"/>
          <w:iCs w:val="1"/>
          <w:color w:val="auto"/>
        </w:rPr>
        <w:t>Interest income on Secured Note</w:t>
      </w:r>
      <w:r>
        <w:rPr>
          <w:rFonts w:ascii="Arial" w:cs="Arial" w:eastAsia="Arial" w:hAnsi="Arial"/>
          <w:sz w:val="17"/>
          <w:szCs w:val="17"/>
          <w:color w:val="auto"/>
        </w:rPr>
        <w:t>. Interest income on the Secured Note for the three months ended September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2021 was $15.0 million. GCE recognized interest income on the Secured Note including borrowings made for capital expenditures, at an interest rate of 6%. GCU repaid all amounts owed on the Secured Note in the fourth quarter of 2021. As the Secured Note receivable was paid off in 2021 there was no interest income earned on the Secured Note in the third quarter of 2022 and there will be none in future periods.</w:t>
      </w:r>
    </w:p>
    <w:p>
      <w:pPr>
        <w:spacing w:after="0" w:line="176" w:lineRule="exact"/>
        <w:rPr>
          <w:sz w:val="20"/>
          <w:szCs w:val="20"/>
          <w:color w:val="auto"/>
        </w:rPr>
      </w:pPr>
    </w:p>
    <w:p>
      <w:pPr>
        <w:ind w:left="60" w:right="379" w:firstLine="648"/>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was $0.7 million for the three months ended September 30, 2021. The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was repaid and terminated in early November 2021.</w:t>
      </w:r>
    </w:p>
    <w:p>
      <w:pPr>
        <w:spacing w:after="0" w:line="170" w:lineRule="exact"/>
        <w:rPr>
          <w:sz w:val="20"/>
          <w:szCs w:val="20"/>
          <w:color w:val="auto"/>
        </w:rPr>
      </w:pPr>
    </w:p>
    <w:p>
      <w:pPr>
        <w:ind w:left="60" w:right="159" w:firstLine="648"/>
        <w:spacing w:after="0" w:line="286" w:lineRule="auto"/>
        <w:rPr>
          <w:sz w:val="20"/>
          <w:szCs w:val="20"/>
          <w:color w:val="auto"/>
        </w:rPr>
      </w:pPr>
      <w:r>
        <w:rPr>
          <w:rFonts w:ascii="Arial" w:cs="Arial" w:eastAsia="Arial" w:hAnsi="Arial"/>
          <w:sz w:val="17"/>
          <w:szCs w:val="17"/>
          <w:i w:val="1"/>
          <w:iCs w:val="1"/>
          <w:color w:val="auto"/>
        </w:rPr>
        <w:t>Investment interest and other</w:t>
      </w:r>
      <w:r>
        <w:rPr>
          <w:rFonts w:ascii="Arial" w:cs="Arial" w:eastAsia="Arial" w:hAnsi="Arial"/>
          <w:sz w:val="17"/>
          <w:szCs w:val="17"/>
          <w:color w:val="auto"/>
        </w:rPr>
        <w:t>. Investment interest and other for the three months ended September 30, 2022 was</w:t>
      </w:r>
      <w:r>
        <w:rPr>
          <w:rFonts w:ascii="Arial" w:cs="Arial" w:eastAsia="Arial" w:hAnsi="Arial"/>
          <w:sz w:val="17"/>
          <w:szCs w:val="17"/>
          <w:i w:val="1"/>
          <w:iCs w:val="1"/>
          <w:color w:val="auto"/>
        </w:rPr>
        <w:t xml:space="preserve"> </w:t>
      </w:r>
      <w:r>
        <w:rPr>
          <w:rFonts w:ascii="Arial" w:cs="Arial" w:eastAsia="Arial" w:hAnsi="Arial"/>
          <w:sz w:val="17"/>
          <w:szCs w:val="17"/>
          <w:color w:val="auto"/>
        </w:rPr>
        <w:t>$0.7 million, as compared to investment interest and other for the three months ended September 30, 2021 of $0.2 million. Interest rates have increased in 2022 resulting in increased investment interest income.</w:t>
      </w:r>
    </w:p>
    <w:p>
      <w:pPr>
        <w:spacing w:after="0" w:line="165" w:lineRule="exact"/>
        <w:rPr>
          <w:sz w:val="20"/>
          <w:szCs w:val="20"/>
          <w:color w:val="auto"/>
        </w:rPr>
      </w:pPr>
    </w:p>
    <w:p>
      <w:pPr>
        <w:ind w:left="60" w:right="319" w:firstLine="648"/>
        <w:spacing w:after="0" w:line="254"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for the three months ended September 30, 2022 was $6.2 million,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$6.0 million, or 48.6%, as compared to income tax expense of $12.2 million for the three months ended September 30, 2021. This decrease was the result of a decrease in our taxable income and a decrease in our effective tax rate between periods. Our effective tax rate was 17.2% during the third quarter of 2022 compared to 20.3% during the third quarter of 2021. In the third quarter of 2022 and 2021, the effective tax rate was favorably impacted by the contributions in lieu of state income taxes of $5.0 million in July 2022 and 2021. The impact of the contributions in the third quarter of 2022 had a greater impact on the effective tax rate than it did in the third quarter of 2021 due to lower income before taxes.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Net income</w:t>
      </w:r>
      <w:r>
        <w:rPr>
          <w:rFonts w:ascii="Arial" w:cs="Arial" w:eastAsia="Arial" w:hAnsi="Arial"/>
          <w:sz w:val="16"/>
          <w:szCs w:val="16"/>
          <w:color w:val="auto"/>
        </w:rPr>
        <w:t>. Our net income for the three months ended September 30, 2022 was $30.0 million, a decrease of</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$17.7 million, or 37.0%, as compared to $47.7 million for the three months ended September 30, 2021, due to the factors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discussed above.</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Nine Months Ended September 30, 2022 Compared to Nine Months Ended September 30, 2021</w:t>
      </w:r>
    </w:p>
    <w:p>
      <w:pPr>
        <w:spacing w:after="0" w:line="225" w:lineRule="exact"/>
        <w:rPr>
          <w:sz w:val="20"/>
          <w:szCs w:val="20"/>
          <w:color w:val="auto"/>
        </w:rPr>
      </w:pPr>
    </w:p>
    <w:p>
      <w:pPr>
        <w:ind w:left="60" w:right="159" w:firstLine="648"/>
        <w:spacing w:after="0" w:line="289" w:lineRule="auto"/>
        <w:rPr>
          <w:sz w:val="20"/>
          <w:szCs w:val="20"/>
          <w:color w:val="auto"/>
        </w:rPr>
      </w:pPr>
      <w:r>
        <w:rPr>
          <w:rFonts w:ascii="Arial" w:cs="Arial" w:eastAsia="Arial" w:hAnsi="Arial"/>
          <w:sz w:val="16"/>
          <w:szCs w:val="16"/>
          <w:i w:val="1"/>
          <w:iCs w:val="1"/>
          <w:color w:val="auto"/>
        </w:rPr>
        <w:t>Service revenue</w:t>
      </w:r>
      <w:r>
        <w:rPr>
          <w:rFonts w:ascii="Arial" w:cs="Arial" w:eastAsia="Arial" w:hAnsi="Arial"/>
          <w:sz w:val="16"/>
          <w:szCs w:val="16"/>
          <w:color w:val="auto"/>
        </w:rPr>
        <w:t>. Our service revenue for the nine months ended September 30, 2022 was $652.6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increase of $7.4 million, or 1.1%, as compared to service revenue of $645.2 million for the nine months ended September 30, 2021. The increase year over year in service revenue was primarily due to increases in GCU traditional campus enrollments and revenue per student year over year partially offset by a decrease in online enrollments at GCU of 4.7% (see - </w:t>
      </w:r>
      <w:r>
        <w:rPr>
          <w:rFonts w:ascii="Arial" w:cs="Arial" w:eastAsia="Arial" w:hAnsi="Arial"/>
          <w:sz w:val="16"/>
          <w:szCs w:val="16"/>
          <w:i w:val="1"/>
          <w:iCs w:val="1"/>
          <w:color w:val="auto"/>
        </w:rPr>
        <w:t>Impact of COVID-19</w:t>
      </w:r>
      <w:r>
        <w:rPr>
          <w:rFonts w:ascii="Arial" w:cs="Arial" w:eastAsia="Arial" w:hAnsi="Arial"/>
          <w:sz w:val="16"/>
          <w:szCs w:val="16"/>
          <w:color w:val="auto"/>
        </w:rPr>
        <w:t xml:space="preserve"> above) and to a lesser extent, students in a university partner’s OTA program of 22.7% (see - </w:t>
      </w:r>
      <w:r>
        <w:rPr>
          <w:rFonts w:ascii="Arial" w:cs="Arial" w:eastAsia="Arial" w:hAnsi="Arial"/>
          <w:sz w:val="16"/>
          <w:szCs w:val="16"/>
          <w:i w:val="1"/>
          <w:iCs w:val="1"/>
          <w:color w:val="auto"/>
        </w:rPr>
        <w:t xml:space="preserve">Impact of COVID-19 </w:t>
      </w:r>
      <w:r>
        <w:rPr>
          <w:rFonts w:ascii="Arial" w:cs="Arial" w:eastAsia="Arial" w:hAnsi="Arial"/>
          <w:sz w:val="16"/>
          <w:szCs w:val="16"/>
          <w:color w:val="auto"/>
        </w:rPr>
        <w:t>above). Additionally, GCU’s traditional campus Fall semester moved up one day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nine months ended September 30, 2021, which increased service revenues earned in the nine months ended September 30, 2022 by $1.5 million. The increase in revenue per student between years is primarily due to the service revenue impact of the increased room, board and other ancillary revenues at GCU in the first nine months of</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4" w:lineRule="auto"/>
        <w:rPr>
          <w:sz w:val="20"/>
          <w:szCs w:val="20"/>
          <w:color w:val="auto"/>
        </w:rPr>
      </w:pPr>
      <w:r>
        <w:rPr>
          <w:rFonts w:ascii="Arial" w:cs="Arial" w:eastAsia="Arial" w:hAnsi="Arial"/>
          <w:sz w:val="16"/>
          <w:szCs w:val="16"/>
          <w:color w:val="auto"/>
        </w:rPr>
        <w:t xml:space="preserve">2022 as compared to the prior year period (see - </w:t>
      </w:r>
      <w:r>
        <w:rPr>
          <w:rFonts w:ascii="Arial" w:cs="Arial" w:eastAsia="Arial" w:hAnsi="Arial"/>
          <w:sz w:val="16"/>
          <w:szCs w:val="16"/>
          <w:i w:val="1"/>
          <w:iCs w:val="1"/>
          <w:color w:val="auto"/>
        </w:rPr>
        <w:t>Impact of COVID-19</w:t>
      </w:r>
      <w:r>
        <w:rPr>
          <w:rFonts w:ascii="Arial" w:cs="Arial" w:eastAsia="Arial" w:hAnsi="Arial"/>
          <w:sz w:val="16"/>
          <w:szCs w:val="16"/>
          <w:color w:val="auto"/>
        </w:rPr>
        <w:t xml:space="preserve"> above) and the increase in revenue per student at off-campus classroom and laboratory sites. Service revenue per student for ABSN students at off-campus classroom and laboratory sites generates a significantly higher revenue per student than we earn under our agreement with GCU, as these agreements generally provide us with a higher revenue share percentage, the partners have higher tuition rates than GCU and the majority of their students take more credits on average per semester. Partner enrollments totaled 116,202 at September 30, 2022 as compared to 118,832 at September 30, 2021. University partner enrollments at our off-campus classroom and laboratory sites were 5,695, an increase of 0.8% over enrollments at September 30, 2021, which includes 421 GCU students at September 30, 2022. This growth rate has slowed over the past year primarily due to the 22.7% decline in OTA students as the university partner stopped admitting new students for most of 2021 due to clinical placement backlog. Year over year ABSN students increased 2.7% at September 30, 2022. None of our ABSN partners have stopped admitting new students due to the clinical faculty challenges that began during the pandemic, however some locations that were scheduled to open in 2021 and 2022 have been pushed back and some existing partners have reduced incoming cohort sizes which has slowed the growth. In addition, in a joint decision between us and one of our university partners, two ABSN off-campus classroom and laboratory sites were closed at the beginning of this year to allow the university partner to focus its resources closer to its home location. Excluding the prior year enrollments from locations that have been closed in the past twelve months, ABSN students grew by 7.5% year over year. We did open six new off-campus classroom and laboratory sites in the nine months ended September 30, 2022 increasing the total number of these sites to 35 at September 30, 2022 and we anticipate opening six to eight more in 2023 which should re-accelerate the ABSN student enrollment growth. Enrollments at GCU declined to 110,928 at September 30, 2022, a decrease of 2.2% over enrollments at September 30, 2021 primarily due to the decrease in GCU online enrollments between years. Enrollments for GCU ground students were 25,350 at September 30, 2022 up from 23,628 at September 30, 2021 primarily due to a 8.0% increase in traditional ground students between years.</w:t>
      </w:r>
    </w:p>
    <w:p>
      <w:pPr>
        <w:spacing w:after="0" w:line="178"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i w:val="1"/>
          <w:iCs w:val="1"/>
          <w:color w:val="auto"/>
        </w:rPr>
        <w:t>Technology and academic services</w:t>
      </w:r>
      <w:r>
        <w:rPr>
          <w:rFonts w:ascii="Arial" w:cs="Arial" w:eastAsia="Arial" w:hAnsi="Arial"/>
          <w:sz w:val="16"/>
          <w:szCs w:val="16"/>
          <w:color w:val="auto"/>
        </w:rPr>
        <w:t>. Our technology and academic services expenses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2022 were $112.1 million, an increase of $10.8 million, or 10.7%, as compared to technology and academic services expenses of $101.3 million for the nine months ended September 30, 2021. This increase was primarily due to increases in employee compensation and related expenses, including share-based compensation and benefit expenses, in other technology and academic costs and in occupancy and depreciation including lease expenses of $8.3 million, $2.0 million and $0.6 million, respectively. These increases were primarily due to increased headcount to support our 27 university partners, and their increased enrollment growth, tenure-based salary adjustments, an increase in benefit costs and the increased number of off-campus classroom and laboratory sites year over year. Our technology and academic services expenses as a percentage of revenue increased 1.5% to 17.2% for the nine months ended September 30, 2022, from 15.7% for the nine months ended September 30, 2021. This increase was primarily due to partnership agreements with university partners that have off-campus classroom and laboratory sites requiring a higher level of technology and academic services than our agreement with GCU partially offset by the increased ground traditional campus revenues at GCU. We anticipate that technology and academic services expenses as a percentage of revenue will continue to increase in the future as we open more off-campus classroom and laboratory sites.</w:t>
      </w:r>
    </w:p>
    <w:p>
      <w:pPr>
        <w:spacing w:after="0" w:line="171"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i w:val="1"/>
          <w:iCs w:val="1"/>
          <w:color w:val="auto"/>
        </w:rPr>
        <w:t>Counseling services and support</w:t>
      </w:r>
      <w:r>
        <w:rPr>
          <w:rFonts w:ascii="Arial" w:cs="Arial" w:eastAsia="Arial" w:hAnsi="Arial"/>
          <w:sz w:val="16"/>
          <w:szCs w:val="16"/>
          <w:color w:val="auto"/>
        </w:rPr>
        <w:t>. Our counseling services and support expenses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2022 were $200.8 million, an increase of $16.4 million, or 8.9%, as compared to counseling services and support expenses of $184.4 million for the nine months ended September 30, 2021. This increase was primarily attributable to increases in other counseling services and support expenses, in employee compensation and related expenses including share-based compensation and benefit expenses, and occupancy and depreciation expenses of $8.5 million, $7.3 million and $0.6 million, respectively. The increase in other counseling services and support expenses is primarily the result of increased travel costs for our 27 university partners as compared to the COVID-19 impacted nine months ended September 30, 2021, during which significantly lower travel costs were incurred. The increases in employee compensation and related expenses were primarily due to increased headcount to support our university partners, and their planned increased enrollment growth, tenure-based salary adjustments, an increase in benefit costs and the increased number of off-campus classroom and laboratory sites open year over year. Our counseling services and support expenses as a percentage of revenue increased 2.2% to 30.8% for the nine months ended September 30, 2022, from 28.6% for the nine months ended September 30, 2021 primarily due to significant increase year over year in travel and benefit costs and the increased headcount, partially offset by the increased ground traditional campus revenues at GCU. We anticipate that counseling services and support expense as a percentage of revenue will continue to be higher</w:t>
      </w:r>
    </w:p>
    <w:p>
      <w:pPr>
        <w:sectPr>
          <w:pgSz w:w="11900" w:h="16838" w:orient="portrait"/>
          <w:cols w:equalWidth="0" w:num="1">
            <w:col w:w="9019"/>
          </w:cols>
          <w:pgMar w:left="1440" w:top="517" w:right="1440"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19"/>
        <w:spacing w:after="0" w:line="308" w:lineRule="auto"/>
        <w:rPr>
          <w:sz w:val="20"/>
          <w:szCs w:val="20"/>
          <w:color w:val="auto"/>
        </w:rPr>
      </w:pPr>
      <w:r>
        <w:rPr>
          <w:rFonts w:ascii="Arial" w:cs="Arial" w:eastAsia="Arial" w:hAnsi="Arial"/>
          <w:sz w:val="17"/>
          <w:szCs w:val="17"/>
          <w:color w:val="auto"/>
        </w:rPr>
        <w:t>in 2022 than in 2021 as travel expenses return to pre-COVID-19 levels and we grow our employee base and their compensation to meet our university partners’ growth expectations and retain our employees.</w:t>
      </w:r>
    </w:p>
    <w:p>
      <w:pPr>
        <w:spacing w:after="0" w:line="146" w:lineRule="exact"/>
        <w:rPr>
          <w:sz w:val="20"/>
          <w:szCs w:val="20"/>
          <w:color w:val="auto"/>
        </w:rPr>
      </w:pPr>
    </w:p>
    <w:p>
      <w:pPr>
        <w:ind w:left="60" w:right="219" w:firstLine="648"/>
        <w:spacing w:after="0" w:line="288" w:lineRule="auto"/>
        <w:rPr>
          <w:sz w:val="20"/>
          <w:szCs w:val="20"/>
          <w:color w:val="auto"/>
        </w:rPr>
      </w:pPr>
      <w:r>
        <w:rPr>
          <w:rFonts w:ascii="Arial" w:cs="Arial" w:eastAsia="Arial" w:hAnsi="Arial"/>
          <w:sz w:val="16"/>
          <w:szCs w:val="16"/>
          <w:i w:val="1"/>
          <w:iCs w:val="1"/>
          <w:color w:val="auto"/>
        </w:rPr>
        <w:t>Marketing and communication</w:t>
      </w:r>
      <w:r>
        <w:rPr>
          <w:rFonts w:ascii="Arial" w:cs="Arial" w:eastAsia="Arial" w:hAnsi="Arial"/>
          <w:sz w:val="16"/>
          <w:szCs w:val="16"/>
          <w:color w:val="auto"/>
        </w:rPr>
        <w:t>. Our marketing and communication expenses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2022 were $151.2 million, an increase of $10.9 million, or 7.8%, as compared to marketing and communication expenses of $140.3 million for the nine months ended September 30, 2021. This increase was primarily attributable to the increased cost to market our university partners’ programs and to the marketing of new university partners and new locations which resulted in increased advertising and in employee compensation, including share-based compensation and benefit expenses of $8.7 million and $2.3 million, respectively, partially offset by a decrease in other communication expenses of $0.1 million. Our marketing and communication expenses as a percentage of revenue increased by 1.5% to 23.2% for the nine months ended September 30, 2022, from 21.7% for the nine months ended September 30, 2021, primarily due to the increase in the number of new university partners and their growth expectations and increased off-campus classroom and laboratory sites opened and sites planned to open in the next 12 months.</w:t>
      </w:r>
    </w:p>
    <w:p>
      <w:pPr>
        <w:spacing w:after="0" w:line="168"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Our general and administrative expenses for the nine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2022 were $35.3 million, an increase of $2.2 million, or 6.7%, as compared to general and administrative expenses of $33.1 million for the nine months ended September 30, 2021. This increase was primarily attributable to an increase in other general and administrative expenses, in employee compensation, including share-based compensation, and related benefit expenses, and in professional fees of $1.1 million, $0.6 million, and $0.6 million, respectively, partially offset by a decrease in occupancy and depreciation of $0.1 million. Our increase in other general and administrative expenses is primarily related to an increase in travel costs and charitable contributions between years. The increase in employee compensation and related expenses is primarily related to higher benefit costs and tenure adjustments. The increase in professional fees is primarily due to increased legal and audit fees between years. Our general and administrative expenses as a percentage of revenue increased by 0.3% to 5.4% for the nine months ended September 30, 2022, from 5.1% for the nine months ended September 30, 2021primarily due to the increase in other expenses.</w:t>
      </w:r>
    </w:p>
    <w:p>
      <w:pPr>
        <w:spacing w:after="0" w:line="172"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i w:val="1"/>
          <w:iCs w:val="1"/>
          <w:color w:val="auto"/>
        </w:rPr>
        <w:t>Amortization of intangible assets</w:t>
      </w:r>
      <w:r>
        <w:rPr>
          <w:rFonts w:ascii="Arial" w:cs="Arial" w:eastAsia="Arial" w:hAnsi="Arial"/>
          <w:sz w:val="18"/>
          <w:szCs w:val="18"/>
          <w:color w:val="auto"/>
        </w:rPr>
        <w:t>. Amortization of intangible assets for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2022 and 2021 were $6.3 million for both periods. As a result of the acquisition of our wholly owned subsidiary, Orbis Education, certain identifiable intangible assets were created (primarily customer relationships) that will be amortized over their expected lives.</w:t>
      </w:r>
    </w:p>
    <w:p>
      <w:pPr>
        <w:spacing w:after="0" w:line="187" w:lineRule="exact"/>
        <w:rPr>
          <w:sz w:val="20"/>
          <w:szCs w:val="20"/>
          <w:color w:val="auto"/>
        </w:rPr>
      </w:pPr>
    </w:p>
    <w:p>
      <w:pPr>
        <w:ind w:left="60" w:right="239" w:firstLine="648"/>
        <w:spacing w:after="0" w:line="275" w:lineRule="auto"/>
        <w:rPr>
          <w:sz w:val="20"/>
          <w:szCs w:val="20"/>
          <w:color w:val="auto"/>
        </w:rPr>
      </w:pPr>
      <w:r>
        <w:rPr>
          <w:rFonts w:ascii="Arial" w:cs="Arial" w:eastAsia="Arial" w:hAnsi="Arial"/>
          <w:sz w:val="17"/>
          <w:szCs w:val="17"/>
          <w:i w:val="1"/>
          <w:iCs w:val="1"/>
          <w:color w:val="auto"/>
        </w:rPr>
        <w:t>Interest income on Secured Note</w:t>
      </w:r>
      <w:r>
        <w:rPr>
          <w:rFonts w:ascii="Arial" w:cs="Arial" w:eastAsia="Arial" w:hAnsi="Arial"/>
          <w:sz w:val="17"/>
          <w:szCs w:val="17"/>
          <w:color w:val="auto"/>
        </w:rPr>
        <w:t>. Interest income on the Secured Note for the nine months ended September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2021 was $44.4 million. GCE recognized interest income on the Secured Note including borrowings made for capital expenditures, at an interest rate of 6%. GCU repaid all amounts owed on the Secured Note in the fourth quarter of 2021. As the Secured Note receivable was paid off in 2021 there was no interest income earned on the Secured Note in the nine months ended September 30, 2022, and there will be none in future periods.</w:t>
      </w:r>
    </w:p>
    <w:p>
      <w:pPr>
        <w:spacing w:after="0" w:line="176" w:lineRule="exact"/>
        <w:rPr>
          <w:sz w:val="20"/>
          <w:szCs w:val="20"/>
          <w:color w:val="auto"/>
        </w:rPr>
      </w:pPr>
    </w:p>
    <w:p>
      <w:pPr>
        <w:ind w:left="60" w:right="419" w:firstLine="648"/>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was $2.3 million for the nine months ended September 30, 2021. The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was repaid and terminated in early November 2021.</w:t>
      </w:r>
    </w:p>
    <w:p>
      <w:pPr>
        <w:spacing w:after="0" w:line="170"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i w:val="1"/>
          <w:iCs w:val="1"/>
          <w:color w:val="auto"/>
        </w:rPr>
        <w:t>Investment interest and other</w:t>
      </w:r>
      <w:r>
        <w:rPr>
          <w:rFonts w:ascii="Arial" w:cs="Arial" w:eastAsia="Arial" w:hAnsi="Arial"/>
          <w:sz w:val="18"/>
          <w:szCs w:val="18"/>
          <w:color w:val="auto"/>
        </w:rPr>
        <w:t>. Investment interest and other for the nine months ended September 30, 2022 was</w:t>
      </w:r>
      <w:r>
        <w:rPr>
          <w:rFonts w:ascii="Arial" w:cs="Arial" w:eastAsia="Arial" w:hAnsi="Arial"/>
          <w:sz w:val="18"/>
          <w:szCs w:val="18"/>
          <w:i w:val="1"/>
          <w:iCs w:val="1"/>
          <w:color w:val="auto"/>
        </w:rPr>
        <w:t xml:space="preserve"> </w:t>
      </w:r>
      <w:r>
        <w:rPr>
          <w:rFonts w:ascii="Arial" w:cs="Arial" w:eastAsia="Arial" w:hAnsi="Arial"/>
          <w:sz w:val="18"/>
          <w:szCs w:val="18"/>
          <w:color w:val="auto"/>
        </w:rPr>
        <w:t>$1.3 million, as compared to investment interest and other for the nine months ended September 30, 2021 of $0.6 million. Interest rates have increased during the nine months ended September 30, 2022 resulting in increased investment interest income.</w:t>
      </w:r>
    </w:p>
    <w:p>
      <w:pPr>
        <w:spacing w:after="0" w:line="187" w:lineRule="exact"/>
        <w:rPr>
          <w:sz w:val="20"/>
          <w:szCs w:val="20"/>
          <w:color w:val="auto"/>
        </w:rPr>
      </w:pPr>
    </w:p>
    <w:p>
      <w:pPr>
        <w:ind w:left="60" w:right="139" w:firstLine="648"/>
        <w:spacing w:after="0" w:line="290"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for the nine months ended September 30, 2022 was $34.5 million,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of $12.7 million, or 27.0%, as compared to income tax expense of $47.2 million for the nine months ended September 30, 2021. This decrease was the result of a decrease in our taxable income partially offset by an increase in our effective tax rate between periods. Our effective tax rate was 23.3% during the nine months ended September 30, 2022 compared to 21.2% during the nine months ended September 30, 2021. In the nine months ended September 30, 2021, the effective tax rate was significantly impacted by excess tax benefits of $4.4 million as a result of exercises of the remaining stock options held by employees prior to their expiration. Excess tax benefits totaled only $0.1 million in the nine months ended September 30, 2022. The effective tax rate was favorably impacted by the contributions in lieu of</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state income taxes of $5.0 million in July 2022 and 2021. The impact of the contribution in 2022 had a greater impact on the effective tax rate than it did in 2021 due to lower income before taxes.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Net income</w:t>
      </w:r>
      <w:r>
        <w:rPr>
          <w:rFonts w:ascii="Arial" w:cs="Arial" w:eastAsia="Arial" w:hAnsi="Arial"/>
          <w:sz w:val="16"/>
          <w:szCs w:val="16"/>
          <w:color w:val="auto"/>
        </w:rPr>
        <w:t>. Our net income for the nine months ended September 30, 2022 was $113.6 million, a decrease of</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$61.6 million, or 35.1%, as compared to $175.2 million for the nine months ended September 30, 2021, due to the factors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discussed above.</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color w:val="auto"/>
        </w:rPr>
        <w:t>Our net revenue and operating results normally fluctuate as a result of seasonal variations in our business, principally due to changes in our university partners’ enrollment. Our partners’ enrollment varies as a result of new enrollments, graduations, and student attrition. Revenues in the summer months (May through August) are lower primarily due to the majority of GCU’s traditional ground university students not attending courses during the summer months, which affects our results for our second and third fiscal quarters. Since a significant amount of our costs are fixed, the lower revenue resulting from the decreased summer enrollment has historically contributed to lower operating margins during those periods. Partially offsetting this summer effect has been the sequential quarterly increase in enrollments that has occurred as a result of the traditional fall school start. This increase in enrollments also has occurred in the first quarter, corresponding to calendar year matriculation. Thus, we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service revenue, resulting in higher operating income in the first and fourth quarters relative to other quarters. We expect quarterly fluctuation in operating results to continue as a result of these seasonal patterns.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1"/>
              </w:rPr>
              <w:t>As of September 30,As of December 31,</w:t>
            </w:r>
          </w:p>
        </w:tc>
        <w:tc>
          <w:tcPr>
            <w:tcW w:w="0" w:type="dxa"/>
            <w:vAlign w:val="bottom"/>
          </w:tcPr>
          <w:p>
            <w:pPr>
              <w:spacing w:after="0"/>
              <w:rPr>
                <w:sz w:val="1"/>
                <w:szCs w:val="1"/>
                <w:color w:val="auto"/>
              </w:rPr>
            </w:pPr>
          </w:p>
        </w:tc>
      </w:tr>
      <w:tr>
        <w:trPr>
          <w:trHeight w:val="142"/>
        </w:trPr>
        <w:tc>
          <w:tcPr>
            <w:tcW w:w="646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9"/>
              <w:spacing w:after="0" w:line="142" w:lineRule="exact"/>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9"/>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investments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108,290</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600,941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0" w:right="259" w:firstLine="648"/>
        <w:spacing w:after="0" w:line="255" w:lineRule="auto"/>
        <w:rPr>
          <w:sz w:val="20"/>
          <w:szCs w:val="20"/>
          <w:color w:val="auto"/>
        </w:rPr>
      </w:pPr>
      <w:r>
        <w:rPr>
          <w:rFonts w:ascii="Arial" w:cs="Arial" w:eastAsia="Arial" w:hAnsi="Arial"/>
          <w:sz w:val="18"/>
          <w:szCs w:val="18"/>
          <w:color w:val="auto"/>
        </w:rPr>
        <w:t>Our liquidity position, as measured by cash and cash equivalents and investments decreased by $492.7 million between December 31, 2021 and September 30, 2022, which was largely attributable to share repurchases in accordance with our share repurchase program and capital expenditures during the nine months ended September 30, 2022 of $571.6 million and $26.3 million, respectively, partially offset by cash provided by operating activities of $110.5 million. Our unrestricted cash and cash equivalents and investments were $108.3 million at September 30, 2022 and $600.9 million at December 31, 2021.</w:t>
      </w:r>
    </w:p>
    <w:p>
      <w:pPr>
        <w:spacing w:after="0" w:line="192" w:lineRule="exact"/>
        <w:rPr>
          <w:sz w:val="20"/>
          <w:szCs w:val="20"/>
          <w:color w:val="auto"/>
        </w:rPr>
      </w:pPr>
    </w:p>
    <w:p>
      <w:pPr>
        <w:jc w:val="both"/>
        <w:ind w:left="60" w:right="339" w:firstLine="648"/>
        <w:spacing w:after="0" w:line="311" w:lineRule="auto"/>
        <w:rPr>
          <w:sz w:val="20"/>
          <w:szCs w:val="20"/>
          <w:color w:val="auto"/>
        </w:rPr>
      </w:pPr>
      <w:r>
        <w:rPr>
          <w:rFonts w:ascii="Arial" w:cs="Arial" w:eastAsia="Arial" w:hAnsi="Arial"/>
          <w:sz w:val="16"/>
          <w:szCs w:val="16"/>
          <w:color w:val="auto"/>
        </w:rPr>
        <w:t>Based on our current level of operations and anticipated growth, we believe that our cash flow from operations and other sources of liquidity, including cash and cash equivalents, will provide adequate funds for ongoing operations, planned capital expenditures, and working capital requirements for at least the next 24 months.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1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42"/>
        </w:trPr>
        <w:tc>
          <w:tcPr>
            <w:tcW w:w="6740" w:type="dxa"/>
            <w:vAlign w:val="bottom"/>
            <w:gridSpan w:val="2"/>
            <w:vMerge w:val="continue"/>
          </w:tcPr>
          <w:p>
            <w:pPr>
              <w:spacing w:after="0"/>
              <w:rPr>
                <w:sz w:val="12"/>
                <w:szCs w:val="12"/>
                <w:color w:val="auto"/>
              </w:rPr>
            </w:pPr>
          </w:p>
        </w:tc>
        <w:tc>
          <w:tcPr>
            <w:tcW w:w="880" w:type="dxa"/>
            <w:vAlign w:val="bottom"/>
          </w:tcPr>
          <w:p>
            <w:pPr>
              <w:jc w:val="right"/>
              <w:ind w:right="222"/>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ind w:right="299"/>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110,470</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208,895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159" w:firstLine="648"/>
        <w:spacing w:after="0" w:line="275" w:lineRule="auto"/>
        <w:rPr>
          <w:sz w:val="20"/>
          <w:szCs w:val="20"/>
          <w:color w:val="auto"/>
        </w:rPr>
      </w:pPr>
      <w:r>
        <w:rPr>
          <w:rFonts w:ascii="Arial" w:cs="Arial" w:eastAsia="Arial" w:hAnsi="Arial"/>
          <w:sz w:val="17"/>
          <w:szCs w:val="17"/>
          <w:color w:val="auto"/>
        </w:rPr>
        <w:t>The decrease in cash generated from operating activities between the nine months ended September 30, 2022 and the nine months ended September 30, 2021 was primarily due to a decrease in net income and changes in working capital balances, primarily accounts payable and accrued liabilities. We define working capital as the assets and liabilities, other than cash, generated through the Company’s primary operating activities. Changes in these balances are included in the changes in assets and liabilities presented in the consolidated statement of cash flows.</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42"/>
        </w:trPr>
        <w:tc>
          <w:tcPr>
            <w:tcW w:w="6740" w:type="dxa"/>
            <w:vAlign w:val="bottom"/>
            <w:gridSpan w:val="2"/>
            <w:vMerge w:val="continue"/>
          </w:tcPr>
          <w:p>
            <w:pPr>
              <w:spacing w:after="0"/>
              <w:rPr>
                <w:sz w:val="12"/>
                <w:szCs w:val="12"/>
                <w:color w:val="auto"/>
              </w:rPr>
            </w:pPr>
          </w:p>
        </w:tc>
        <w:tc>
          <w:tcPr>
            <w:tcW w:w="880" w:type="dxa"/>
            <w:vAlign w:val="bottom"/>
          </w:tcPr>
          <w:p>
            <w:pPr>
              <w:jc w:val="right"/>
              <w:ind w:right="222"/>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ind w:right="299"/>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(95,318)</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319" w:firstLine="648"/>
        <w:spacing w:after="0" w:line="277" w:lineRule="auto"/>
        <w:rPr>
          <w:sz w:val="20"/>
          <w:szCs w:val="20"/>
          <w:color w:val="auto"/>
        </w:rPr>
      </w:pPr>
      <w:r>
        <w:rPr>
          <w:rFonts w:ascii="Arial" w:cs="Arial" w:eastAsia="Arial" w:hAnsi="Arial"/>
          <w:sz w:val="18"/>
          <w:szCs w:val="18"/>
          <w:color w:val="auto"/>
        </w:rPr>
        <w:t>Investing activities consumed $95.3 million of cash in the nine months ended September 30, 2022 compared to $11.3 million in the nine months ended September 30, 2021.</w:t>
      </w:r>
    </w:p>
    <w:p>
      <w:pPr>
        <w:spacing w:after="0" w:line="170" w:lineRule="exact"/>
        <w:rPr>
          <w:sz w:val="20"/>
          <w:szCs w:val="20"/>
          <w:color w:val="auto"/>
        </w:rPr>
      </w:pPr>
    </w:p>
    <w:p>
      <w:pPr>
        <w:jc w:val="both"/>
        <w:ind w:left="60" w:right="359" w:firstLine="648"/>
        <w:spacing w:after="0" w:line="259" w:lineRule="auto"/>
        <w:rPr>
          <w:sz w:val="20"/>
          <w:szCs w:val="20"/>
          <w:color w:val="auto"/>
        </w:rPr>
      </w:pPr>
      <w:r>
        <w:rPr>
          <w:rFonts w:ascii="Arial" w:cs="Arial" w:eastAsia="Arial" w:hAnsi="Arial"/>
          <w:sz w:val="18"/>
          <w:szCs w:val="18"/>
          <w:color w:val="auto"/>
        </w:rPr>
        <w:t>In the first nine months of 2022 cash used in investing activities consisted of the purchase of available-for-sale securities, net of proceeds from the sale of investments of $68.7 million with the excess cash flows generated from the recent repayment of the Secured Note by GCU in the fourth quarter of 2021. In 2021 proceeds from investments, net of purchases of investments totaled $10.5 million.</w:t>
      </w:r>
    </w:p>
    <w:p>
      <w:pPr>
        <w:spacing w:after="0" w:line="119"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In the first nine months of 2022 and 2021 cash used in investing activities also included the purchases of capital expenditures totaling $26.3 million and $21.4 million, respectively. Capital expenditures for both periods primarily consisted of leasehold improvements and equipment for new off-campus classroom and laboratory sites, as well as purchases of computer equipment, internal use software projects and furniture and equipment to support our increasing employee headcount. The Company incurs upfront expenses and capital expenditures prior to an off-campus classroom and laboratory site being opened. The Company intends to continue to spend approximately $30.0 million to $35.0 million per year for capital expenditures.</w:t>
      </w:r>
    </w:p>
    <w:p>
      <w:pPr>
        <w:spacing w:after="0" w:line="127" w:lineRule="exact"/>
        <w:rPr>
          <w:sz w:val="20"/>
          <w:szCs w:val="20"/>
          <w:color w:val="auto"/>
        </w:rPr>
      </w:pPr>
    </w:p>
    <w:p>
      <w:pPr>
        <w:ind w:left="60" w:right="499" w:firstLine="648"/>
        <w:spacing w:after="0" w:line="434" w:lineRule="auto"/>
        <w:rPr>
          <w:sz w:val="20"/>
          <w:szCs w:val="20"/>
          <w:color w:val="auto"/>
        </w:rPr>
      </w:pPr>
      <w:r>
        <w:rPr>
          <w:rFonts w:ascii="Arial" w:cs="Arial" w:eastAsia="Arial" w:hAnsi="Arial"/>
          <w:sz w:val="18"/>
          <w:szCs w:val="18"/>
          <w:color w:val="auto"/>
        </w:rPr>
        <w:t xml:space="preserve">Funding to GCU during the first nine months of 2021 totaled $190.0 million, which was repaid in July 2021. </w:t>
      </w:r>
      <w:r>
        <w:rPr>
          <w:rFonts w:ascii="Arial" w:cs="Arial" w:eastAsia="Arial" w:hAnsi="Arial"/>
          <w:sz w:val="18"/>
          <w:szCs w:val="18"/>
          <w:b w:val="1"/>
          <w:bCs w:val="1"/>
          <w:i w:val="1"/>
          <w:iCs w:val="1"/>
          <w:color w:val="auto"/>
        </w:rPr>
        <w:t>Cash Flows from Financing Activities</w:t>
      </w:r>
    </w:p>
    <w:p>
      <w:pPr>
        <w:spacing w:after="0" w:line="4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42"/>
        </w:trPr>
        <w:tc>
          <w:tcPr>
            <w:tcW w:w="6740" w:type="dxa"/>
            <w:vAlign w:val="bottom"/>
            <w:gridSpan w:val="2"/>
            <w:vMerge w:val="continue"/>
          </w:tcPr>
          <w:p>
            <w:pPr>
              <w:spacing w:after="0"/>
              <w:rPr>
                <w:sz w:val="12"/>
                <w:szCs w:val="12"/>
                <w:color w:val="auto"/>
              </w:rPr>
            </w:pPr>
          </w:p>
        </w:tc>
        <w:tc>
          <w:tcPr>
            <w:tcW w:w="880" w:type="dxa"/>
            <w:vAlign w:val="bottom"/>
          </w:tcPr>
          <w:p>
            <w:pPr>
              <w:jc w:val="right"/>
              <w:ind w:right="222"/>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299"/>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(576,206)</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(382,358)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color w:val="auto"/>
        </w:rPr>
        <w:t>Financing activities consumed $576.2 million of cash in the nine months ended September 30, 2022 compared to $382.4 million in the nine months ended September 30, 2021.</w:t>
      </w:r>
    </w:p>
    <w:p>
      <w:pPr>
        <w:spacing w:after="0" w:line="103"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During the nine months ended September 30, 2022 and 2021, $571.6 million and $354.2 million, respectively was used to purchase treasury stock in accordance with GCE’s share repurchase program. In 2022 and 2021, $4.6 million and $6.0 million, respectively, of cash was utilized to purchase common shares withheld in lieu of income taxes resulting from the vesting of restricted share awards. A significant amount of the share repurchases in 2021 and 2022 were from the proceeds received on the repayment of the Secured Note. The Company intends to continue using a significant portion of its cash flows from operations to repurchase its shares but share repurchases in future years will be less than in 2021 and 2022.</w:t>
      </w:r>
    </w:p>
    <w:p>
      <w:pPr>
        <w:spacing w:after="0" w:line="127"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In 2021, principal payments on notes payable and capital leases totaled $24.9 million, partially offset by proceeds from the exercise of stock options of $2.7 million.</w:t>
      </w:r>
    </w:p>
    <w:p>
      <w:pPr>
        <w:spacing w:after="0" w:line="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On October 26, 2022, our Board of Directors increased the authorized under its existing stock repurchase program</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by $200.0 million, reflecting an aggregate authorization for share repurchases since the initiation of the program of</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$1,845.0 million. The current expiration date on the repurchase authorization by our Board of Directors is December 31,</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2023. Repurchases occur at the Company’s discretion and the Company may modify, suspend or discontinue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repurchase authorization at any time.</w:t>
      </w:r>
    </w:p>
    <w:p>
      <w:pPr>
        <w:spacing w:after="0" w:line="143"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Under our share repurchase authorization, we may purchase shares in the open market or in privately negotiated transactions, pursuant to the applicable SEC rules. The amount and timing of future share repurchases, if any, will be made as market and business conditions warrant.</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We repurchased 6,475,758 shares of common stock in the nine months ended September 30, 2022. At September 30, 2022, there remains $23.9 million available under our share repurchase authorization (which authorization was increased to $223.9 million in October 2022).</w:t>
      </w:r>
    </w:p>
    <w:p>
      <w:pPr>
        <w:spacing w:after="0" w:line="332"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60" w:right="539" w:firstLine="648"/>
        <w:spacing w:after="0" w:line="263" w:lineRule="auto"/>
        <w:rPr>
          <w:sz w:val="20"/>
          <w:szCs w:val="20"/>
          <w:color w:val="auto"/>
        </w:rPr>
      </w:pPr>
      <w:r>
        <w:rPr>
          <w:rFonts w:ascii="Arial" w:cs="Arial" w:eastAsia="Arial" w:hAnsi="Arial"/>
          <w:sz w:val="18"/>
          <w:szCs w:val="18"/>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jc w:val="both"/>
        <w:ind w:left="60" w:right="459" w:firstLine="648"/>
        <w:spacing w:after="0" w:line="263" w:lineRule="auto"/>
        <w:rPr>
          <w:sz w:val="20"/>
          <w:szCs w:val="20"/>
          <w:color w:val="auto"/>
        </w:rPr>
      </w:pPr>
      <w:r>
        <w:rPr>
          <w:rFonts w:ascii="Arial" w:cs="Arial" w:eastAsia="Arial" w:hAnsi="Arial"/>
          <w:sz w:val="18"/>
          <w:szCs w:val="18"/>
          <w:i w:val="1"/>
          <w:iCs w:val="1"/>
          <w:color w:val="auto"/>
        </w:rPr>
        <w:t>Market risk</w:t>
      </w:r>
      <w:r>
        <w:rPr>
          <w:rFonts w:ascii="Arial" w:cs="Arial" w:eastAsia="Arial" w:hAnsi="Arial"/>
          <w:sz w:val="18"/>
          <w:szCs w:val="18"/>
          <w:color w:val="auto"/>
        </w:rPr>
        <w:t>. As of September 30, 2022, we have no derivative financial instruments or derivative commodity</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We invest cash in excess of current operating requirements in money market instruments and commercial paper at multiple financial institutions.</w:t>
      </w:r>
    </w:p>
    <w:p>
      <w:pPr>
        <w:spacing w:after="0" w:line="116"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7"/>
          <w:szCs w:val="17"/>
          <w:i w:val="1"/>
          <w:iCs w:val="1"/>
          <w:color w:val="auto"/>
        </w:rPr>
        <w:t>Interest rate risk</w:t>
      </w:r>
      <w:r>
        <w:rPr>
          <w:rFonts w:ascii="Arial" w:cs="Arial" w:eastAsia="Arial" w:hAnsi="Arial"/>
          <w:sz w:val="17"/>
          <w:szCs w:val="17"/>
          <w:color w:val="auto"/>
        </w:rPr>
        <w:t>. We manage interest rate risk by investing excess funds in cash equivalents, BBB or higher rated</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bonds, commercial paper, municipal securities, asset backed securities, municipal bonds, and collateralized mortgage obligations bearing variable interest rates, which are tied to various market indices or individual bond coupon rates. Our future investment income may fall short of expectations due to changes in interest rates or we may suffer losses in principal if we are forced to sell securities before their maturity date that have declined in market value due to changes in interest rates. At September 30, 2022, a 10% increase or decrease in interest rates would not have a material impact on our future earnings, fair values, or cash flows.</w:t>
      </w:r>
    </w:p>
    <w:p>
      <w:pPr>
        <w:spacing w:after="0" w:line="1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Exchange Act. Based upon that evaluation, our Chief Executive Officer and Chief Financial Officer concluded that our disclosure controls and procedures are effective, as of September 30, 2022,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spacing w:after="0" w:line="10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left="60" w:right="179" w:firstLine="648"/>
        <w:spacing w:after="0" w:line="296" w:lineRule="auto"/>
        <w:rPr>
          <w:sz w:val="20"/>
          <w:szCs w:val="20"/>
          <w:color w:val="auto"/>
        </w:rPr>
      </w:pPr>
      <w:r>
        <w:rPr>
          <w:rFonts w:ascii="Arial" w:cs="Arial" w:eastAsia="Arial" w:hAnsi="Arial"/>
          <w:sz w:val="16"/>
          <w:szCs w:val="16"/>
          <w:color w:val="auto"/>
        </w:rPr>
        <w:t>Based on an evaluation, under the supervision and with the participation of our management, including our Chief Executive Officer (who is our principal executive officer) and our Chief Financial Officer (who is our principal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ind w:left="60" w:right="459" w:firstLine="648"/>
        <w:spacing w:after="0" w:line="277" w:lineRule="auto"/>
        <w:rPr>
          <w:sz w:val="20"/>
          <w:szCs w:val="20"/>
          <w:color w:val="auto"/>
        </w:rPr>
      </w:pPr>
      <w:r>
        <w:rPr>
          <w:rFonts w:ascii="Arial" w:cs="Arial" w:eastAsia="Arial" w:hAnsi="Arial"/>
          <w:sz w:val="18"/>
          <w:szCs w:val="18"/>
          <w:color w:val="auto"/>
        </w:rPr>
        <w:t>There have been no material changes to the risk factors disclosed in the “Risk Factors” section of our Annual Report on Form 10-K for the year ended December 31, 2021.</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October 26, 2022, our Board of Directors increased the authorization under its existing stock repurchase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program by $200.0 million, reflecting an aggregate authorization for share repurchases since the initiation of the program</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of $1,845.0 million. The current expiration date on the repurchase authorization by our Board of Directors 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December 31, 2023. Repurchases occur at the Company’s discretion and the Company may modify, suspend or discontinue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repurchase authorization at any time. Repurchases may be made in the open market or in privately negotiated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transactions, pursuant to the applicable Securities and Exchange Commission rules. The amount and timing of future share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repurchases, if any, will be made as market and business conditions warrant.</w:t>
      </w:r>
    </w:p>
    <w:p>
      <w:pPr>
        <w:spacing w:after="0" w:line="143" w:lineRule="exact"/>
        <w:rPr>
          <w:sz w:val="20"/>
          <w:szCs w:val="20"/>
          <w:color w:val="auto"/>
        </w:rPr>
      </w:pPr>
    </w:p>
    <w:p>
      <w:pPr>
        <w:jc w:val="both"/>
        <w:ind w:left="60" w:right="179" w:firstLine="648"/>
        <w:spacing w:after="0" w:line="263" w:lineRule="auto"/>
        <w:rPr>
          <w:sz w:val="20"/>
          <w:szCs w:val="20"/>
          <w:color w:val="auto"/>
        </w:rPr>
      </w:pPr>
      <w:r>
        <w:rPr>
          <w:rFonts w:ascii="Arial" w:cs="Arial" w:eastAsia="Arial" w:hAnsi="Arial"/>
          <w:sz w:val="18"/>
          <w:szCs w:val="18"/>
          <w:color w:val="auto"/>
        </w:rPr>
        <w:t>During the nine months ended September 30, 2022, 6,475,758 shares of common stock were repurchased by the Company. At September 30, 2022, there remains $23.9 million available under our share repurchase authorization (which authorization was increased to $223.9 million in October 2022).</w:t>
      </w:r>
    </w:p>
    <w:p>
      <w:pPr>
        <w:spacing w:after="0" w:line="116" w:lineRule="exact"/>
        <w:rPr>
          <w:sz w:val="20"/>
          <w:szCs w:val="20"/>
          <w:color w:val="auto"/>
        </w:rPr>
      </w:pPr>
    </w:p>
    <w:p>
      <w:pPr>
        <w:jc w:val="both"/>
        <w:ind w:left="60" w:right="159" w:firstLine="648"/>
        <w:spacing w:after="0" w:line="263" w:lineRule="auto"/>
        <w:rPr>
          <w:sz w:val="20"/>
          <w:szCs w:val="20"/>
          <w:color w:val="auto"/>
        </w:rPr>
      </w:pPr>
      <w:r>
        <w:rPr>
          <w:rFonts w:ascii="Arial" w:cs="Arial" w:eastAsia="Arial" w:hAnsi="Arial"/>
          <w:sz w:val="18"/>
          <w:szCs w:val="18"/>
          <w:color w:val="auto"/>
        </w:rPr>
        <w:t>The following table sets forth our share repurchases of common stock and our share repurchases in lieu of taxes, which are not included in the repurchase plan totals as they were approved in conjunction with the restricted share awards, during each period in the third quarter of fiscal 2022:</w:t>
      </w:r>
    </w:p>
    <w:p>
      <w:pPr>
        <w:spacing w:after="0" w:line="9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180" w:type="dxa"/>
            <w:vAlign w:val="bottom"/>
            <w:gridSpan w:val="3"/>
          </w:tcPr>
          <w:p>
            <w:pPr>
              <w:ind w:left="100"/>
              <w:spacing w:after="0"/>
              <w:rPr>
                <w:sz w:val="20"/>
                <w:szCs w:val="20"/>
                <w:color w:val="auto"/>
              </w:rPr>
            </w:pPr>
            <w:r>
              <w:rPr>
                <w:rFonts w:ascii="Arial" w:cs="Arial" w:eastAsia="Arial" w:hAnsi="Arial"/>
                <w:sz w:val="14"/>
                <w:szCs w:val="14"/>
                <w:b w:val="1"/>
                <w:bCs w:val="1"/>
                <w:color w:val="auto"/>
                <w:w w:val="97"/>
              </w:rPr>
              <w:t>Maximum Dollar</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Average</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0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Value of Shares</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Total Number of</w:t>
            </w:r>
          </w:p>
        </w:tc>
        <w:tc>
          <w:tcPr>
            <w:tcW w:w="1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00" w:type="dxa"/>
            <w:vAlign w:val="bottom"/>
          </w:tcPr>
          <w:p>
            <w:pPr>
              <w:spacing w:after="0"/>
              <w:rPr>
                <w:sz w:val="12"/>
                <w:szCs w:val="12"/>
                <w:color w:val="auto"/>
              </w:rPr>
            </w:pPr>
          </w:p>
        </w:tc>
        <w:tc>
          <w:tcPr>
            <w:tcW w:w="10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6"/>
              </w:rPr>
              <w:t>That May Yet Be</w:t>
            </w:r>
          </w:p>
        </w:tc>
        <w:tc>
          <w:tcPr>
            <w:tcW w:w="0" w:type="dxa"/>
            <w:vAlign w:val="bottom"/>
          </w:tcPr>
          <w:p>
            <w:pPr>
              <w:spacing w:after="0"/>
              <w:rPr>
                <w:sz w:val="1"/>
                <w:szCs w:val="1"/>
                <w:color w:val="auto"/>
              </w:rPr>
            </w:pPr>
          </w:p>
        </w:tc>
      </w:tr>
      <w:tr>
        <w:trPr>
          <w:trHeight w:val="148"/>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120" w:type="dxa"/>
            <w:vAlign w:val="bottom"/>
            <w:vMerge w:val="continue"/>
          </w:tcPr>
          <w:p>
            <w:pPr>
              <w:spacing w:after="0"/>
              <w:rPr>
                <w:sz w:val="12"/>
                <w:szCs w:val="12"/>
                <w:color w:val="auto"/>
              </w:rPr>
            </w:pPr>
          </w:p>
        </w:tc>
        <w:tc>
          <w:tcPr>
            <w:tcW w:w="960" w:type="dxa"/>
            <w:vAlign w:val="bottom"/>
            <w:gridSpan w:val="4"/>
          </w:tcPr>
          <w:p>
            <w:pPr>
              <w:ind w:left="160"/>
              <w:spacing w:after="0" w:line="149" w:lineRule="exact"/>
              <w:rPr>
                <w:sz w:val="20"/>
                <w:szCs w:val="20"/>
                <w:color w:val="auto"/>
              </w:rPr>
            </w:pPr>
            <w:r>
              <w:rPr>
                <w:rFonts w:ascii="Arial" w:cs="Arial" w:eastAsia="Arial" w:hAnsi="Arial"/>
                <w:sz w:val="14"/>
                <w:szCs w:val="14"/>
                <w:b w:val="1"/>
                <w:bCs w:val="1"/>
                <w:color w:val="auto"/>
              </w:rPr>
              <w:t>Price Paid</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118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71"/>
        </w:trPr>
        <w:tc>
          <w:tcPr>
            <w:tcW w:w="4340" w:type="dxa"/>
            <w:vAlign w:val="bottom"/>
            <w:gridSpan w:val="2"/>
            <w:vMerge w:val="continue"/>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88"/>
              </w:rPr>
              <w:t>Shares Purchased</w:t>
            </w:r>
          </w:p>
        </w:tc>
        <w:tc>
          <w:tcPr>
            <w:tcW w:w="16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Per Share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7"/>
              </w:rPr>
              <w:t>Program</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72"/>
              <w:spacing w:after="0"/>
              <w:rPr>
                <w:sz w:val="20"/>
                <w:szCs w:val="20"/>
                <w:color w:val="auto"/>
              </w:rPr>
            </w:pPr>
            <w:r>
              <w:rPr>
                <w:rFonts w:ascii="Arial" w:cs="Arial" w:eastAsia="Arial" w:hAnsi="Arial"/>
                <w:sz w:val="14"/>
                <w:szCs w:val="14"/>
                <w:b w:val="1"/>
                <w:bCs w:val="1"/>
                <w:color w:val="auto"/>
                <w:w w:val="94"/>
              </w:rPr>
              <w:t>the Program</w:t>
            </w:r>
          </w:p>
        </w:tc>
        <w:tc>
          <w:tcPr>
            <w:tcW w:w="0" w:type="dxa"/>
            <w:vAlign w:val="bottom"/>
          </w:tcPr>
          <w:p>
            <w:pPr>
              <w:spacing w:after="0"/>
              <w:rPr>
                <w:sz w:val="1"/>
                <w:szCs w:val="1"/>
                <w:color w:val="auto"/>
              </w:rPr>
            </w:pPr>
          </w:p>
        </w:tc>
      </w:tr>
      <w:tr>
        <w:trPr>
          <w:trHeight w:val="209"/>
        </w:trPr>
        <w:tc>
          <w:tcPr>
            <w:tcW w:w="4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Share Repurchases</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July 1, 2022 – July 31, 2022</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5"/>
              </w:rPr>
              <w:t>72,000,000</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 2022 – August 31, 2022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274,736</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83.82</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274,736</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49,000,000</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September 1, 2022 – September 30, 2022</w:t>
            </w:r>
          </w:p>
        </w:tc>
        <w:tc>
          <w:tcPr>
            <w:tcW w:w="1120" w:type="dxa"/>
            <w:vAlign w:val="bottom"/>
          </w:tcPr>
          <w:p>
            <w:pPr>
              <w:jc w:val="right"/>
              <w:spacing w:after="0"/>
              <w:rPr>
                <w:sz w:val="20"/>
                <w:szCs w:val="20"/>
                <w:color w:val="auto"/>
              </w:rPr>
            </w:pPr>
            <w:r>
              <w:rPr>
                <w:rFonts w:ascii="Arial" w:cs="Arial" w:eastAsia="Arial" w:hAnsi="Arial"/>
                <w:sz w:val="18"/>
                <w:szCs w:val="18"/>
                <w:color w:val="auto"/>
              </w:rPr>
              <w:t>306,685</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82.06</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306,685</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5"/>
              </w:rPr>
              <w:t>23,900,000</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581,421</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82.89</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581,421</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23,900,000</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Tax Withholdings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2022 – July 31, 2022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August 1, 2022 – August 31, 2022</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2022 – September 30, 2022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80" w:type="dxa"/>
            <w:vAlign w:val="bottom"/>
            <w:gridSpan w:val="2"/>
          </w:tcPr>
          <w:p>
            <w:pPr>
              <w:spacing w:after="0"/>
              <w:rPr>
                <w:sz w:val="20"/>
                <w:szCs w:val="20"/>
                <w:color w:val="auto"/>
              </w:rPr>
            </w:pPr>
            <w:r>
              <w:rPr>
                <w:rFonts w:ascii="Arial" w:cs="Arial" w:eastAsia="Arial" w:hAnsi="Arial"/>
                <w:sz w:val="18"/>
                <w:szCs w:val="18"/>
                <w:b w:val="1"/>
                <w:bCs w:val="1"/>
                <w:color w:val="auto"/>
                <w:w w:val="98"/>
              </w:rPr>
              <w:t>Item 6.</w:t>
            </w:r>
          </w:p>
        </w:tc>
        <w:tc>
          <w:tcPr>
            <w:tcW w:w="80" w:type="dxa"/>
            <w:vAlign w:val="bottom"/>
          </w:tcPr>
          <w:p>
            <w:pPr>
              <w:spacing w:after="0"/>
              <w:rPr>
                <w:sz w:val="20"/>
                <w:szCs w:val="20"/>
                <w:color w:val="auto"/>
              </w:rPr>
            </w:pPr>
          </w:p>
        </w:tc>
        <w:tc>
          <w:tcPr>
            <w:tcW w:w="4820" w:type="dxa"/>
            <w:vAlign w:val="bottom"/>
            <w:gridSpan w:val="15"/>
          </w:tcPr>
          <w:p>
            <w:pPr>
              <w:spacing w:after="0"/>
              <w:rPr>
                <w:sz w:val="20"/>
                <w:szCs w:val="20"/>
                <w:color w:val="auto"/>
              </w:rPr>
            </w:pPr>
            <w:r>
              <w:rPr>
                <w:rFonts w:ascii="Arial" w:cs="Arial" w:eastAsia="Arial" w:hAnsi="Arial"/>
                <w:sz w:val="18"/>
                <w:szCs w:val="18"/>
                <w:b w:val="1"/>
                <w:bCs w:val="1"/>
                <w:color w:val="auto"/>
              </w:rPr>
              <w:t>Exhibits</w:t>
            </w:r>
          </w:p>
        </w:tc>
        <w:tc>
          <w:tcPr>
            <w:tcW w:w="342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900" w:type="dxa"/>
            <w:vAlign w:val="bottom"/>
            <w:gridSpan w:val="16"/>
          </w:tcPr>
          <w:p>
            <w:pPr>
              <w:ind w:left="60"/>
              <w:spacing w:after="0"/>
              <w:rPr>
                <w:sz w:val="20"/>
                <w:szCs w:val="20"/>
                <w:color w:val="auto"/>
              </w:rPr>
            </w:pPr>
            <w:r>
              <w:rPr>
                <w:rFonts w:ascii="Arial" w:cs="Arial" w:eastAsia="Arial" w:hAnsi="Arial"/>
                <w:sz w:val="18"/>
                <w:szCs w:val="18"/>
                <w:color w:val="auto"/>
              </w:rPr>
              <w:t>(a)  Exhibits</w:t>
            </w:r>
          </w:p>
        </w:tc>
        <w:tc>
          <w:tcPr>
            <w:tcW w:w="3420" w:type="dxa"/>
            <w:vAlign w:val="bottom"/>
          </w:tcPr>
          <w:p>
            <w:pPr>
              <w:spacing w:after="0"/>
              <w:rPr>
                <w:sz w:val="24"/>
                <w:szCs w:val="24"/>
                <w:color w:val="auto"/>
              </w:rPr>
            </w:pPr>
          </w:p>
        </w:tc>
      </w:tr>
      <w:tr>
        <w:trPr>
          <w:trHeight w:val="270"/>
        </w:trPr>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60" w:type="dxa"/>
            <w:vAlign w:val="bottom"/>
            <w:gridSpan w:val="14"/>
          </w:tcPr>
          <w:p>
            <w:pPr>
              <w:spacing w:after="0"/>
              <w:rPr>
                <w:sz w:val="20"/>
                <w:szCs w:val="20"/>
                <w:color w:val="auto"/>
              </w:rPr>
            </w:pPr>
            <w:r>
              <w:rPr>
                <w:rFonts w:ascii="Arial" w:cs="Arial" w:eastAsia="Arial" w:hAnsi="Arial"/>
                <w:sz w:val="14"/>
                <w:szCs w:val="14"/>
                <w:b w:val="1"/>
                <w:bCs w:val="1"/>
                <w:color w:val="auto"/>
              </w:rPr>
              <w:t>Description</w:t>
            </w:r>
          </w:p>
        </w:tc>
        <w:tc>
          <w:tcPr>
            <w:tcW w:w="3420" w:type="dxa"/>
            <w:vAlign w:val="bottom"/>
          </w:tcPr>
          <w:p>
            <w:pPr>
              <w:spacing w:after="0"/>
              <w:rPr>
                <w:sz w:val="20"/>
                <w:szCs w:val="20"/>
                <w:color w:val="auto"/>
              </w:rPr>
            </w:pPr>
            <w:r>
              <w:rPr>
                <w:rFonts w:ascii="Arial" w:cs="Arial" w:eastAsia="Arial" w:hAnsi="Arial"/>
                <w:sz w:val="14"/>
                <w:szCs w:val="14"/>
                <w:b w:val="1"/>
                <w:bCs w:val="1"/>
                <w:color w:val="auto"/>
              </w:rPr>
              <w:t>Method of Filing</w:t>
            </w:r>
          </w:p>
        </w:tc>
      </w:tr>
      <w:tr>
        <w:trPr>
          <w:trHeight w:val="169"/>
        </w:trPr>
        <w:tc>
          <w:tcPr>
            <w:tcW w:w="20" w:type="dxa"/>
            <w:vAlign w:val="bottom"/>
          </w:tcPr>
          <w:p>
            <w:pPr>
              <w:spacing w:after="0"/>
              <w:rPr>
                <w:sz w:val="14"/>
                <w:szCs w:val="14"/>
                <w:color w:val="auto"/>
              </w:rPr>
            </w:pPr>
          </w:p>
        </w:tc>
        <w:tc>
          <w:tcPr>
            <w:tcW w:w="56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w:t>
            </w:r>
          </w:p>
        </w:tc>
        <w:tc>
          <w:tcPr>
            <w:tcW w:w="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00" w:type="dxa"/>
            <w:vAlign w:val="bottom"/>
            <w:tcBorders>
              <w:top w:val="single" w:sz="8" w:color="auto"/>
            </w:tcBorders>
            <w:gridSpan w:val="12"/>
          </w:tcPr>
          <w:p>
            <w:pPr>
              <w:spacing w:after="0" w:line="169" w:lineRule="exact"/>
              <w:rPr>
                <w:rFonts w:ascii="Arial" w:cs="Arial" w:eastAsia="Arial" w:hAnsi="Arial"/>
                <w:sz w:val="18"/>
                <w:szCs w:val="18"/>
                <w:color w:val="0000EE"/>
              </w:rPr>
            </w:pPr>
            <w:hyperlink r:id="rId49">
              <w:r>
                <w:rPr>
                  <w:rFonts w:ascii="Arial" w:cs="Arial" w:eastAsia="Arial" w:hAnsi="Arial"/>
                  <w:sz w:val="18"/>
                  <w:szCs w:val="18"/>
                  <w:color w:val="0000EE"/>
                </w:rPr>
                <w:t>Amended and Restated Certificate of Incorporation.</w:t>
              </w:r>
            </w:hyperlink>
          </w:p>
        </w:tc>
        <w:tc>
          <w:tcPr>
            <w:tcW w:w="140" w:type="dxa"/>
            <w:vAlign w:val="bottom"/>
          </w:tcPr>
          <w:p>
            <w:pPr>
              <w:spacing w:after="0"/>
              <w:rPr>
                <w:sz w:val="14"/>
                <w:szCs w:val="14"/>
                <w:color w:val="auto"/>
              </w:rPr>
            </w:pPr>
          </w:p>
        </w:tc>
        <w:tc>
          <w:tcPr>
            <w:tcW w:w="34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w w:val="93"/>
              </w:rPr>
              <w:t>Incorporated by reference to Exhibit 3.1 to the</w:t>
            </w: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18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72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3"/>
              </w:rPr>
              <w:t>Company’s Annual Report on Form 10-K filed</w:t>
            </w: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with the SEC on February 20, 2019.</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60" w:type="dxa"/>
            <w:vAlign w:val="bottom"/>
            <w:gridSpan w:val="14"/>
          </w:tcPr>
          <w:p>
            <w:pPr>
              <w:spacing w:after="0"/>
              <w:rPr>
                <w:rFonts w:ascii="Arial" w:cs="Arial" w:eastAsia="Arial" w:hAnsi="Arial"/>
                <w:sz w:val="18"/>
                <w:szCs w:val="18"/>
                <w:color w:val="0000EE"/>
              </w:rPr>
            </w:pPr>
            <w:hyperlink r:id="rId50">
              <w:r>
                <w:rPr>
                  <w:rFonts w:ascii="Arial" w:cs="Arial" w:eastAsia="Arial" w:hAnsi="Arial"/>
                  <w:sz w:val="18"/>
                  <w:szCs w:val="18"/>
                  <w:color w:val="0000EE"/>
                </w:rPr>
                <w:t>Third Amended and Restated Bylaws.</w:t>
              </w:r>
            </w:hyperlink>
          </w:p>
        </w:tc>
        <w:tc>
          <w:tcPr>
            <w:tcW w:w="3420" w:type="dxa"/>
            <w:vAlign w:val="bottom"/>
          </w:tcPr>
          <w:p>
            <w:pPr>
              <w:spacing w:after="0"/>
              <w:rPr>
                <w:sz w:val="20"/>
                <w:szCs w:val="20"/>
                <w:color w:val="auto"/>
              </w:rPr>
            </w:pPr>
            <w:r>
              <w:rPr>
                <w:rFonts w:ascii="Arial" w:cs="Arial" w:eastAsia="Arial" w:hAnsi="Arial"/>
                <w:sz w:val="18"/>
                <w:szCs w:val="18"/>
                <w:color w:val="auto"/>
                <w:w w:val="93"/>
              </w:rPr>
              <w:t>Incorporated by reference to Exhibit 3.1 to the</w:t>
            </w: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18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5"/>
              </w:rPr>
              <w:t>Company’s Current Report on Form 8-K filed</w:t>
            </w: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with the SEC on October 29, 2014.</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60" w:type="dxa"/>
            <w:vAlign w:val="bottom"/>
            <w:gridSpan w:val="14"/>
          </w:tcPr>
          <w:p>
            <w:pPr>
              <w:spacing w:after="0"/>
              <w:rPr>
                <w:rFonts w:ascii="Arial" w:cs="Arial" w:eastAsia="Arial" w:hAnsi="Arial"/>
                <w:sz w:val="18"/>
                <w:szCs w:val="18"/>
                <w:color w:val="0000EE"/>
              </w:rPr>
            </w:pPr>
            <w:hyperlink r:id="rId51">
              <w:r>
                <w:rPr>
                  <w:rFonts w:ascii="Arial" w:cs="Arial" w:eastAsia="Arial" w:hAnsi="Arial"/>
                  <w:sz w:val="18"/>
                  <w:szCs w:val="18"/>
                  <w:color w:val="0000EE"/>
                </w:rPr>
                <w:t>Specimen of Stock Certificate.</w:t>
              </w:r>
            </w:hyperlink>
          </w:p>
        </w:tc>
        <w:tc>
          <w:tcPr>
            <w:tcW w:w="3420" w:type="dxa"/>
            <w:vAlign w:val="bottom"/>
          </w:tcPr>
          <w:p>
            <w:pPr>
              <w:spacing w:after="0"/>
              <w:rPr>
                <w:sz w:val="20"/>
                <w:szCs w:val="20"/>
                <w:color w:val="auto"/>
              </w:rPr>
            </w:pPr>
            <w:r>
              <w:rPr>
                <w:rFonts w:ascii="Arial" w:cs="Arial" w:eastAsia="Arial" w:hAnsi="Arial"/>
                <w:sz w:val="18"/>
                <w:szCs w:val="18"/>
                <w:color w:val="auto"/>
              </w:rPr>
              <w:t>Incorporated by reference to Exhibit 4.1 to</w:t>
            </w: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180" w:type="dxa"/>
            <w:vAlign w:val="bottom"/>
            <w:tcBorders>
              <w:top w:val="single" w:sz="8" w:color="0000EE"/>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Amendment No. 2 to the Company’s</w:t>
            </w: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3"/>
              </w:rPr>
              <w:t>Registration Statement on Form S-1 filed with</w:t>
            </w: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the SEC on September 29, 2008.</w:t>
            </w:r>
          </w:p>
        </w:tc>
      </w:tr>
      <w:tr>
        <w:trPr>
          <w:trHeight w:val="391"/>
        </w:trPr>
        <w:tc>
          <w:tcPr>
            <w:tcW w:w="580" w:type="dxa"/>
            <w:vAlign w:val="bottom"/>
            <w:gridSpan w:val="2"/>
          </w:tcPr>
          <w:p>
            <w:pPr>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3"/>
              </w:rPr>
              <w:t>Certification of Principal Executive Officer pursuant to</w:t>
            </w:r>
          </w:p>
        </w:tc>
        <w:tc>
          <w:tcPr>
            <w:tcW w:w="680" w:type="dxa"/>
            <w:vAlign w:val="bottom"/>
            <w:gridSpan w:val="5"/>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2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8"/>
              </w:rPr>
              <w:t>Rules 13a-14(a) and 15d-14(a), as adopted pursuant to</w:t>
            </w:r>
          </w:p>
        </w:tc>
        <w:tc>
          <w:tcPr>
            <w:tcW w:w="740" w:type="dxa"/>
            <w:vAlign w:val="bottom"/>
            <w:gridSpan w:val="7"/>
          </w:tcPr>
          <w:p>
            <w:pPr>
              <w:spacing w:after="0"/>
              <w:rPr>
                <w:sz w:val="17"/>
                <w:szCs w:val="17"/>
                <w:color w:val="auto"/>
              </w:rPr>
            </w:pPr>
          </w:p>
        </w:tc>
        <w:tc>
          <w:tcPr>
            <w:tcW w:w="34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6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0"/>
              </w:rPr>
              <w:t>Section 302 of the Sarbanes-Oxley Act of 2002.</w:t>
            </w:r>
          </w:p>
        </w:tc>
        <w:tc>
          <w:tcPr>
            <w:tcW w:w="1200" w:type="dxa"/>
            <w:vAlign w:val="bottom"/>
            <w:gridSpan w:val="9"/>
          </w:tcPr>
          <w:p>
            <w:pPr>
              <w:spacing w:after="0"/>
              <w:rPr>
                <w:sz w:val="17"/>
                <w:szCs w:val="17"/>
                <w:color w:val="auto"/>
              </w:rPr>
            </w:pPr>
          </w:p>
        </w:tc>
        <w:tc>
          <w:tcPr>
            <w:tcW w:w="3420" w:type="dxa"/>
            <w:vAlign w:val="bottom"/>
          </w:tcPr>
          <w:p>
            <w:pPr>
              <w:spacing w:after="0"/>
              <w:rPr>
                <w:sz w:val="17"/>
                <w:szCs w:val="17"/>
                <w:color w:val="auto"/>
              </w:rPr>
            </w:pPr>
          </w:p>
        </w:tc>
      </w:tr>
      <w:tr>
        <w:trPr>
          <w:trHeight w:val="412"/>
        </w:trPr>
        <w:tc>
          <w:tcPr>
            <w:tcW w:w="580" w:type="dxa"/>
            <w:vAlign w:val="bottom"/>
            <w:gridSpan w:val="2"/>
          </w:tcPr>
          <w:p>
            <w:pPr>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4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3"/>
              </w:rPr>
              <w:t>Certification of Principal Financial Officer pursuant to</w:t>
            </w:r>
          </w:p>
        </w:tc>
        <w:tc>
          <w:tcPr>
            <w:tcW w:w="720" w:type="dxa"/>
            <w:vAlign w:val="bottom"/>
            <w:gridSpan w:val="6"/>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2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8"/>
              </w:rPr>
              <w:t>Rules 13a-14(a) and 15d-14(a), as adopted pursuant to</w:t>
            </w:r>
          </w:p>
        </w:tc>
        <w:tc>
          <w:tcPr>
            <w:tcW w:w="740" w:type="dxa"/>
            <w:vAlign w:val="bottom"/>
            <w:gridSpan w:val="7"/>
          </w:tcPr>
          <w:p>
            <w:pPr>
              <w:spacing w:after="0"/>
              <w:rPr>
                <w:sz w:val="17"/>
                <w:szCs w:val="17"/>
                <w:color w:val="auto"/>
              </w:rPr>
            </w:pPr>
          </w:p>
        </w:tc>
        <w:tc>
          <w:tcPr>
            <w:tcW w:w="34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6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0"/>
              </w:rPr>
              <w:t>Section 302 of the Sarbanes-Oxley Act of 2002.</w:t>
            </w:r>
          </w:p>
        </w:tc>
        <w:tc>
          <w:tcPr>
            <w:tcW w:w="1200" w:type="dxa"/>
            <w:vAlign w:val="bottom"/>
            <w:gridSpan w:val="9"/>
          </w:tcPr>
          <w:p>
            <w:pPr>
              <w:spacing w:after="0"/>
              <w:rPr>
                <w:sz w:val="17"/>
                <w:szCs w:val="17"/>
                <w:color w:val="auto"/>
              </w:rPr>
            </w:pPr>
          </w:p>
        </w:tc>
        <w:tc>
          <w:tcPr>
            <w:tcW w:w="3420" w:type="dxa"/>
            <w:vAlign w:val="bottom"/>
          </w:tcPr>
          <w:p>
            <w:pPr>
              <w:spacing w:after="0"/>
              <w:rPr>
                <w:sz w:val="17"/>
                <w:szCs w:val="17"/>
                <w:color w:val="auto"/>
              </w:rPr>
            </w:pPr>
          </w:p>
        </w:tc>
      </w:tr>
      <w:tr>
        <w:trPr>
          <w:trHeight w:val="344"/>
        </w:trPr>
        <w:tc>
          <w:tcPr>
            <w:tcW w:w="580" w:type="dxa"/>
            <w:vAlign w:val="bottom"/>
            <w:gridSpan w:val="2"/>
          </w:tcPr>
          <w:p>
            <w:pPr>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2"/>
              </w:rPr>
              <w:t>Certification of Principal Executive Officer pursuant to 18</w:t>
            </w:r>
          </w:p>
        </w:tc>
        <w:tc>
          <w:tcPr>
            <w:tcW w:w="460" w:type="dxa"/>
            <w:vAlign w:val="bottom"/>
            <w:gridSpan w:val="3"/>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8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89"/>
              </w:rPr>
              <w:t>U.S.C. Section 1350, as adopted pursuant to Section 906 of</w:t>
            </w:r>
          </w:p>
        </w:tc>
        <w:tc>
          <w:tcPr>
            <w:tcW w:w="380" w:type="dxa"/>
            <w:vAlign w:val="bottom"/>
            <w:gridSpan w:val="2"/>
          </w:tcPr>
          <w:p>
            <w:pPr>
              <w:spacing w:after="0"/>
              <w:rPr>
                <w:sz w:val="17"/>
                <w:szCs w:val="17"/>
                <w:color w:val="auto"/>
              </w:rPr>
            </w:pPr>
          </w:p>
        </w:tc>
        <w:tc>
          <w:tcPr>
            <w:tcW w:w="34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60" w:type="dxa"/>
            <w:vAlign w:val="bottom"/>
            <w:gridSpan w:val="14"/>
          </w:tcPr>
          <w:p>
            <w:pPr>
              <w:spacing w:after="0" w:line="196" w:lineRule="exact"/>
              <w:rPr>
                <w:sz w:val="20"/>
                <w:szCs w:val="20"/>
                <w:color w:val="auto"/>
              </w:rPr>
            </w:pPr>
            <w:r>
              <w:rPr>
                <w:rFonts w:ascii="Arial" w:cs="Arial" w:eastAsia="Arial" w:hAnsi="Arial"/>
                <w:sz w:val="18"/>
                <w:szCs w:val="18"/>
                <w:color w:val="0000EE"/>
              </w:rPr>
              <w:t>the Sarbanes-Oxley Act of 2002. ††</w:t>
            </w:r>
          </w:p>
        </w:tc>
        <w:tc>
          <w:tcPr>
            <w:tcW w:w="3420" w:type="dxa"/>
            <w:vAlign w:val="bottom"/>
          </w:tcPr>
          <w:p>
            <w:pPr>
              <w:spacing w:after="0"/>
              <w:rPr>
                <w:sz w:val="17"/>
                <w:szCs w:val="17"/>
                <w:color w:val="auto"/>
              </w:rPr>
            </w:pPr>
          </w:p>
        </w:tc>
      </w:tr>
      <w:tr>
        <w:trPr>
          <w:trHeight w:val="20"/>
        </w:trPr>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345"/>
        </w:trPr>
        <w:tc>
          <w:tcPr>
            <w:tcW w:w="580" w:type="dxa"/>
            <w:vAlign w:val="bottom"/>
            <w:gridSpan w:val="2"/>
          </w:tcPr>
          <w:p>
            <w:pPr>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60" w:type="dxa"/>
            <w:vAlign w:val="bottom"/>
            <w:gridSpan w:val="14"/>
          </w:tcPr>
          <w:p>
            <w:pPr>
              <w:spacing w:after="0"/>
              <w:rPr>
                <w:sz w:val="20"/>
                <w:szCs w:val="20"/>
                <w:color w:val="auto"/>
              </w:rPr>
            </w:pPr>
            <w:r>
              <w:rPr>
                <w:rFonts w:ascii="Arial" w:cs="Arial" w:eastAsia="Arial" w:hAnsi="Arial"/>
                <w:sz w:val="18"/>
                <w:szCs w:val="18"/>
                <w:color w:val="0000EE"/>
              </w:rPr>
              <w:t>Certification of Principal Financial Officer pursuant to 18</w:t>
            </w:r>
          </w:p>
        </w:tc>
        <w:tc>
          <w:tcPr>
            <w:tcW w:w="342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140" w:type="dxa"/>
            <w:vAlign w:val="bottom"/>
            <w:gridSpan w:val="10"/>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8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89"/>
              </w:rPr>
              <w:t>U.S.C. Section 1350, as adopted pursuant to Section 906 of</w:t>
            </w:r>
          </w:p>
        </w:tc>
        <w:tc>
          <w:tcPr>
            <w:tcW w:w="380" w:type="dxa"/>
            <w:vAlign w:val="bottom"/>
            <w:gridSpan w:val="2"/>
          </w:tcPr>
          <w:p>
            <w:pPr>
              <w:spacing w:after="0"/>
              <w:rPr>
                <w:sz w:val="17"/>
                <w:szCs w:val="17"/>
                <w:color w:val="auto"/>
              </w:rPr>
            </w:pPr>
          </w:p>
        </w:tc>
        <w:tc>
          <w:tcPr>
            <w:tcW w:w="34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60" w:type="dxa"/>
            <w:vAlign w:val="bottom"/>
            <w:gridSpan w:val="14"/>
          </w:tcPr>
          <w:p>
            <w:pPr>
              <w:spacing w:after="0" w:line="196" w:lineRule="exact"/>
              <w:rPr>
                <w:sz w:val="20"/>
                <w:szCs w:val="20"/>
                <w:color w:val="auto"/>
              </w:rPr>
            </w:pPr>
            <w:r>
              <w:rPr>
                <w:rFonts w:ascii="Arial" w:cs="Arial" w:eastAsia="Arial" w:hAnsi="Arial"/>
                <w:sz w:val="18"/>
                <w:szCs w:val="18"/>
                <w:color w:val="0000EE"/>
              </w:rPr>
              <w:t>the Sarbanes-Oxley Act of 2002. ††</w:t>
            </w:r>
          </w:p>
        </w:tc>
        <w:tc>
          <w:tcPr>
            <w:tcW w:w="3420" w:type="dxa"/>
            <w:vAlign w:val="bottom"/>
          </w:tcPr>
          <w:p>
            <w:pPr>
              <w:spacing w:after="0"/>
              <w:rPr>
                <w:sz w:val="17"/>
                <w:szCs w:val="17"/>
                <w:color w:val="auto"/>
              </w:rPr>
            </w:pPr>
          </w:p>
        </w:tc>
      </w:tr>
      <w:tr>
        <w:trPr>
          <w:trHeight w:val="20"/>
        </w:trPr>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2080" w:type="dxa"/>
            <w:vAlign w:val="bottom"/>
            <w:gridSpan w:val="11"/>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371"/>
        </w:trPr>
        <w:tc>
          <w:tcPr>
            <w:tcW w:w="580" w:type="dxa"/>
            <w:vAlign w:val="bottom"/>
            <w:gridSpan w:val="2"/>
          </w:tcPr>
          <w:p>
            <w:pPr>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60" w:type="dxa"/>
            <w:vAlign w:val="bottom"/>
            <w:gridSpan w:val="14"/>
          </w:tcPr>
          <w:p>
            <w:pPr>
              <w:spacing w:after="0"/>
              <w:rPr>
                <w:sz w:val="20"/>
                <w:szCs w:val="20"/>
                <w:color w:val="auto"/>
              </w:rPr>
            </w:pPr>
            <w:r>
              <w:rPr>
                <w:rFonts w:ascii="Arial" w:cs="Arial" w:eastAsia="Arial" w:hAnsi="Arial"/>
                <w:sz w:val="18"/>
                <w:szCs w:val="18"/>
                <w:color w:val="auto"/>
              </w:rPr>
              <w:t>The following financial statements from the Company’s</w:t>
            </w:r>
          </w:p>
        </w:tc>
        <w:tc>
          <w:tcPr>
            <w:tcW w:w="342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60" w:type="dxa"/>
            <w:vAlign w:val="bottom"/>
            <w:gridSpan w:val="14"/>
          </w:tcPr>
          <w:p>
            <w:pPr>
              <w:spacing w:after="0"/>
              <w:rPr>
                <w:sz w:val="20"/>
                <w:szCs w:val="20"/>
                <w:color w:val="auto"/>
              </w:rPr>
            </w:pPr>
            <w:r>
              <w:rPr>
                <w:rFonts w:ascii="Arial" w:cs="Arial" w:eastAsia="Arial" w:hAnsi="Arial"/>
                <w:sz w:val="18"/>
                <w:szCs w:val="18"/>
                <w:color w:val="auto"/>
              </w:rPr>
              <w:t>Quarterly Report on Form 10-Q for the quarter ended</w:t>
            </w:r>
          </w:p>
        </w:tc>
        <w:tc>
          <w:tcPr>
            <w:tcW w:w="3420" w:type="dxa"/>
            <w:vAlign w:val="bottom"/>
          </w:tcPr>
          <w:p>
            <w:pPr>
              <w:spacing w:after="0"/>
              <w:rPr>
                <w:sz w:val="20"/>
                <w:szCs w:val="20"/>
                <w:color w:val="auto"/>
              </w:rPr>
            </w:pPr>
          </w:p>
        </w:tc>
      </w:tr>
    </w:tbl>
    <w:p>
      <w:pPr>
        <w:ind w:left="880"/>
        <w:spacing w:after="0"/>
        <w:rPr>
          <w:sz w:val="20"/>
          <w:szCs w:val="20"/>
          <w:color w:val="auto"/>
        </w:rPr>
      </w:pPr>
      <w:r>
        <w:rPr>
          <w:rFonts w:ascii="Arial" w:cs="Arial" w:eastAsia="Arial" w:hAnsi="Arial"/>
          <w:sz w:val="18"/>
          <w:szCs w:val="18"/>
          <w:color w:val="auto"/>
        </w:rPr>
        <w:t>September 30, 2022, formatted in Inline XBRL: (i)</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Income Statements, (ii) Consolidated Statements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of Comprehensive Income, (iii) Consolidated Balance Sheets,</w:t>
      </w:r>
    </w:p>
    <w:p>
      <w:pPr>
        <w:spacing w:after="0" w:line="9" w:lineRule="exact"/>
        <w:rPr>
          <w:sz w:val="20"/>
          <w:szCs w:val="20"/>
          <w:color w:val="auto"/>
        </w:rPr>
      </w:pPr>
    </w:p>
    <w:p>
      <w:pPr>
        <w:jc w:val="both"/>
        <w:ind w:left="880" w:right="3899" w:hanging="1"/>
        <w:spacing w:after="0" w:line="253" w:lineRule="auto"/>
        <w:tabs>
          <w:tab w:leader="none" w:pos="118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Consolidated Statements of Stockholders’ Equity, (v) Consolidated Statements of Cash Flows, and (vi) Notes to Consolidated Financial Statements tagged as blocks of text and including detailed tags.</w:t>
      </w:r>
    </w:p>
    <w:p>
      <w:pPr>
        <w:spacing w:after="0" w:line="125" w:lineRule="exact"/>
        <w:rPr>
          <w:sz w:val="20"/>
          <w:szCs w:val="20"/>
          <w:color w:val="auto"/>
        </w:rPr>
      </w:pPr>
    </w:p>
    <w:p>
      <w:pPr>
        <w:ind w:left="60"/>
        <w:spacing w:after="0"/>
        <w:tabs>
          <w:tab w:leader="none" w:pos="860" w:val="left"/>
          <w:tab w:leader="none" w:pos="55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The cover page from the Company’s Quarterly Report on</w:t>
      </w:r>
      <w:r>
        <w:rPr>
          <w:sz w:val="20"/>
          <w:szCs w:val="20"/>
          <w:color w:val="auto"/>
        </w:rPr>
        <w:tab/>
      </w:r>
      <w:r>
        <w:rPr>
          <w:rFonts w:ascii="Arial" w:cs="Arial" w:eastAsia="Arial" w:hAnsi="Arial"/>
          <w:sz w:val="16"/>
          <w:szCs w:val="16"/>
          <w:color w:val="auto"/>
        </w:rPr>
        <w:t>Filed herewith.</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Form 10-Q for the quarter ended September 30, 2022,</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formatted in Inline XBRL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74295</wp:posOffset>
            </wp:positionV>
            <wp:extent cx="14141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91" w:lineRule="exact"/>
        <w:rPr>
          <w:sz w:val="20"/>
          <w:szCs w:val="20"/>
          <w:color w:val="auto"/>
        </w:rPr>
      </w:pPr>
    </w:p>
    <w:p>
      <w:pPr>
        <w:ind w:left="380" w:right="199" w:hanging="330"/>
        <w:spacing w:after="0" w:line="259" w:lineRule="auto"/>
        <w:tabs>
          <w:tab w:leader="none" w:pos="3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Company,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5800" w:type="dxa"/>
            <w:vAlign w:val="bottom"/>
            <w:gridSpan w:val="2"/>
          </w:tcPr>
          <w:p>
            <w:pPr>
              <w:ind w:left="1440"/>
              <w:spacing w:after="0"/>
              <w:rPr>
                <w:sz w:val="20"/>
                <w:szCs w:val="20"/>
                <w:color w:val="auto"/>
              </w:rPr>
            </w:pPr>
            <w:r>
              <w:rPr>
                <w:rFonts w:ascii="Arial" w:cs="Arial" w:eastAsia="Arial" w:hAnsi="Arial"/>
                <w:sz w:val="18"/>
                <w:szCs w:val="18"/>
                <w:b w:val="1"/>
                <w:bCs w:val="1"/>
                <w:color w:val="auto"/>
              </w:rPr>
              <w:t>GRAND CANYON EDUCATION, INC.</w:t>
            </w: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Date: October 27, 2022</w:t>
            </w:r>
          </w:p>
        </w:tc>
        <w:tc>
          <w:tcPr>
            <w:tcW w:w="5800" w:type="dxa"/>
            <w:vAlign w:val="bottom"/>
            <w:gridSpan w:val="2"/>
          </w:tcPr>
          <w:p>
            <w:pPr>
              <w:ind w:left="1440"/>
              <w:spacing w:after="0"/>
              <w:rPr>
                <w:sz w:val="20"/>
                <w:szCs w:val="20"/>
                <w:color w:val="auto"/>
              </w:rPr>
            </w:pPr>
            <w:r>
              <w:rPr>
                <w:rFonts w:ascii="Arial" w:cs="Arial" w:eastAsia="Arial" w:hAnsi="Arial"/>
                <w:sz w:val="18"/>
                <w:szCs w:val="18"/>
                <w:color w:val="auto"/>
              </w:rPr>
              <w:t>By: /s/ Daniel E. Bachus</w:t>
            </w:r>
          </w:p>
        </w:tc>
      </w:tr>
      <w:tr>
        <w:trPr>
          <w:trHeight w:val="20"/>
        </w:trPr>
        <w:tc>
          <w:tcPr>
            <w:tcW w:w="3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r>
      <w:tr>
        <w:trPr>
          <w:trHeight w:val="182"/>
        </w:trPr>
        <w:tc>
          <w:tcPr>
            <w:tcW w:w="3100" w:type="dxa"/>
            <w:vAlign w:val="bottom"/>
          </w:tcPr>
          <w:p>
            <w:pPr>
              <w:spacing w:after="0"/>
              <w:rPr>
                <w:sz w:val="15"/>
                <w:szCs w:val="15"/>
                <w:color w:val="auto"/>
              </w:rPr>
            </w:pPr>
          </w:p>
        </w:tc>
        <w:tc>
          <w:tcPr>
            <w:tcW w:w="5800" w:type="dxa"/>
            <w:vAlign w:val="bottom"/>
            <w:gridSpan w:val="2"/>
          </w:tcPr>
          <w:p>
            <w:pPr>
              <w:ind w:left="1440"/>
              <w:spacing w:after="0" w:line="182" w:lineRule="exact"/>
              <w:rPr>
                <w:sz w:val="20"/>
                <w:szCs w:val="20"/>
                <w:color w:val="auto"/>
              </w:rPr>
            </w:pPr>
            <w:r>
              <w:rPr>
                <w:rFonts w:ascii="Arial" w:cs="Arial" w:eastAsia="Arial" w:hAnsi="Arial"/>
                <w:sz w:val="18"/>
                <w:szCs w:val="18"/>
                <w:color w:val="auto"/>
              </w:rPr>
              <w:t>Daniel E. Bachus</w:t>
            </w:r>
          </w:p>
        </w:tc>
      </w:tr>
      <w:tr>
        <w:trPr>
          <w:trHeight w:val="216"/>
        </w:trPr>
        <w:tc>
          <w:tcPr>
            <w:tcW w:w="3100" w:type="dxa"/>
            <w:vAlign w:val="bottom"/>
          </w:tcPr>
          <w:p>
            <w:pPr>
              <w:spacing w:after="0"/>
              <w:rPr>
                <w:sz w:val="18"/>
                <w:szCs w:val="18"/>
                <w:color w:val="auto"/>
              </w:rPr>
            </w:pPr>
          </w:p>
        </w:tc>
        <w:tc>
          <w:tcPr>
            <w:tcW w:w="5800" w:type="dxa"/>
            <w:vAlign w:val="bottom"/>
            <w:gridSpan w:val="2"/>
          </w:tcPr>
          <w:p>
            <w:pPr>
              <w:ind w:left="1440"/>
              <w:spacing w:after="0"/>
              <w:rPr>
                <w:sz w:val="20"/>
                <w:szCs w:val="20"/>
                <w:color w:val="auto"/>
              </w:rPr>
            </w:pPr>
            <w:r>
              <w:rPr>
                <w:rFonts w:ascii="Arial" w:cs="Arial" w:eastAsia="Arial" w:hAnsi="Arial"/>
                <w:sz w:val="18"/>
                <w:szCs w:val="18"/>
                <w:color w:val="auto"/>
              </w:rPr>
              <w:t>Chief Financial Officer</w:t>
            </w:r>
          </w:p>
        </w:tc>
      </w:tr>
      <w:tr>
        <w:trPr>
          <w:trHeight w:val="230"/>
        </w:trPr>
        <w:tc>
          <w:tcPr>
            <w:tcW w:w="3100" w:type="dxa"/>
            <w:vAlign w:val="bottom"/>
          </w:tcPr>
          <w:p>
            <w:pPr>
              <w:spacing w:after="0"/>
              <w:rPr>
                <w:sz w:val="20"/>
                <w:szCs w:val="20"/>
                <w:color w:val="auto"/>
              </w:rPr>
            </w:pPr>
          </w:p>
        </w:tc>
        <w:tc>
          <w:tcPr>
            <w:tcW w:w="5800" w:type="dxa"/>
            <w:vAlign w:val="bottom"/>
            <w:gridSpan w:val="2"/>
          </w:tcPr>
          <w:p>
            <w:pPr>
              <w:ind w:left="144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900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225" w:lineRule="exact"/>
        <w:rPr>
          <w:sz w:val="20"/>
          <w:szCs w:val="20"/>
          <w:color w:val="auto"/>
        </w:rPr>
      </w:pPr>
    </w:p>
    <w:p>
      <w:pPr>
        <w:ind w:left="520" w:hanging="188"/>
        <w:spacing w:after="0"/>
        <w:tabs>
          <w:tab w:leader="none" w:pos="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ending September 30, 2022 of Grand Canyon Education, Inc.;</w:t>
      </w:r>
    </w:p>
    <w:p>
      <w:pPr>
        <w:spacing w:after="0" w:line="248" w:lineRule="exact"/>
        <w:rPr>
          <w:rFonts w:ascii="Arial" w:cs="Arial" w:eastAsia="Arial" w:hAnsi="Arial"/>
          <w:sz w:val="16"/>
          <w:szCs w:val="16"/>
          <w:color w:val="auto"/>
        </w:rPr>
      </w:pPr>
    </w:p>
    <w:p>
      <w:pPr>
        <w:ind w:right="500" w:firstLine="332"/>
        <w:spacing w:after="0" w:line="263" w:lineRule="auto"/>
        <w:tabs>
          <w:tab w:leader="none" w:pos="5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332"/>
        <w:spacing w:after="0" w:line="263" w:lineRule="auto"/>
        <w:tabs>
          <w:tab w:leader="none" w:pos="5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332"/>
        <w:spacing w:after="0" w:line="263" w:lineRule="auto"/>
        <w:tabs>
          <w:tab w:leader="none" w:pos="5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right="100" w:firstLine="527"/>
        <w:spacing w:after="0" w:line="286" w:lineRule="auto"/>
        <w:tabs>
          <w:tab w:leader="none" w:pos="703"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right="120" w:firstLine="527"/>
        <w:spacing w:after="0" w:line="263" w:lineRule="auto"/>
        <w:tabs>
          <w:tab w:leader="none" w:pos="713"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20" w:firstLine="527"/>
        <w:spacing w:after="0" w:line="263" w:lineRule="auto"/>
        <w:tabs>
          <w:tab w:leader="none" w:pos="703"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right="100" w:firstLine="527"/>
        <w:spacing w:after="0" w:line="263" w:lineRule="auto"/>
        <w:tabs>
          <w:tab w:leader="none" w:pos="713"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40" w:firstLine="332"/>
        <w:spacing w:after="0" w:line="263" w:lineRule="auto"/>
        <w:tabs>
          <w:tab w:leader="none" w:pos="5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right="40" w:firstLine="527"/>
        <w:spacing w:after="0" w:line="342" w:lineRule="auto"/>
        <w:tabs>
          <w:tab w:leader="none" w:pos="703"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firstLine="527"/>
        <w:spacing w:after="0" w:line="277" w:lineRule="auto"/>
        <w:tabs>
          <w:tab w:leader="none" w:pos="713"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Date: October 27, 2022</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Mueller</w:t>
            </w:r>
          </w:p>
        </w:tc>
      </w:tr>
      <w:tr>
        <w:trPr>
          <w:trHeight w:val="195"/>
        </w:trPr>
        <w:tc>
          <w:tcPr>
            <w:tcW w:w="5080" w:type="dxa"/>
            <w:vAlign w:val="bottom"/>
          </w:tcPr>
          <w:p>
            <w:pPr>
              <w:spacing w:after="0"/>
              <w:rPr>
                <w:sz w:val="16"/>
                <w:szCs w:val="16"/>
                <w:color w:val="auto"/>
              </w:rPr>
            </w:pP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Brian E. Mueller</w:t>
            </w:r>
          </w:p>
        </w:tc>
      </w:tr>
      <w:tr>
        <w:trPr>
          <w:trHeight w:val="216"/>
        </w:trPr>
        <w:tc>
          <w:tcPr>
            <w:tcW w:w="50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0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76"/>
        </w:trPr>
        <w:tc>
          <w:tcPr>
            <w:tcW w:w="50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7" w:name="page38"/>
    <w:bookmarkEnd w:id="37"/>
    <w:p>
      <w:pPr>
        <w:ind w:left="900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225" w:lineRule="exact"/>
        <w:rPr>
          <w:sz w:val="20"/>
          <w:szCs w:val="20"/>
          <w:color w:val="auto"/>
        </w:rPr>
      </w:pPr>
    </w:p>
    <w:p>
      <w:pPr>
        <w:ind w:left="520" w:hanging="188"/>
        <w:spacing w:after="0"/>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ending September 30, 2022 of Grand Canyon Education, Inc.;</w:t>
      </w:r>
    </w:p>
    <w:p>
      <w:pPr>
        <w:spacing w:after="0" w:line="248" w:lineRule="exact"/>
        <w:rPr>
          <w:rFonts w:ascii="Arial" w:cs="Arial" w:eastAsia="Arial" w:hAnsi="Arial"/>
          <w:sz w:val="16"/>
          <w:szCs w:val="16"/>
          <w:color w:val="auto"/>
        </w:rPr>
      </w:pPr>
    </w:p>
    <w:p>
      <w:pPr>
        <w:ind w:right="500" w:firstLine="332"/>
        <w:spacing w:after="0" w:line="263" w:lineRule="auto"/>
        <w:tabs>
          <w:tab w:leader="none" w:pos="5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332"/>
        <w:spacing w:after="0" w:line="263" w:lineRule="auto"/>
        <w:tabs>
          <w:tab w:leader="none" w:pos="5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332"/>
        <w:spacing w:after="0" w:line="263" w:lineRule="auto"/>
        <w:tabs>
          <w:tab w:leader="none" w:pos="5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right="100" w:firstLine="527"/>
        <w:spacing w:after="0" w:line="286" w:lineRule="auto"/>
        <w:tabs>
          <w:tab w:leader="none" w:pos="703"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right="120" w:firstLine="527"/>
        <w:spacing w:after="0" w:line="263" w:lineRule="auto"/>
        <w:tabs>
          <w:tab w:leader="none" w:pos="713"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20" w:firstLine="527"/>
        <w:spacing w:after="0" w:line="263" w:lineRule="auto"/>
        <w:tabs>
          <w:tab w:leader="none" w:pos="703"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right="100" w:firstLine="527"/>
        <w:spacing w:after="0" w:line="263" w:lineRule="auto"/>
        <w:tabs>
          <w:tab w:leader="none" w:pos="713"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40" w:firstLine="332"/>
        <w:spacing w:after="0" w:line="263" w:lineRule="auto"/>
        <w:tabs>
          <w:tab w:leader="none" w:pos="5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right="40" w:firstLine="527"/>
        <w:spacing w:after="0" w:line="342" w:lineRule="auto"/>
        <w:tabs>
          <w:tab w:leader="none" w:pos="703"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firstLine="527"/>
        <w:spacing w:after="0" w:line="277" w:lineRule="auto"/>
        <w:tabs>
          <w:tab w:leader="none" w:pos="713"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Date: October 27, 2022</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E. Bachus</w:t>
            </w:r>
          </w:p>
        </w:tc>
      </w:tr>
      <w:tr>
        <w:trPr>
          <w:trHeight w:val="195"/>
        </w:trPr>
        <w:tc>
          <w:tcPr>
            <w:tcW w:w="5080" w:type="dxa"/>
            <w:vAlign w:val="bottom"/>
          </w:tcPr>
          <w:p>
            <w:pPr>
              <w:spacing w:after="0"/>
              <w:rPr>
                <w:sz w:val="16"/>
                <w:szCs w:val="16"/>
                <w:color w:val="auto"/>
              </w:rPr>
            </w:pP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Daniel E. Bachus</w:t>
            </w:r>
          </w:p>
        </w:tc>
      </w:tr>
      <w:tr>
        <w:trPr>
          <w:trHeight w:val="216"/>
        </w:trPr>
        <w:tc>
          <w:tcPr>
            <w:tcW w:w="50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0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776"/>
        </w:trPr>
        <w:tc>
          <w:tcPr>
            <w:tcW w:w="50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“Company”) for the quarter ended September 30, 2022 as filed with the Securities and Exchange Commission on the date hereof (the “Report”), I, Brian E. Mueller, Chief Executive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340" w:right="16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170"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0861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“Company”) for the quarter ended September 30, 2022 as filed with the Securities and Exchange Commission on the date hereof (the “Report”), I, Daniel E. Bachus, Chief Financial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340" w:right="16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170"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0861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lvl w:ilvl="1">
      <w:lvlJc w:val="left"/>
      <w:lvlText w:val="(%2)"/>
      <w:numFmt w:val="decimal"/>
      <w:start w:val="1"/>
    </w:lvl>
  </w:abstractNum>
  <w:abstractNum w:abstractNumId="3">
    <w:nsid w:val="4DB127F8"/>
    <w:multiLevelType w:val="hybridMultilevel"/>
    <w:lvl w:ilvl="0">
      <w:lvlJc w:val="left"/>
      <w:lvlText w:val="%1."/>
      <w:numFmt w:val="decimal"/>
      <w:start w:val="6"/>
    </w:lvl>
    <w:lvl w:ilvl="1">
      <w:lvlJc w:val="left"/>
      <w:lvlText w:val="%2"/>
      <w:numFmt w:val="decimal"/>
      <w:start w:val="1"/>
    </w:lvl>
  </w:abstractNum>
  <w:abstractNum w:abstractNumId="4">
    <w:nsid w:val="216231B"/>
    <w:multiLevelType w:val="hybridMultilevel"/>
    <w:lvl w:ilvl="0">
      <w:lvlJc w:val="left"/>
      <w:lvlText w:val="%1."/>
      <w:numFmt w:val="decimal"/>
      <w:start w:val="11"/>
    </w:lvl>
  </w:abstractNum>
  <w:abstractNum w:abstractNumId="5">
    <w:nsid w:val="1F16E9E8"/>
    <w:multiLevelType w:val="hybridMultilevel"/>
    <w:lvl w:ilvl="0">
      <w:lvlJc w:val="left"/>
      <w:lvlText w:val="(%1)"/>
      <w:numFmt w:val="lowerLetter"/>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lowerRoman"/>
      <w:start w:val="4"/>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49" Type="http://schemas.openxmlformats.org/officeDocument/2006/relationships/hyperlink" Target="http://www.sec.gov/Archives/edgar/data/1434588/000155837019000782/lope-20181231ex31395dfc9.htm" TargetMode="External"/><Relationship Id="rId50" Type="http://schemas.openxmlformats.org/officeDocument/2006/relationships/hyperlink" Target="http://www.sec.gov/Archives/edgar/data/1434588/000119312514387149/d812440dex31.htm" TargetMode="External"/><Relationship Id="rId51" Type="http://schemas.openxmlformats.org/officeDocument/2006/relationships/hyperlink" Target="http://www.sec.gov/Archives/edgar/data/1434588/000095015308001671/p75463a2exv4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2022-10-27T15:18:04Z</dcterms:created>
  <dcterms:modified xsi:type="dcterms:W3CDTF">2022-10-27T15:18:04Z</dcterms:modified>
</cp:coreProperties>
</file>