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333-161571</w:t>
      </w:r>
    </w:p>
    <w:p>
      <w:pPr>
        <w:spacing w:after="0" w:line="1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5"/>
          <w:szCs w:val="25"/>
          <w:color w:val="auto"/>
        </w:rPr>
        <w:t>6,000,000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97790</wp:posOffset>
            </wp:positionV>
            <wp:extent cx="83185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1850" cy="86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5"/>
          <w:szCs w:val="25"/>
          <w:color w:val="auto"/>
        </w:rPr>
        <w:t>Grand Canyon Education, Inc.</w:t>
      </w:r>
    </w:p>
    <w:p>
      <w:pPr>
        <w:spacing w:after="0" w:line="3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97155</wp:posOffset>
            </wp:positionV>
            <wp:extent cx="1637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63" w:lineRule="exact"/>
        <w:rPr>
          <w:sz w:val="20"/>
          <w:szCs w:val="20"/>
          <w:color w:val="auto"/>
        </w:rPr>
      </w:pPr>
    </w:p>
    <w:p>
      <w:pPr>
        <w:ind w:left="700" w:right="440" w:firstLine="397"/>
        <w:spacing w:after="0" w:line="266" w:lineRule="auto"/>
        <w:rPr>
          <w:sz w:val="20"/>
          <w:szCs w:val="20"/>
          <w:color w:val="auto"/>
        </w:rPr>
      </w:pPr>
      <w:r>
        <w:rPr>
          <w:rFonts w:ascii="Times New Roman" w:cs="Times New Roman" w:eastAsia="Times New Roman" w:hAnsi="Times New Roman"/>
          <w:sz w:val="18"/>
          <w:szCs w:val="18"/>
          <w:color w:val="auto"/>
        </w:rPr>
        <w:t>We are offering 1,000,000 shares of our common stock and the selling stockholders identified in this prospectus are offering 5,000,000 shares of our common stock. We will not receive any of the proceeds from the sale of the shares being sold by the selling stockholders.</w:t>
      </w:r>
    </w:p>
    <w:p>
      <w:pPr>
        <w:spacing w:after="0" w:line="82" w:lineRule="exact"/>
        <w:rPr>
          <w:sz w:val="20"/>
          <w:szCs w:val="20"/>
          <w:color w:val="auto"/>
        </w:rPr>
      </w:pPr>
    </w:p>
    <w:p>
      <w:pPr>
        <w:ind w:left="700" w:right="180" w:firstLine="397"/>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“LOPE.” The last reported sale price of our common stock on September 14, 2009 was $16.50 per share.</w:t>
      </w:r>
    </w:p>
    <w:p>
      <w:pPr>
        <w:spacing w:after="0" w:line="6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105410</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38"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5"/>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99,000,000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4,950,000</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15,675,000</w:t>
            </w: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stockholders</w:t>
            </w:r>
          </w:p>
        </w:tc>
        <w:tc>
          <w:tcPr>
            <w:tcW w:w="2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78,375,000</w:t>
            </w:r>
          </w:p>
        </w:tc>
      </w:tr>
    </w:tbl>
    <w:p>
      <w:pPr>
        <w:spacing w:after="0" w:line="103" w:lineRule="exact"/>
        <w:rPr>
          <w:sz w:val="20"/>
          <w:szCs w:val="20"/>
          <w:color w:val="auto"/>
        </w:rPr>
      </w:pPr>
    </w:p>
    <w:p>
      <w:pPr>
        <w:jc w:val="both"/>
        <w:ind w:left="700" w:right="60" w:firstLine="397"/>
        <w:spacing w:after="0" w:line="282" w:lineRule="auto"/>
        <w:rPr>
          <w:sz w:val="20"/>
          <w:szCs w:val="20"/>
          <w:color w:val="auto"/>
        </w:rPr>
      </w:pPr>
      <w:r>
        <w:rPr>
          <w:rFonts w:ascii="Times New Roman" w:cs="Times New Roman" w:eastAsia="Times New Roman" w:hAnsi="Times New Roman"/>
          <w:sz w:val="18"/>
          <w:szCs w:val="18"/>
          <w:color w:val="auto"/>
        </w:rPr>
        <w:t>The selling stockholders have granted the underwriters a 30-day option to purchase a maximum of 900,000 additional shares on the same terms and conditions as set forth above, to cover over-allotments of shares, if any.</w:t>
      </w:r>
    </w:p>
    <w:p>
      <w:pPr>
        <w:spacing w:after="0" w:line="67" w:lineRule="exact"/>
        <w:rPr>
          <w:sz w:val="20"/>
          <w:szCs w:val="20"/>
          <w:color w:val="auto"/>
        </w:rPr>
      </w:pPr>
    </w:p>
    <w:p>
      <w:pPr>
        <w:ind w:left="700" w:right="620" w:firstLine="397"/>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Delivery of the shares of common stock will be made on or about September 18,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102870</wp:posOffset>
            </wp:positionV>
            <wp:extent cx="16376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71" w:lineRule="exact"/>
        <w:rPr>
          <w:sz w:val="20"/>
          <w:szCs w:val="20"/>
          <w:color w:val="auto"/>
        </w:rPr>
      </w:pPr>
    </w:p>
    <w:tbl>
      <w:tblPr>
        <w:tblLayout w:type="fixed"/>
        <w:tblInd w:w="700" w:type="dxa"/>
        <w:tblCellMar>
          <w:top w:w="0" w:type="dxa"/>
          <w:left w:w="0" w:type="dxa"/>
          <w:bottom w:w="0" w:type="dxa"/>
          <w:right w:w="0" w:type="dxa"/>
        </w:tblCellMar>
      </w:tblPr>
      <w:tr>
        <w:trPr>
          <w:trHeight w:val="236"/>
        </w:trPr>
        <w:tc>
          <w:tcPr>
            <w:tcW w:w="2580" w:type="dxa"/>
            <w:vAlign w:val="bottom"/>
          </w:tcPr>
          <w:p>
            <w:pPr>
              <w:spacing w:after="0"/>
              <w:rPr>
                <w:sz w:val="20"/>
                <w:szCs w:val="20"/>
                <w:color w:val="auto"/>
              </w:rPr>
            </w:pPr>
          </w:p>
        </w:tc>
        <w:tc>
          <w:tcPr>
            <w:tcW w:w="4480" w:type="dxa"/>
            <w:vAlign w:val="bottom"/>
            <w:gridSpan w:val="2"/>
          </w:tcPr>
          <w:p>
            <w:pPr>
              <w:ind w:left="1260"/>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tc>
        <w:tc>
          <w:tcPr>
            <w:tcW w:w="2860" w:type="dxa"/>
            <w:vAlign w:val="bottom"/>
          </w:tcPr>
          <w:p>
            <w:pPr>
              <w:spacing w:after="0"/>
              <w:rPr>
                <w:sz w:val="20"/>
                <w:szCs w:val="20"/>
                <w:color w:val="auto"/>
              </w:rPr>
            </w:pPr>
          </w:p>
        </w:tc>
      </w:tr>
      <w:tr>
        <w:trPr>
          <w:trHeight w:val="449"/>
        </w:trPr>
        <w:tc>
          <w:tcPr>
            <w:tcW w:w="5360" w:type="dxa"/>
            <w:vAlign w:val="bottom"/>
            <w:gridSpan w:val="2"/>
          </w:tcPr>
          <w:p>
            <w:pPr>
              <w:spacing w:after="0"/>
              <w:rPr>
                <w:sz w:val="20"/>
                <w:szCs w:val="20"/>
                <w:color w:val="auto"/>
              </w:rPr>
            </w:pPr>
            <w:r>
              <w:rPr>
                <w:rFonts w:ascii="Times New Roman" w:cs="Times New Roman" w:eastAsia="Times New Roman" w:hAnsi="Times New Roman"/>
                <w:sz w:val="32"/>
                <w:szCs w:val="32"/>
                <w:b w:val="1"/>
                <w:bCs w:val="1"/>
                <w:color w:val="auto"/>
              </w:rPr>
              <w:t>Credit Suisse</w:t>
            </w:r>
          </w:p>
        </w:tc>
        <w:tc>
          <w:tcPr>
            <w:tcW w:w="170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BofA Merrill Lynch</w:t>
            </w:r>
          </w:p>
        </w:tc>
      </w:tr>
      <w:tr>
        <w:trPr>
          <w:trHeight w:val="118"/>
        </w:trPr>
        <w:tc>
          <w:tcPr>
            <w:tcW w:w="2580" w:type="dxa"/>
            <w:vAlign w:val="bottom"/>
            <w:tcBorders>
              <w:bottom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401"/>
        </w:trPr>
        <w:tc>
          <w:tcPr>
            <w:tcW w:w="5360" w:type="dxa"/>
            <w:vAlign w:val="bottom"/>
            <w:gridSpan w:val="2"/>
          </w:tcPr>
          <w:p>
            <w:pPr>
              <w:spacing w:after="0"/>
              <w:rPr>
                <w:sz w:val="20"/>
                <w:szCs w:val="20"/>
                <w:color w:val="auto"/>
              </w:rPr>
            </w:pPr>
            <w:r>
              <w:rPr>
                <w:rFonts w:ascii="Times New Roman" w:cs="Times New Roman" w:eastAsia="Times New Roman" w:hAnsi="Times New Roman"/>
                <w:sz w:val="23"/>
                <w:szCs w:val="23"/>
                <w:b w:val="1"/>
                <w:bCs w:val="1"/>
                <w:color w:val="auto"/>
              </w:rPr>
              <w:t>BMO Capital Markets  William Blair &amp; Company</w:t>
            </w:r>
          </w:p>
        </w:tc>
        <w:tc>
          <w:tcPr>
            <w:tcW w:w="1700" w:type="dxa"/>
            <w:vAlign w:val="bottom"/>
          </w:tcPr>
          <w:p>
            <w:pPr>
              <w:ind w:left="260"/>
              <w:spacing w:after="0"/>
              <w:rPr>
                <w:sz w:val="20"/>
                <w:szCs w:val="20"/>
                <w:color w:val="auto"/>
              </w:rPr>
            </w:pPr>
            <w:r>
              <w:rPr>
                <w:rFonts w:ascii="Times New Roman" w:cs="Times New Roman" w:eastAsia="Times New Roman" w:hAnsi="Times New Roman"/>
                <w:sz w:val="23"/>
                <w:szCs w:val="23"/>
                <w:b w:val="1"/>
                <w:bCs w:val="1"/>
                <w:color w:val="auto"/>
              </w:rPr>
              <w:t>Piper Jaffray</w:t>
            </w:r>
          </w:p>
        </w:tc>
        <w:tc>
          <w:tcPr>
            <w:tcW w:w="2860" w:type="dxa"/>
            <w:vAlign w:val="bottom"/>
          </w:tcPr>
          <w:p>
            <w:pPr>
              <w:jc w:val="right"/>
              <w:spacing w:after="0"/>
              <w:rPr>
                <w:sz w:val="20"/>
                <w:szCs w:val="20"/>
                <w:color w:val="auto"/>
              </w:rPr>
            </w:pPr>
            <w:r>
              <w:rPr>
                <w:rFonts w:ascii="Times New Roman" w:cs="Times New Roman" w:eastAsia="Times New Roman" w:hAnsi="Times New Roman"/>
                <w:sz w:val="23"/>
                <w:szCs w:val="23"/>
                <w:b w:val="1"/>
                <w:bCs w:val="1"/>
                <w:color w:val="auto"/>
              </w:rPr>
              <w:t>Barrington Research</w:t>
            </w:r>
          </w:p>
        </w:tc>
      </w:tr>
      <w:tr>
        <w:trPr>
          <w:trHeight w:val="146"/>
        </w:trPr>
        <w:tc>
          <w:tcPr>
            <w:tcW w:w="2580" w:type="dxa"/>
            <w:vAlign w:val="bottom"/>
            <w:tcBorders>
              <w:bottom w:val="single" w:sz="8" w:color="auto"/>
            </w:tcBorders>
          </w:tcPr>
          <w:p>
            <w:pPr>
              <w:spacing w:after="0"/>
              <w:rPr>
                <w:sz w:val="12"/>
                <w:szCs w:val="12"/>
                <w:color w:val="auto"/>
              </w:rPr>
            </w:pPr>
          </w:p>
        </w:tc>
        <w:tc>
          <w:tcPr>
            <w:tcW w:w="2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60" w:type="dxa"/>
            <w:vAlign w:val="bottom"/>
          </w:tcPr>
          <w:p>
            <w:pPr>
              <w:spacing w:after="0"/>
              <w:rPr>
                <w:sz w:val="12"/>
                <w:szCs w:val="12"/>
                <w:color w:val="auto"/>
              </w:rPr>
            </w:pPr>
          </w:p>
        </w:tc>
      </w:tr>
    </w:tbl>
    <w:p>
      <w:pPr>
        <w:spacing w:after="0" w:line="23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The date of this prospectus is September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18" w:right="10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20" w:type="dxa"/>
            <w:vAlign w:val="bottom"/>
          </w:tcPr>
          <w:p>
            <w:pPr>
              <w:spacing w:after="0"/>
              <w:rPr>
                <w:sz w:val="20"/>
                <w:szCs w:val="20"/>
                <w:color w:val="auto"/>
              </w:rPr>
            </w:pPr>
          </w:p>
        </w:tc>
      </w:tr>
      <w:tr>
        <w:trPr>
          <w:trHeight w:val="409"/>
        </w:trPr>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0"/>
        </w:trPr>
        <w:tc>
          <w:tcPr>
            <w:tcW w:w="15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Prospectus Summary</w:t>
              </w:r>
            </w:hyperlink>
          </w:p>
        </w:tc>
        <w:tc>
          <w:tcPr>
            <w:tcW w:w="6180" w:type="dxa"/>
            <w:vAlign w:val="bottom"/>
            <w:gridSpan w:val="11"/>
          </w:tcPr>
          <w:p>
            <w:pPr>
              <w:spacing w:after="0"/>
              <w:rPr>
                <w:sz w:val="20"/>
                <w:szCs w:val="20"/>
                <w:color w:val="auto"/>
              </w:rPr>
            </w:pPr>
          </w:p>
        </w:tc>
        <w:tc>
          <w:tcPr>
            <w:tcW w:w="21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Risk Factors</w:t>
              </w:r>
            </w:hyperlink>
          </w:p>
        </w:tc>
        <w:tc>
          <w:tcPr>
            <w:tcW w:w="6800" w:type="dxa"/>
            <w:vAlign w:val="bottom"/>
            <w:gridSpan w:val="17"/>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Forward-Looking Statements</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21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Use of Proceeds</w:t>
              </w:r>
            </w:hyperlink>
          </w:p>
        </w:tc>
        <w:tc>
          <w:tcPr>
            <w:tcW w:w="5600" w:type="dxa"/>
            <w:vAlign w:val="bottom"/>
            <w:gridSpan w:val="9"/>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42">
              <w:r>
                <w:rPr>
                  <w:rFonts w:ascii="Times New Roman" w:cs="Times New Roman" w:eastAsia="Times New Roman" w:hAnsi="Times New Roman"/>
                  <w:sz w:val="18"/>
                  <w:szCs w:val="18"/>
                  <w:color w:val="0000EE"/>
                  <w:w w:val="99"/>
                </w:rPr>
                <w:t>Price Range of Common Stock</w:t>
              </w:r>
            </w:hyperlink>
          </w:p>
        </w:tc>
        <w:tc>
          <w:tcPr>
            <w:tcW w:w="5460" w:type="dxa"/>
            <w:vAlign w:val="bottom"/>
            <w:gridSpan w:val="7"/>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Dividend Policy</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0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Capitalization</w:t>
              </w:r>
            </w:hyperlink>
          </w:p>
        </w:tc>
        <w:tc>
          <w:tcPr>
            <w:tcW w:w="140" w:type="dxa"/>
            <w:vAlign w:val="bottom"/>
            <w:tcBorders>
              <w:top w:val="single" w:sz="8" w:color="0000EE"/>
            </w:tcBorders>
          </w:tcPr>
          <w:p>
            <w:pPr>
              <w:spacing w:after="0"/>
              <w:rPr>
                <w:sz w:val="17"/>
                <w:szCs w:val="17"/>
                <w:color w:val="auto"/>
              </w:rPr>
            </w:pPr>
          </w:p>
        </w:tc>
        <w:tc>
          <w:tcPr>
            <w:tcW w:w="6540" w:type="dxa"/>
            <w:vAlign w:val="bottom"/>
            <w:gridSpan w:val="13"/>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Regulation</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Certain Relationships and Related Transactions</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60</w:t>
            </w:r>
          </w:p>
        </w:tc>
      </w:tr>
      <w:tr>
        <w:trPr>
          <w:trHeight w:val="196"/>
        </w:trPr>
        <w:tc>
          <w:tcPr>
            <w:tcW w:w="29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Beneficial Ownership of Common Stock</w:t>
              </w:r>
            </w:hyperlink>
          </w:p>
        </w:tc>
        <w:tc>
          <w:tcPr>
            <w:tcW w:w="460" w:type="dxa"/>
            <w:vAlign w:val="bottom"/>
            <w:tcBorders>
              <w:top w:val="single" w:sz="8" w:color="0000EE"/>
            </w:tcBorders>
            <w:gridSpan w:val="2"/>
          </w:tcPr>
          <w:p>
            <w:pPr>
              <w:spacing w:after="0"/>
              <w:rPr>
                <w:sz w:val="17"/>
                <w:szCs w:val="17"/>
                <w:color w:val="auto"/>
              </w:rPr>
            </w:pPr>
          </w:p>
        </w:tc>
        <w:tc>
          <w:tcPr>
            <w:tcW w:w="4300" w:type="dxa"/>
            <w:vAlign w:val="bottom"/>
            <w:gridSpan w:val="2"/>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Selling Stockholders</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Description of Capital Stock</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Material U.S. Federal Income and Estate Tax Considerations for Non-U.S. Holders</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59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Underwriting</w:t>
              </w:r>
            </w:hyperlink>
          </w:p>
        </w:tc>
        <w:tc>
          <w:tcPr>
            <w:tcW w:w="1740" w:type="dxa"/>
            <w:vAlign w:val="bottom"/>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Notice to European Economic Area Residents</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33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Notice to United Kingdom Residents</w:t>
              </w:r>
            </w:hyperlink>
          </w:p>
        </w:tc>
        <w:tc>
          <w:tcPr>
            <w:tcW w:w="4400" w:type="dxa"/>
            <w:vAlign w:val="bottom"/>
            <w:gridSpan w:val="3"/>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196"/>
        </w:trPr>
        <w:tc>
          <w:tcPr>
            <w:tcW w:w="26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Notice to Canadian Residents</w:t>
              </w:r>
            </w:hyperlink>
          </w:p>
        </w:tc>
        <w:tc>
          <w:tcPr>
            <w:tcW w:w="5040" w:type="dxa"/>
            <w:vAlign w:val="bottom"/>
            <w:gridSpan w:val="6"/>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0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85">
              <w:r>
                <w:rPr>
                  <w:rFonts w:ascii="Times New Roman" w:cs="Times New Roman" w:eastAsia="Times New Roman" w:hAnsi="Times New Roman"/>
                  <w:sz w:val="18"/>
                  <w:szCs w:val="18"/>
                  <w:color w:val="0000EE"/>
                  <w:w w:val="97"/>
                </w:rPr>
                <w:t>Legal Matters</w:t>
              </w:r>
            </w:hyperlink>
          </w:p>
        </w:tc>
        <w:tc>
          <w:tcPr>
            <w:tcW w:w="1120" w:type="dxa"/>
            <w:vAlign w:val="bottom"/>
            <w:tcBorders>
              <w:top w:val="single" w:sz="8" w:color="0000EE"/>
            </w:tcBorders>
            <w:gridSpan w:val="7"/>
          </w:tcPr>
          <w:p>
            <w:pPr>
              <w:spacing w:after="0"/>
              <w:rPr>
                <w:sz w:val="17"/>
                <w:szCs w:val="17"/>
                <w:color w:val="auto"/>
              </w:rPr>
            </w:pPr>
          </w:p>
        </w:tc>
        <w:tc>
          <w:tcPr>
            <w:tcW w:w="5580" w:type="dxa"/>
            <w:vAlign w:val="bottom"/>
            <w:gridSpan w:val="8"/>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7700" w:type="dxa"/>
            <w:vAlign w:val="bottom"/>
            <w:gridSpan w:val="20"/>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Experts</w:t>
              </w:r>
            </w:hyperlink>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85">
              <w:r>
                <w:rPr>
                  <w:rFonts w:ascii="Times New Roman" w:cs="Times New Roman" w:eastAsia="Times New Roman" w:hAnsi="Times New Roman"/>
                  <w:sz w:val="18"/>
                  <w:szCs w:val="18"/>
                  <w:color w:val="0000EE"/>
                  <w:w w:val="98"/>
                </w:rPr>
                <w:t>Where You Can Find More Information</w:t>
              </w:r>
            </w:hyperlink>
          </w:p>
        </w:tc>
        <w:tc>
          <w:tcPr>
            <w:tcW w:w="4840" w:type="dxa"/>
            <w:vAlign w:val="bottom"/>
            <w:gridSpan w:val="5"/>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82</w:t>
            </w:r>
          </w:p>
        </w:tc>
      </w:tr>
      <w:tr>
        <w:trPr>
          <w:trHeight w:val="196"/>
        </w:trPr>
        <w:tc>
          <w:tcPr>
            <w:tcW w:w="20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Incorporation by Reference</w:t>
              </w:r>
            </w:hyperlink>
          </w:p>
        </w:tc>
        <w:tc>
          <w:tcPr>
            <w:tcW w:w="5660" w:type="dxa"/>
            <w:vAlign w:val="bottom"/>
            <w:gridSpan w:val="10"/>
          </w:tcPr>
          <w:p>
            <w:pPr>
              <w:spacing w:after="0"/>
              <w:rPr>
                <w:sz w:val="17"/>
                <w:szCs w:val="17"/>
                <w:color w:val="auto"/>
              </w:rPr>
            </w:pPr>
          </w:p>
        </w:tc>
        <w:tc>
          <w:tcPr>
            <w:tcW w:w="2120" w:type="dxa"/>
            <w:vAlign w:val="bottom"/>
          </w:tcPr>
          <w:p>
            <w:pPr>
              <w:jc w:val="right"/>
              <w:ind w:right="111"/>
              <w:spacing w:after="0" w:line="196" w:lineRule="exact"/>
              <w:rPr>
                <w:sz w:val="20"/>
                <w:szCs w:val="20"/>
                <w:color w:val="auto"/>
              </w:rPr>
            </w:pPr>
            <w:r>
              <w:rPr>
                <w:rFonts w:ascii="Times New Roman" w:cs="Times New Roman" w:eastAsia="Times New Roman" w:hAnsi="Times New Roman"/>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6043930</wp:posOffset>
            </wp:positionH>
            <wp:positionV relativeFrom="paragraph">
              <wp:posOffset>-2906395</wp:posOffset>
            </wp:positionV>
            <wp:extent cx="8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31" w:lineRule="exact"/>
        <w:rPr>
          <w:sz w:val="20"/>
          <w:szCs w:val="20"/>
          <w:color w:val="auto"/>
        </w:rPr>
      </w:pPr>
    </w:p>
    <w:p>
      <w:pPr>
        <w:ind w:firstLine="397"/>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or in any free-writing prospectus that we specifically authorize to be delivered or made available to you. We have not, the selling stockholders have not, and the underwriters have not authorized anyone to provide you with additional or different information. We and the selling stockholders are offering to sell, and seeking offers to buy, shares of common stock only in jurisdictions where offers and sales are permitted. You should assume that the information contained in, or incorporated by reference in, this prospectus or in any free-writing prospectus that we specifically authorize to be delivered or made available to you is accurate only as of the date of this prospectus, regardless of its time of delivery or of any sale of shares of our common stock. Our business, financial condition, results of operations and prospects may have changed since that date.</w:t>
      </w:r>
    </w:p>
    <w:p>
      <w:pPr>
        <w:spacing w:after="0" w:line="91" w:lineRule="exact"/>
        <w:rPr>
          <w:sz w:val="20"/>
          <w:szCs w:val="20"/>
          <w:color w:val="auto"/>
        </w:rPr>
      </w:pPr>
    </w:p>
    <w:p>
      <w:pPr>
        <w:ind w:right="100" w:firstLine="397"/>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the selling stockholders have not and the underwriters have not done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126365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68" w:right="1079" w:bottom="1440" w:gutter="0" w:footer="0" w:header="0"/>
        </w:sectPr>
      </w:pPr>
    </w:p>
    <w:bookmarkStart w:id="3" w:name="page4"/>
    <w:bookmarkEnd w:id="3"/>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213360</wp:posOffset>
            </wp:positionV>
            <wp:extent cx="6598920" cy="7705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20"/>
          </w:cols>
          <w:pgMar w:left="240" w:top="41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33" w:lineRule="exact"/>
        <w:rPr>
          <w:sz w:val="20"/>
          <w:szCs w:val="20"/>
          <w:color w:val="auto"/>
        </w:rPr>
      </w:pPr>
    </w:p>
    <w:p>
      <w:pPr>
        <w:ind w:left="920" w:right="4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or incorporated by reference into this prospectus. This summary sets forth the material terms of the offering, but does not contain all of the information that you should consider before investing in our common stock. You should read the entire prospectus and the documents that are incorporated by reference into this prospectus carefully before making an investment decision, especially the risks of investing in our common stock described under “Risk Factors.” Unless the context otherwise requires, the terms “we,” “us,” “our,” “Grand Canyon,” and “Grand Canyon Education” refer to Grand Canyon Education, Inc. and our predecessor as the context requires, and references to “Grand Canyon University” refer to the postsecondary education institution operated by Grand Canyon Education, Inc.</w:t>
      </w:r>
    </w:p>
    <w:p>
      <w:pPr>
        <w:spacing w:after="0" w:line="1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ind w:left="920" w:right="40" w:firstLine="397"/>
        <w:spacing w:after="0" w:line="254" w:lineRule="auto"/>
        <w:rPr>
          <w:sz w:val="20"/>
          <w:szCs w:val="20"/>
          <w:color w:val="auto"/>
        </w:rPr>
      </w:pPr>
      <w:r>
        <w:rPr>
          <w:rFonts w:ascii="Times New Roman" w:cs="Times New Roman" w:eastAsia="Times New Roman" w:hAnsi="Times New Roman"/>
          <w:sz w:val="18"/>
          <w:szCs w:val="18"/>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We are committed to providing an academically rigorous educational experience with a focus on career-oriented programs that meet the objectives of our students. We utilize an integrated, innovative approach to marketing, recruiting, and retaining students, which has enabled us to increase enrollment from approximately 3,000 students at the end of 2003 to approximately 27,600 students at June 30, 2009, representing a compound annual growth rate of approximately 50% over that period and an increase of 67% over the approximately 16,500 students we had at June 30, 2008. At December 31, 2008, 89.1% of our students were enrolled in our online programs, and 52.9% of our students were pursuing master’s or doctoral degrees.</w:t>
      </w:r>
    </w:p>
    <w:p>
      <w:pPr>
        <w:spacing w:after="0" w:line="95" w:lineRule="exact"/>
        <w:rPr>
          <w:sz w:val="20"/>
          <w:szCs w:val="20"/>
          <w:color w:val="auto"/>
        </w:rPr>
      </w:pPr>
    </w:p>
    <w:p>
      <w:pPr>
        <w:ind w:left="920" w:right="80" w:firstLine="397"/>
        <w:spacing w:after="0" w:line="258" w:lineRule="auto"/>
        <w:rPr>
          <w:sz w:val="20"/>
          <w:szCs w:val="20"/>
          <w:color w:val="auto"/>
        </w:rPr>
      </w:pPr>
      <w:r>
        <w:rPr>
          <w:rFonts w:ascii="Times New Roman" w:cs="Times New Roman" w:eastAsia="Times New Roman" w:hAnsi="Times New Roman"/>
          <w:sz w:val="18"/>
          <w:szCs w:val="18"/>
          <w:color w:val="auto"/>
        </w:rPr>
        <w:t>Our three core disciplines of education, business, and healthcare represent large markets with attractive employment opportunities. According to a March 2009 report from the U.S. Department of Education, National Center for Education Statistics, or NCES, these disciplines ranked as three of the four most popular fields of postsecondary education, based on degrees conferred in the 2006-07 school year. The U.S. Department of Labor, Bureau of Labor Statistics, or BLS, estimated in its 2008-09 Career Guide that these fields comprised over 40 million jobs in 2006, many of which require postsecondary education credentials.</w:t>
      </w:r>
    </w:p>
    <w:p>
      <w:pPr>
        <w:spacing w:after="0" w:line="89" w:lineRule="exact"/>
        <w:rPr>
          <w:sz w:val="20"/>
          <w:szCs w:val="20"/>
          <w:color w:val="auto"/>
        </w:rPr>
      </w:pPr>
    </w:p>
    <w:p>
      <w:pPr>
        <w:ind w:left="920" w:right="20" w:firstLine="397"/>
        <w:spacing w:after="0" w:line="256" w:lineRule="auto"/>
        <w:rPr>
          <w:sz w:val="20"/>
          <w:szCs w:val="20"/>
          <w:color w:val="auto"/>
        </w:rPr>
      </w:pPr>
      <w:r>
        <w:rPr>
          <w:rFonts w:ascii="Times New Roman" w:cs="Times New Roman" w:eastAsia="Times New Roman" w:hAnsi="Times New Roman"/>
          <w:sz w:val="18"/>
          <w:szCs w:val="18"/>
          <w:color w:val="auto"/>
        </w:rPr>
        <w:t>We primarily focus on recruiting and educating working adults, whom we define as students age 25 or older who are pursuing a degree while employed. As of June 30, 2009, approximately 90% of our online students were age 25 or older. We believe that working adults are attracted to the convenience and flexibility of our online programs because they can study and interact with faculty and classmates during times that suit their schedules. We also believe that working adults represent an attractive student population because they are better able to finance their education, more readily recognize the benefits of a postsecondary degree, and have higher persistence and completion rates than students generally.</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We have experienced significant growth in enrollment, net revenue, and operating income over the last several years. Our</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enrollment at December 31, 2008 was approximately 24,600, representing an increase of approximately 67% over our enrollment at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December 31, 2007. Our net revenue and operating income for the year ended December 31, 2008 were $161.3 million and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$12.8 million, respectively, representing increases of 62.4% and 194.5%, respectively, over the year ended December 31, 2007. Our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enrollment at June 30, 2009 was approximately 27,600, representing an increase of approximately 67% over our enrollment at June 30,</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2008. Our net revenue and operating income for the six months ended June 30, 2009 were $118.4 million and $22.0 million, respectively,</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representing increases of 68.4% and 248.0%, respectively, over the six months ended June 30, 2008. We seek to achieve continued</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growth in a manner that reinforces our reputation for providing academically rigorous, career-oriented educational programs that advance</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careers of our students.</w:t>
      </w:r>
    </w:p>
    <w:p>
      <w:pPr>
        <w:sectPr>
          <w:pgSz w:w="11900" w:h="16838" w:orient="portrait"/>
          <w:cols w:equalWidth="0" w:num="1">
            <w:col w:w="10820"/>
          </w:cols>
          <w:pgMar w:left="240" w:top="415"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5" w:right="8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firstLine="397"/>
        <w:spacing w:after="0" w:line="256" w:lineRule="auto"/>
        <w:rPr>
          <w:sz w:val="20"/>
          <w:szCs w:val="20"/>
          <w:color w:val="auto"/>
        </w:rPr>
      </w:pPr>
      <w:r>
        <w:rPr>
          <w:rFonts w:ascii="Times New Roman" w:cs="Times New Roman" w:eastAsia="Times New Roman" w:hAnsi="Times New Roman"/>
          <w:sz w:val="18"/>
          <w:szCs w:val="18"/>
          <w:color w:val="auto"/>
        </w:rPr>
        <w:t>We have been regionally accredited by the Higher Learning Commission of the North Central Association of Colleges and Schools, or the Higher Learning Commission, and its predecessor since 1968, and we were reaccredited by the Higher Learning Commission in 2007 for the maximum term of ten years. In addition, we have specialized accreditations for certain programs from the Association of Collegiate Business Schools and Programs, the Commission on Collegiate Nursing Education, and the Commission on Accreditation of Athletic Training Education. We believe that our regional accreditation, together with these specialized accreditations, reflect the quality of our programs, enhance their marketability, and improve the employability of our graduates.</w:t>
      </w:r>
    </w:p>
    <w:p>
      <w:pPr>
        <w:spacing w:after="0" w:line="93" w:lineRule="exact"/>
        <w:rPr>
          <w:sz w:val="20"/>
          <w:szCs w:val="20"/>
          <w:color w:val="auto"/>
        </w:rPr>
      </w:pPr>
    </w:p>
    <w:p>
      <w:pPr>
        <w:ind w:left="920" w:firstLine="397"/>
        <w:spacing w:after="0" w:line="255" w:lineRule="auto"/>
        <w:rPr>
          <w:sz w:val="20"/>
          <w:szCs w:val="20"/>
          <w:color w:val="auto"/>
        </w:rPr>
      </w:pPr>
      <w:r>
        <w:rPr>
          <w:rFonts w:ascii="Times New Roman" w:cs="Times New Roman" w:eastAsia="Times New Roman" w:hAnsi="Times New Roman"/>
          <w:sz w:val="18"/>
          <w:szCs w:val="18"/>
          <w:color w:val="auto"/>
        </w:rPr>
        <w:t>We were founded as Grand Canyon College, a traditional, private, non-profit college, in 1949 and moved to our existing campus in Phoenix, Arizona in 1951. In February 2004, several of our current stockholders acquired Grand Canyon University and converted it to a for-profit institution. Since then, we have enhanced our senior management team, expanded our online platform and programs, and initiated an infrastructure and technology improvement plan and a marketing and branding effort to further differentiate us in the markets in which we operate and support our continued growth. We have also maintained our non-denominational Christian identity, with many of our ground programs including Christian study requirements and our online programs including ethics requirements and electives in religion.</w:t>
      </w:r>
    </w:p>
    <w:p>
      <w:pPr>
        <w:spacing w:after="0" w:line="1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135" w:lineRule="exact"/>
        <w:rPr>
          <w:sz w:val="20"/>
          <w:szCs w:val="20"/>
          <w:color w:val="auto"/>
        </w:rPr>
      </w:pPr>
    </w:p>
    <w:p>
      <w:pPr>
        <w:ind w:left="920" w:firstLine="397"/>
        <w:spacing w:after="0" w:line="254" w:lineRule="auto"/>
        <w:rPr>
          <w:sz w:val="20"/>
          <w:szCs w:val="20"/>
          <w:color w:val="auto"/>
        </w:rPr>
      </w:pPr>
      <w:r>
        <w:rPr>
          <w:rFonts w:ascii="Times New Roman" w:cs="Times New Roman" w:eastAsia="Times New Roman" w:hAnsi="Times New Roman"/>
          <w:sz w:val="18"/>
          <w:szCs w:val="18"/>
          <w:color w:val="auto"/>
        </w:rPr>
        <w:t>The United States market for postsecondary education represents a large and growing opportunity. According to the March 2009 NCES report, total revenue for all degree-granting postsecondary institutions was over $411 billion for the 2005-06 school year. In addition, according to a March 2009 NCES report, approximately 18.2 million students were projected to be enrolled in postsecondary institutions in 2008 and the number was projected to grow to 20.1 million by 2017. We believe that future growth in this market will be driven, in part, by the increasing number of job openings in occupations that require bachelor’s or master’s degrees, which a November 2007 report based on BLS data has projected will grow approximately 17% and 19%, respectively, between 2006 and 2016, or nearly double the growth rate the BLS projected for occupations that do not require postsecondary degrees. Moreover, according to U.S. Census Bureau data, individuals with a postsecondary degree are able to obtain a significant compensation premium relative to individuals without a degree.</w:t>
      </w:r>
    </w:p>
    <w:p>
      <w:pPr>
        <w:spacing w:after="0" w:line="95" w:lineRule="exact"/>
        <w:rPr>
          <w:sz w:val="20"/>
          <w:szCs w:val="20"/>
          <w:color w:val="auto"/>
        </w:rPr>
      </w:pPr>
    </w:p>
    <w:p>
      <w:pPr>
        <w:ind w:left="920" w:right="60" w:firstLine="397"/>
        <w:spacing w:after="0" w:line="254" w:lineRule="auto"/>
        <w:rPr>
          <w:sz w:val="20"/>
          <w:szCs w:val="20"/>
          <w:color w:val="auto"/>
        </w:rPr>
      </w:pPr>
      <w:r>
        <w:rPr>
          <w:rFonts w:ascii="Times New Roman" w:cs="Times New Roman" w:eastAsia="Times New Roman" w:hAnsi="Times New Roman"/>
          <w:sz w:val="18"/>
          <w:szCs w:val="18"/>
          <w:color w:val="auto"/>
        </w:rPr>
        <w:t>The market for online postsecondary education has grown more rapidly than the overall postsecondary market. A 2008 study by Eduventures, LLC, an education consulting and research firm, projected that from 2002 to 2008 enrollment in online postsecondary programs increased from approximately 0.4 million to approximately 1.9 million, representing a compound annual growth rate of approximately 28.6%. In comparison, in March 2009 the NCES projected a compound annual growth rate of 1.5% in enrollment in postsecondary programs overall during the same period. We believe this growth has been driven by a number of factors, including the greater convenience and flexibility of online programs as compared to ground-based programs and the increased acceptance of online programs among academics and employers. According to a 2006 survey by the Sloan Consortium, a trade group focused on online education, 79.1% of chief academic officers surveyed at institutions with 15,000 or more students, most of which offer online programs, and 61.9% of all chief academic officers surveyed, believe that online learning outcomes are equal or superior to traditional face-to-face instruction.</w:t>
      </w:r>
    </w:p>
    <w:p>
      <w:pPr>
        <w:spacing w:after="0" w:line="1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We believe we have the following competitive strengths:</w:t>
      </w:r>
    </w:p>
    <w:p>
      <w:pPr>
        <w:spacing w:after="0" w:line="129" w:lineRule="exact"/>
        <w:rPr>
          <w:sz w:val="20"/>
          <w:szCs w:val="20"/>
          <w:color w:val="auto"/>
        </w:rPr>
      </w:pPr>
    </w:p>
    <w:p>
      <w:pPr>
        <w:ind w:left="920" w:right="26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Established presence in targeted, high demand disciplines. </w:t>
      </w:r>
      <w:r>
        <w:rPr>
          <w:rFonts w:ascii="Times New Roman" w:cs="Times New Roman" w:eastAsia="Times New Roman" w:hAnsi="Times New Roman"/>
          <w:sz w:val="18"/>
          <w:szCs w:val="18"/>
          <w:color w:val="auto"/>
        </w:rPr>
        <w:t>We have an established presence within our three core disciplines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 business, and healthcare. We believe our focused approach enables us to</w:t>
      </w:r>
    </w:p>
    <w:p>
      <w:pPr>
        <w:sectPr>
          <w:pgSz w:w="11900" w:h="16838" w:orient="portrait"/>
          <w:cols w:equalWidth="0" w:num="1">
            <w:col w:w="10800"/>
          </w:cols>
          <w:pgMar w:left="240" w:top="415"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80"/>
        <w:spacing w:after="0" w:line="282" w:lineRule="auto"/>
        <w:rPr>
          <w:sz w:val="20"/>
          <w:szCs w:val="20"/>
          <w:color w:val="auto"/>
        </w:rPr>
      </w:pPr>
      <w:r>
        <w:rPr>
          <w:rFonts w:ascii="Times New Roman" w:cs="Times New Roman" w:eastAsia="Times New Roman" w:hAnsi="Times New Roman"/>
          <w:sz w:val="18"/>
          <w:szCs w:val="18"/>
          <w:color w:val="auto"/>
        </w:rPr>
        <w:t>develop our academic reputation and brand identity within our core disciplines, recruit and retain quality faculty and staff members, and meet the educational and career objectives of our students.</w:t>
      </w:r>
    </w:p>
    <w:p>
      <w:pPr>
        <w:spacing w:after="0" w:line="65" w:lineRule="exact"/>
        <w:rPr>
          <w:sz w:val="20"/>
          <w:szCs w:val="20"/>
          <w:color w:val="auto"/>
        </w:rPr>
      </w:pPr>
    </w:p>
    <w:p>
      <w:pPr>
        <w:ind w:left="92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Focus on graduate degrees for working adults. </w:t>
      </w:r>
      <w:r>
        <w:rPr>
          <w:rFonts w:ascii="Times New Roman" w:cs="Times New Roman" w:eastAsia="Times New Roman" w:hAnsi="Times New Roman"/>
          <w:sz w:val="18"/>
          <w:szCs w:val="18"/>
          <w:color w:val="auto"/>
        </w:rPr>
        <w:t>We have designed our program offerings and our online delivery platform to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needs of working adults, particularly those seeking graduate degrees to obtain pay increases or job promotions that are directly tied to higher educational attainment.</w:t>
      </w:r>
    </w:p>
    <w:p>
      <w:pPr>
        <w:spacing w:after="0" w:line="79" w:lineRule="exact"/>
        <w:rPr>
          <w:sz w:val="20"/>
          <w:szCs w:val="20"/>
          <w:color w:val="auto"/>
        </w:rPr>
      </w:pPr>
    </w:p>
    <w:p>
      <w:pPr>
        <w:ind w:left="920" w:right="1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Campus-based tradition that complements online capabilities. </w:t>
      </w:r>
      <w:r>
        <w:rPr>
          <w:rFonts w:ascii="Times New Roman" w:cs="Times New Roman" w:eastAsia="Times New Roman" w:hAnsi="Times New Roman"/>
          <w:sz w:val="18"/>
          <w:szCs w:val="18"/>
          <w:color w:val="auto"/>
        </w:rPr>
        <w:t>We believe that our 60-year heritage as a traditional campus-based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university complements our online capabilities, attracts students who seek to affiliate with a traditional university, enhances the reputation of our degree programs among prospective students and employers, and differentiates us in the for-profit postsecondary market.</w:t>
      </w:r>
    </w:p>
    <w:p>
      <w:pPr>
        <w:spacing w:after="0" w:line="86" w:lineRule="exact"/>
        <w:rPr>
          <w:sz w:val="20"/>
          <w:szCs w:val="20"/>
          <w:color w:val="auto"/>
        </w:rPr>
      </w:pPr>
    </w:p>
    <w:p>
      <w:pPr>
        <w:ind w:left="920" w:right="2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 to offering academically rigorous, career-oriented programs. </w:t>
      </w:r>
      <w:r>
        <w:rPr>
          <w:rFonts w:ascii="Times New Roman" w:cs="Times New Roman" w:eastAsia="Times New Roman" w:hAnsi="Times New Roman"/>
          <w:sz w:val="18"/>
          <w:szCs w:val="18"/>
          <w:color w:val="auto"/>
        </w:rPr>
        <w:t>We are committed to offering academically rigorous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educational programs that are designed to help our students achieve their career objectives. Our programs are taught by qualified faculty, substantially all of whom hold at least a master’s degree and often have practical experience in their respective fields.</w:t>
      </w:r>
    </w:p>
    <w:p>
      <w:pPr>
        <w:spacing w:after="0" w:line="79" w:lineRule="exact"/>
        <w:rPr>
          <w:sz w:val="20"/>
          <w:szCs w:val="20"/>
          <w:color w:val="auto"/>
        </w:rPr>
      </w:pPr>
    </w:p>
    <w:p>
      <w:pPr>
        <w:ind w:left="920" w:right="40" w:firstLine="397"/>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Innovative marketing, recruiting, and retention strategy. </w:t>
      </w:r>
      <w:r>
        <w:rPr>
          <w:rFonts w:ascii="Times New Roman" w:cs="Times New Roman" w:eastAsia="Times New Roman" w:hAnsi="Times New Roman"/>
          <w:sz w:val="17"/>
          <w:szCs w:val="17"/>
          <w:color w:val="auto"/>
        </w:rPr>
        <w:t>We have developed an integrated, innovative approach to student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recruitment, and retention to reach our targeted students. We also proactively provide support to students at key points during their consideration of, and enrollment at, Grand Canyon University to enhance the probability of student enrollment and retention.</w:t>
      </w:r>
    </w:p>
    <w:p>
      <w:pPr>
        <w:spacing w:after="0" w:line="61" w:lineRule="exact"/>
        <w:rPr>
          <w:sz w:val="20"/>
          <w:szCs w:val="20"/>
          <w:color w:val="auto"/>
        </w:rPr>
      </w:pPr>
    </w:p>
    <w:p>
      <w:pPr>
        <w:ind w:left="9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Experienced executive management team with strong operating track-record. </w:t>
      </w:r>
      <w:r>
        <w:rPr>
          <w:rFonts w:ascii="Times New Roman" w:cs="Times New Roman" w:eastAsia="Times New Roman" w:hAnsi="Times New Roman"/>
          <w:sz w:val="18"/>
          <w:szCs w:val="18"/>
          <w:color w:val="auto"/>
        </w:rPr>
        <w:t>Our executive management team possesses extensive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in the management and operation of publicly-traded for-profit, postsecondary education companies, as well as other educational services businesses, including in the areas of marketing to, recruiting, and retaining students pursuing online and other distance education degree offerings, and in online content development.</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We intend to pursue the following growth strategies:</w:t>
      </w:r>
    </w:p>
    <w:p>
      <w:pPr>
        <w:spacing w:after="0" w:line="129" w:lineRule="exact"/>
        <w:rPr>
          <w:sz w:val="20"/>
          <w:szCs w:val="20"/>
          <w:color w:val="auto"/>
        </w:rPr>
      </w:pPr>
    </w:p>
    <w:p>
      <w:pPr>
        <w:jc w:val="both"/>
        <w:ind w:left="920" w:right="2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Increase enrollment in existing programs. </w:t>
      </w:r>
      <w:r>
        <w:rPr>
          <w:rFonts w:ascii="Times New Roman" w:cs="Times New Roman" w:eastAsia="Times New Roman" w:hAnsi="Times New Roman"/>
          <w:sz w:val="18"/>
          <w:szCs w:val="18"/>
          <w:color w:val="auto"/>
        </w:rPr>
        <w:t>We intend to increase enrollment in existing programs within our three core disciplines,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believe offer ample opportunity for growth. We also intend to increase the number of our enrollment counselors and marketing and student services personnel and introduce mid-term starts to drive enrollment growth and enhance student retention.</w:t>
      </w:r>
    </w:p>
    <w:p>
      <w:pPr>
        <w:spacing w:after="0" w:line="79" w:lineRule="exact"/>
        <w:rPr>
          <w:sz w:val="20"/>
          <w:szCs w:val="20"/>
          <w:color w:val="auto"/>
        </w:rPr>
      </w:pPr>
    </w:p>
    <w:p>
      <w:pPr>
        <w:ind w:left="920" w:right="10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online program and degree offerings consistent with student and employment demand trends. </w:t>
      </w:r>
      <w:r>
        <w:rPr>
          <w:rFonts w:ascii="Times New Roman" w:cs="Times New Roman" w:eastAsia="Times New Roman" w:hAnsi="Times New Roman"/>
          <w:sz w:val="18"/>
          <w:szCs w:val="18"/>
          <w:color w:val="auto"/>
        </w:rPr>
        <w:t>We develop and offer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that we believe have attractive demand characteristics and that are consistent with employment trends in the country. In this regard, we seek to develop additional programs in healthcare, education, business and liberal arts that are relevant to employers in these fields.</w:t>
      </w:r>
    </w:p>
    <w:p>
      <w:pPr>
        <w:spacing w:after="0" w:line="86" w:lineRule="exact"/>
        <w:rPr>
          <w:sz w:val="20"/>
          <w:szCs w:val="20"/>
          <w:color w:val="auto"/>
        </w:rPr>
      </w:pPr>
    </w:p>
    <w:p>
      <w:pPr>
        <w:ind w:left="920" w:right="4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Continue to enhance the profile and reputation of our traditional ground campus. </w:t>
      </w:r>
      <w:r>
        <w:rPr>
          <w:rFonts w:ascii="Times New Roman" w:cs="Times New Roman" w:eastAsia="Times New Roman" w:hAnsi="Times New Roman"/>
          <w:sz w:val="18"/>
          <w:szCs w:val="18"/>
          <w:color w:val="auto"/>
        </w:rPr>
        <w:t>We intend to continue to enhance the profile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reputation of our traditional ground campus by leveraging the capabilities of our full-time ground faculty, attracting additional faculty with strong academic credentials, expanding upon and modernizing our campus infrastructure and technological capabilities, and strengthening our athletic programs. We believe these activities will continue to sustain and enhance the reputation of our programs and help drive, and support, increased ground and online enrollments.</w:t>
      </w:r>
    </w:p>
    <w:p>
      <w:pPr>
        <w:spacing w:after="0" w:line="85" w:lineRule="exact"/>
        <w:rPr>
          <w:sz w:val="20"/>
          <w:szCs w:val="20"/>
          <w:color w:val="auto"/>
        </w:rPr>
      </w:pPr>
    </w:p>
    <w:p>
      <w:pPr>
        <w:ind w:left="920" w:right="18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Further enhance our brand recognition. </w:t>
      </w:r>
      <w:r>
        <w:rPr>
          <w:rFonts w:ascii="Times New Roman" w:cs="Times New Roman" w:eastAsia="Times New Roman" w:hAnsi="Times New Roman"/>
          <w:sz w:val="18"/>
          <w:szCs w:val="18"/>
          <w:color w:val="auto"/>
        </w:rPr>
        <w:t>We continue to enhance our brand recognition by pursuing online and offline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campaigns, developing our ground campus and traditional university programs to increase awareness of the university, establishing strategic branding relationships with recognized industry leaders, and developing complementary resources in our core disciplines that increase the overall awareness of our offerings.</w:t>
      </w:r>
    </w:p>
    <w:p>
      <w:pPr>
        <w:sectPr>
          <w:pgSz w:w="11900" w:h="16838" w:orient="portrait"/>
          <w:cols w:equalWidth="0" w:num="1">
            <w:col w:w="10800"/>
          </w:cols>
          <w:pgMar w:left="240" w:top="415"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415" w:right="85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92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Leverage infrastructure and drive earnings growth. </w:t>
      </w:r>
      <w:r>
        <w:rPr>
          <w:rFonts w:ascii="Times New Roman" w:cs="Times New Roman" w:eastAsia="Times New Roman" w:hAnsi="Times New Roman"/>
          <w:sz w:val="18"/>
          <w:szCs w:val="18"/>
          <w:color w:val="auto"/>
        </w:rPr>
        <w:t>We have made and will continue to make significant investments in our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processes, and technology infrastructure. We believe that these investments have prepared us to deliver our academic programs to a much larger student population with only modest incremental investment, and have also enabled us to increase the effectiveness of our academic, administrative and student services in ways that will assist in our efforts to increase student success and retention levels. We intend to continue leveraging our historical investments over our increasing enrollment, which we believe will allow us to increase our operating margins over time.</w:t>
      </w:r>
    </w:p>
    <w:p>
      <w:pPr>
        <w:spacing w:after="0" w:line="88" w:lineRule="exact"/>
        <w:rPr>
          <w:sz w:val="20"/>
          <w:szCs w:val="20"/>
          <w:color w:val="auto"/>
        </w:rPr>
      </w:pPr>
    </w:p>
    <w:p>
      <w:pPr>
        <w:ind w:left="920" w:right="10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relationships with private sector and government employers and military personnel. </w:t>
      </w:r>
      <w:r>
        <w:rPr>
          <w:rFonts w:ascii="Times New Roman" w:cs="Times New Roman" w:eastAsia="Times New Roman" w:hAnsi="Times New Roman"/>
          <w:sz w:val="18"/>
          <w:szCs w:val="18"/>
          <w:color w:val="auto"/>
        </w:rPr>
        <w:t>We seek additional relationships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care systems, school districts, emergency services providers, the military and other employers through which we market our offerings to their employees. These relationships provide leads for our programs, build our recognition among employers in our core disciplines, and enable us to identify new programs and degrees that are in demand by students and employers.</w:t>
      </w:r>
    </w:p>
    <w:p>
      <w:pPr>
        <w:spacing w:after="0" w:line="1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Risks Affecting Us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Our business is subject to numerous risks, as discussed more fully in the section entitled “Risk Factors” immediately following this</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Prospectus Summary. In particular, our business would be adversely affected if:</w:t>
      </w:r>
    </w:p>
    <w:p>
      <w:pPr>
        <w:spacing w:after="0" w:line="112" w:lineRule="exact"/>
        <w:rPr>
          <w:sz w:val="20"/>
          <w:szCs w:val="20"/>
          <w:color w:val="auto"/>
        </w:rPr>
      </w:pPr>
    </w:p>
    <w:p>
      <w:pPr>
        <w:ind w:left="1920" w:hanging="201"/>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attract and retain students as a result of the highly competitive markets in which we operate;</w:t>
      </w:r>
    </w:p>
    <w:p>
      <w:pPr>
        <w:spacing w:after="0" w:line="117" w:lineRule="exact"/>
        <w:rPr>
          <w:rFonts w:ascii="Times New Roman" w:cs="Times New Roman" w:eastAsia="Times New Roman" w:hAnsi="Times New Roman"/>
          <w:sz w:val="18"/>
          <w:szCs w:val="18"/>
          <w:color w:val="auto"/>
        </w:rPr>
      </w:pPr>
    </w:p>
    <w:p>
      <w:pPr>
        <w:ind w:left="1920" w:right="240" w:hanging="201"/>
        <w:spacing w:after="0" w:line="266" w:lineRule="auto"/>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comply with the constantly evolving and extensive regulatory requirements to which our business is subject, including requirements governing the Title IV federal student financial aid programs, state laws and regulations, and accrediting commission requirements;</w:t>
      </w:r>
    </w:p>
    <w:p>
      <w:pPr>
        <w:spacing w:after="0" w:line="68"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any student, regulatory, reputational, or other events that adversely affect our degree offerings;</w:t>
      </w:r>
    </w:p>
    <w:p>
      <w:pPr>
        <w:spacing w:after="0" w:line="117" w:lineRule="exact"/>
        <w:rPr>
          <w:rFonts w:ascii="Times New Roman" w:cs="Times New Roman" w:eastAsia="Times New Roman" w:hAnsi="Times New Roman"/>
          <w:sz w:val="18"/>
          <w:szCs w:val="18"/>
          <w:color w:val="auto"/>
        </w:rPr>
      </w:pPr>
    </w:p>
    <w:p>
      <w:pPr>
        <w:ind w:left="1920" w:right="600" w:hanging="201"/>
        <w:spacing w:after="0" w:line="282" w:lineRule="auto"/>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a change in control under applicable regulatory or accrediting standards, and we are unable to obtain appropriate approvals for such an event in a timely manner, or at all;</w:t>
      </w:r>
    </w:p>
    <w:p>
      <w:pPr>
        <w:spacing w:after="0" w:line="53" w:lineRule="exact"/>
        <w:rPr>
          <w:rFonts w:ascii="Times New Roman" w:cs="Times New Roman" w:eastAsia="Times New Roman" w:hAnsi="Times New Roman"/>
          <w:sz w:val="18"/>
          <w:szCs w:val="18"/>
          <w:color w:val="auto"/>
        </w:rPr>
      </w:pPr>
    </w:p>
    <w:p>
      <w:pPr>
        <w:ind w:left="1920" w:right="240" w:hanging="201"/>
        <w:spacing w:after="0" w:line="261" w:lineRule="auto"/>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experience damage to our reputation or other adverse effects in connection with any compliance audit; regulatory action; investigation, including the investigation of Grand Canyon University currently being conducted by the Office of Inspector General of the U.S. Department of Education; or litigation, including the pending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regarding the manner in which we have compensated our enrollment personnel;</w:t>
      </w:r>
    </w:p>
    <w:p>
      <w:pPr>
        <w:spacing w:after="0" w:line="71" w:lineRule="exact"/>
        <w:rPr>
          <w:rFonts w:ascii="Times New Roman" w:cs="Times New Roman" w:eastAsia="Times New Roman" w:hAnsi="Times New Roman"/>
          <w:sz w:val="18"/>
          <w:szCs w:val="18"/>
          <w:color w:val="auto"/>
        </w:rPr>
      </w:pPr>
    </w:p>
    <w:p>
      <w:pPr>
        <w:ind w:left="1920" w:right="20" w:hanging="201"/>
        <w:spacing w:after="0" w:line="282" w:lineRule="auto"/>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damage to our reputation or other adverse effects as a result of negative publicity in the media, in industry or governmental reports, or otherwise, affecting us or other companies in the for-profit postsecondary education sector;</w:t>
      </w:r>
    </w:p>
    <w:p>
      <w:pPr>
        <w:spacing w:after="0" w:line="53"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attract and retain key personnel needed to sustain and grow our business;</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students are unable to obtain student loans on affordable terms, or at all;</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or other developments affect demand in our core disciplines; or</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develop new programs or expand our existing programs in a timely and cost-effective manner.</w:t>
      </w:r>
    </w:p>
    <w:p>
      <w:pPr>
        <w:spacing w:after="0" w:line="2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35" w:lineRule="exact"/>
        <w:rPr>
          <w:sz w:val="20"/>
          <w:szCs w:val="20"/>
          <w:color w:val="auto"/>
        </w:rPr>
      </w:pPr>
    </w:p>
    <w:p>
      <w:pPr>
        <w:ind w:left="920" w:right="80" w:firstLine="397"/>
        <w:spacing w:after="0" w:line="261" w:lineRule="auto"/>
        <w:rPr>
          <w:sz w:val="20"/>
          <w:szCs w:val="20"/>
          <w:color w:val="auto"/>
        </w:rPr>
      </w:pPr>
      <w:r>
        <w:rPr>
          <w:rFonts w:ascii="Times New Roman" w:cs="Times New Roman" w:eastAsia="Times New Roman" w:hAnsi="Times New Roman"/>
          <w:sz w:val="18"/>
          <w:szCs w:val="18"/>
          <w:color w:val="auto"/>
        </w:rPr>
        <w:t xml:space="preserve">We were formed in Delaware in November 2003 for the purpose of acquiring the assets of Grand Canyon University. Our principal executive offices are located at 3300 West Camelback Road, Phoenix, Arizona 85017, and our telephone number is (602) 639-7500. Our website is located at </w:t>
      </w:r>
      <w:r>
        <w:rPr>
          <w:rFonts w:ascii="Times New Roman" w:cs="Times New Roman" w:eastAsia="Times New Roman" w:hAnsi="Times New Roman"/>
          <w:sz w:val="18"/>
          <w:szCs w:val="18"/>
          <w:u w:val="single" w:color="auto"/>
          <w:color w:val="auto"/>
        </w:rPr>
        <w:t>www.gcu.edu</w:t>
      </w:r>
      <w:r>
        <w:rPr>
          <w:rFonts w:ascii="Times New Roman" w:cs="Times New Roman" w:eastAsia="Times New Roman" w:hAnsi="Times New Roman"/>
          <w:sz w:val="18"/>
          <w:szCs w:val="18"/>
          <w:color w:val="auto"/>
        </w:rPr>
        <w:t>. The information on, or accessible through, our website does not constitute part of, and is not incorporated into, this prospectus.</w:t>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Accreditation</w:t>
      </w:r>
    </w:p>
    <w:p>
      <w:pPr>
        <w:spacing w:after="0" w:line="135" w:lineRule="exact"/>
        <w:rPr>
          <w:sz w:val="20"/>
          <w:szCs w:val="20"/>
          <w:color w:val="auto"/>
        </w:rPr>
      </w:pPr>
    </w:p>
    <w:p>
      <w:pPr>
        <w:ind w:left="920" w:right="100" w:firstLine="397"/>
        <w:spacing w:after="0" w:line="289" w:lineRule="auto"/>
        <w:rPr>
          <w:sz w:val="20"/>
          <w:szCs w:val="20"/>
          <w:color w:val="auto"/>
        </w:rPr>
      </w:pPr>
      <w:r>
        <w:rPr>
          <w:rFonts w:ascii="Times New Roman" w:cs="Times New Roman" w:eastAsia="Times New Roman" w:hAnsi="Times New Roman"/>
          <w:sz w:val="17"/>
          <w:szCs w:val="17"/>
          <w:color w:val="auto"/>
        </w:rPr>
        <w:t xml:space="preserve">We are accredited by the Higher Learning Commission of the North Central Association of Colleges and Schools, 30 N. LaSalle Street, Suite 2400, Chicago, Illinois 60602-2504; telephone (312) 263-0456; website </w:t>
      </w:r>
      <w:r>
        <w:rPr>
          <w:rFonts w:ascii="Times New Roman" w:cs="Times New Roman" w:eastAsia="Times New Roman" w:hAnsi="Times New Roman"/>
          <w:sz w:val="17"/>
          <w:szCs w:val="17"/>
          <w:u w:val="single" w:color="auto"/>
          <w:color w:val="auto"/>
        </w:rPr>
        <w:t>www.ncahlc.org</w:t>
      </w:r>
      <w:r>
        <w:rPr>
          <w:rFonts w:ascii="Times New Roman" w:cs="Times New Roman" w:eastAsia="Times New Roman" w:hAnsi="Times New Roman"/>
          <w:sz w:val="17"/>
          <w:szCs w:val="17"/>
          <w:color w:val="auto"/>
        </w:rPr>
        <w:t>. The information on, or accessible through, the website of the Higher Learning Commission does not constitute part of, and is not incorporated into, this prospectus.</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Industry Data</w:t>
      </w:r>
    </w:p>
    <w:p>
      <w:pPr>
        <w:spacing w:after="0" w:line="135" w:lineRule="exact"/>
        <w:rPr>
          <w:sz w:val="20"/>
          <w:szCs w:val="20"/>
          <w:color w:val="auto"/>
        </w:rPr>
      </w:pPr>
    </w:p>
    <w:p>
      <w:pPr>
        <w:ind w:left="920" w:firstLine="397"/>
        <w:spacing w:after="0" w:line="255" w:lineRule="auto"/>
        <w:rPr>
          <w:sz w:val="20"/>
          <w:szCs w:val="20"/>
          <w:color w:val="auto"/>
        </w:rPr>
      </w:pPr>
      <w:r>
        <w:rPr>
          <w:rFonts w:ascii="Times New Roman" w:cs="Times New Roman" w:eastAsia="Times New Roman" w:hAnsi="Times New Roman"/>
          <w:sz w:val="18"/>
          <w:szCs w:val="18"/>
          <w:color w:val="auto"/>
        </w:rPr>
        <w:t>We use market data and industry forecasts and projections throughout this prospectus, which we have obtained from market research, publicly-available information and private industry publications. These sources generally state that the information they provide has been obtained from sources believed to be reliable, but that the accuracy and completeness of the information are not guaranteed. The forecasts and projections are based on industry surveys and the preparers’ experience in the industry as of the time they were prepared, which in some cases preceded the current economic downturn, and there is no assurance that any of the projected numbers will be reached. Similarly, we believe that the surveys and market research others have completed are reliable, but we have not independently verified their findings.</w:t>
      </w:r>
    </w:p>
    <w:p>
      <w:pPr>
        <w:sectPr>
          <w:pgSz w:w="11900" w:h="16838" w:orient="portrait"/>
          <w:cols w:equalWidth="0" w:num="1">
            <w:col w:w="10840"/>
          </w:cols>
          <w:pgMar w:left="240" w:top="415"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5" w:right="81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right"/>
        <w:ind w:right="3960"/>
        <w:spacing w:after="0"/>
        <w:rPr>
          <w:sz w:val="20"/>
          <w:szCs w:val="20"/>
          <w:color w:val="auto"/>
        </w:rPr>
      </w:pPr>
      <w:r>
        <w:rPr>
          <w:rFonts w:ascii="Times New Roman" w:cs="Times New Roman" w:eastAsia="Times New Roman" w:hAnsi="Times New Roman"/>
          <w:sz w:val="18"/>
          <w:szCs w:val="18"/>
          <w:b w:val="1"/>
          <w:bCs w:val="1"/>
          <w:color w:val="auto"/>
        </w:rPr>
        <w:t>OFFERING SUMMARY</w:t>
      </w:r>
    </w:p>
    <w:p>
      <w:pPr>
        <w:sectPr>
          <w:pgSz w:w="11900" w:h="16838" w:orient="portrait"/>
          <w:cols w:equalWidth="0" w:num="1">
            <w:col w:w="10820"/>
          </w:cols>
          <w:pgMar w:left="240" w:top="415" w:right="839" w:bottom="1440" w:gutter="0" w:footer="0" w:header="0"/>
        </w:sectPr>
      </w:pP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117" w:lineRule="exact"/>
        <w:rPr>
          <w:sz w:val="20"/>
          <w:szCs w:val="20"/>
          <w:color w:val="auto"/>
        </w:rPr>
      </w:pPr>
    </w:p>
    <w:p>
      <w:pPr>
        <w:ind w:left="920" w:right="300"/>
        <w:spacing w:after="0" w:line="282" w:lineRule="auto"/>
        <w:rPr>
          <w:sz w:val="20"/>
          <w:szCs w:val="20"/>
          <w:color w:val="auto"/>
        </w:rPr>
      </w:pPr>
      <w:r>
        <w:rPr>
          <w:rFonts w:ascii="Times New Roman" w:cs="Times New Roman" w:eastAsia="Times New Roman" w:hAnsi="Times New Roman"/>
          <w:sz w:val="18"/>
          <w:szCs w:val="18"/>
          <w:color w:val="auto"/>
        </w:rPr>
        <w:t>Common stock offering by the selling stockholders</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Total common stock offered</w:t>
      </w:r>
    </w:p>
    <w:p>
      <w:pPr>
        <w:spacing w:after="0" w:line="117"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18"/>
          <w:szCs w:val="18"/>
          <w:color w:val="auto"/>
        </w:rPr>
        <w:t>Total common stock outstanding after this offering</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3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Nasdaq Global Market symbol</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6,000,000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45,576,417 shares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proceeds to us from this offering will be approximately $15.0 million after deducting the underwriting discounts and commissions and estimated offering expenses payable by us. We intend to use the proceeds to us from this offering to pay the fees and expenses of this offering that are payable by us, and for working capital and other general corporate purposes. See “Use of Proceeds.” We will not receive any proceeds from the shares sold by the selling stockholders.</w:t>
      </w:r>
    </w:p>
    <w:p>
      <w:pPr>
        <w:spacing w:after="0" w:line="8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You should carefully read and consider the information set forth under the section titled “Risk Factors” and all other information set forth in or incorporated by reference into this prospectus before deciding to invest in shares of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LOPE</w:t>
      </w:r>
    </w:p>
    <w:p>
      <w:pPr>
        <w:spacing w:after="0" w:line="131" w:lineRule="exact"/>
        <w:rPr>
          <w:sz w:val="20"/>
          <w:szCs w:val="20"/>
          <w:color w:val="auto"/>
        </w:rPr>
      </w:pPr>
    </w:p>
    <w:p>
      <w:pPr>
        <w:sectPr>
          <w:pgSz w:w="11900" w:h="16838" w:orient="portrait"/>
          <w:cols w:equalWidth="0" w:num="2">
            <w:col w:w="3960" w:space="640"/>
            <w:col w:w="6220"/>
          </w:cols>
          <w:pgMar w:left="240" w:top="415" w:right="839" w:bottom="1440" w:gutter="0" w:footer="0" w:header="0"/>
          <w:type w:val="continuous"/>
        </w:sectPr>
      </w:pPr>
    </w:p>
    <w:p>
      <w:pPr>
        <w:ind w:left="920" w:right="60" w:firstLine="397"/>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following this offering is based on 44,576,417 shares of our common stock outstanding as of June 30, 2009. This number does not include:</w:t>
      </w:r>
    </w:p>
    <w:p>
      <w:pPr>
        <w:spacing w:after="0" w:line="67" w:lineRule="exact"/>
        <w:rPr>
          <w:sz w:val="20"/>
          <w:szCs w:val="20"/>
          <w:color w:val="auto"/>
        </w:rPr>
      </w:pPr>
    </w:p>
    <w:p>
      <w:pPr>
        <w:ind w:left="1920" w:right="200" w:hanging="201"/>
        <w:spacing w:after="0" w:line="282" w:lineRule="auto"/>
        <w:tabs>
          <w:tab w:leader="none" w:pos="1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3,310,532 shares of common stock issuable upon the exercise of stock options outstanding as of June 30, 2009 under our equity incentive plan, with a weighted average exercise price of $12.11 per share;</w:t>
      </w:r>
    </w:p>
    <w:p>
      <w:pPr>
        <w:spacing w:after="0" w:line="53"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37,377 shares of common stock that were issued upon the exercise of stock options subsequent to June 30, 2009; and</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1,956,107 shares of common stock reserved for future issuance under our equity incentive plan as of June 30, 2009.</w:t>
      </w:r>
    </w:p>
    <w:p>
      <w:pPr>
        <w:spacing w:after="0" w:line="131" w:lineRule="exact"/>
        <w:rPr>
          <w:sz w:val="20"/>
          <w:szCs w:val="20"/>
          <w:color w:val="auto"/>
        </w:rPr>
      </w:pPr>
    </w:p>
    <w:p>
      <w:pPr>
        <w:ind w:left="920" w:right="140" w:firstLine="397"/>
        <w:spacing w:after="0" w:line="282" w:lineRule="auto"/>
        <w:rPr>
          <w:sz w:val="20"/>
          <w:szCs w:val="20"/>
          <w:color w:val="auto"/>
        </w:rPr>
      </w:pPr>
      <w:r>
        <w:rPr>
          <w:rFonts w:ascii="Times New Roman" w:cs="Times New Roman" w:eastAsia="Times New Roman" w:hAnsi="Times New Roman"/>
          <w:sz w:val="18"/>
          <w:szCs w:val="18"/>
          <w:color w:val="auto"/>
        </w:rPr>
        <w:t>Unless otherwise indicated, the information in this prospectus reflects and assumes no exercise by the underwriters of their option to purchase up to an additional 900,000 shares of our common stock from the selling stockholders to cover over-allotments, if any.</w:t>
      </w:r>
    </w:p>
    <w:p>
      <w:pPr>
        <w:sectPr>
          <w:pgSz w:w="11900" w:h="16838" w:orient="portrait"/>
          <w:cols w:equalWidth="0" w:num="1">
            <w:col w:w="10820"/>
          </w:cols>
          <w:pgMar w:left="240" w:top="415"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415" w:right="8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SUMMARY FINANCIAL AND OTHER DATA</w:t>
      </w:r>
    </w:p>
    <w:p>
      <w:pPr>
        <w:spacing w:after="0" w:line="135" w:lineRule="exact"/>
        <w:rPr>
          <w:sz w:val="20"/>
          <w:szCs w:val="20"/>
          <w:color w:val="auto"/>
        </w:rPr>
      </w:pPr>
    </w:p>
    <w:p>
      <w:pPr>
        <w:ind w:left="920" w:right="20" w:firstLine="397"/>
        <w:spacing w:after="0" w:line="254" w:lineRule="auto"/>
        <w:rPr>
          <w:sz w:val="20"/>
          <w:szCs w:val="20"/>
          <w:color w:val="auto"/>
        </w:rPr>
      </w:pPr>
      <w:r>
        <w:rPr>
          <w:rFonts w:ascii="Times New Roman" w:cs="Times New Roman" w:eastAsia="Times New Roman" w:hAnsi="Times New Roman"/>
          <w:sz w:val="18"/>
          <w:szCs w:val="18"/>
          <w:color w:val="auto"/>
        </w:rPr>
        <w:t>The following table sets forth our summary financial and other data as of the dates and for the periods indicated. The statement of operations and other data, excluding period end enrollment, for each of the years in the three-year period ended December 31, 2008, have been derived from our audited financial statements, which are included with our Annual Report on Form 10-K for the year ended December 31, 2008, which is incorporated by reference into this prospectus. The statement of operations and other data, excluding period end enrollment, for each of the six month periods ended June 30, 2008 and 2009, and the balance sheet data as of June 30, 2009, have been derived from our unaudited financial statements, which are included with our Quarterly Report on Form 10-Q for the quarter ended June 30, 2009, which is incorporated by reference into this prospectus. In the opinion of management, our unaudited financial statements include all adjustments, consisting of normal, recurring adjustments, necessary for a fair presentation of such data. Our historical results are not necessarily indicative of our results for any future period.</w:t>
      </w:r>
    </w:p>
    <w:p>
      <w:pPr>
        <w:spacing w:after="0" w:line="95" w:lineRule="exact"/>
        <w:rPr>
          <w:sz w:val="20"/>
          <w:szCs w:val="20"/>
          <w:color w:val="auto"/>
        </w:rPr>
      </w:pPr>
    </w:p>
    <w:p>
      <w:pPr>
        <w:ind w:left="920" w:right="360" w:firstLine="397"/>
        <w:spacing w:after="0" w:line="266" w:lineRule="auto"/>
        <w:rPr>
          <w:sz w:val="20"/>
          <w:szCs w:val="20"/>
          <w:color w:val="auto"/>
        </w:rPr>
      </w:pPr>
      <w:r>
        <w:rPr>
          <w:rFonts w:ascii="Times New Roman" w:cs="Times New Roman" w:eastAsia="Times New Roman" w:hAnsi="Times New Roman"/>
          <w:sz w:val="18"/>
          <w:szCs w:val="18"/>
          <w:color w:val="auto"/>
        </w:rPr>
        <w:t>You should read the following summary financial and other data in conjunction with “Selected Financial and Other Data,” “Management’s Discussion and Analysis of Financial Condition and Results of Operations,” and our financial statements and related notes, all of which are incorporated by reference into this prospectus.</w:t>
      </w:r>
    </w:p>
    <w:p>
      <w:pPr>
        <w:spacing w:after="0" w:line="8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10"/>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5"/>
                <w:szCs w:val="15"/>
                <w:color w:val="auto"/>
              </w:rPr>
            </w:pPr>
          </w:p>
        </w:tc>
        <w:tc>
          <w:tcPr>
            <w:tcW w:w="188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48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w w:val="74"/>
              </w:rPr>
              <w:t>(Unaudited)</w:t>
            </w: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vMerge w:val="continue"/>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40" w:type="dxa"/>
            <w:vAlign w:val="bottom"/>
            <w:gridSpan w:val="10"/>
          </w:tcPr>
          <w:p>
            <w:pPr>
              <w:jc w:val="right"/>
              <w:ind w:right="458"/>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enrollment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and per share data)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4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99,326</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161,309</w:t>
            </w:r>
          </w:p>
        </w:tc>
        <w:tc>
          <w:tcPr>
            <w:tcW w:w="3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70,275</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118,364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Instructional costs and services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39,050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24,028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and promotional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35,148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27,473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17,001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10,960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Royalty to former owner</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94,981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148,512</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63,949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dividends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5,747</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earnings per common share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18,923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35,143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32,623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3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campus land and buildings</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3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11,723</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25,675</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10,294</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Period end enrollment: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Online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21,955</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14,847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Ground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June 30,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1260" w:type="dxa"/>
            <w:vAlign w:val="bottom"/>
          </w:tcPr>
          <w:p>
            <w:pPr>
              <w:spacing w:after="0"/>
              <w:rPr>
                <w:sz w:val="3"/>
                <w:szCs w:val="3"/>
                <w:color w:val="auto"/>
              </w:rPr>
            </w:pPr>
          </w:p>
        </w:tc>
        <w:tc>
          <w:tcPr>
            <w:tcW w:w="46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investments — unrestricted</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$ 25,225</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126,506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141,419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(including short-term)</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indebtedness (including short-term indebtedness)</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40" w:right="20" w:hanging="311"/>
        <w:spacing w:after="0" w:line="25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defined as net income (loss) plus interest expense net of interest income, plus income tax expense (benefit), and plus depreciation and amortization (EBITDA), as adjusted for (i) royalty payments incurred pursuant to an agreement with our former owner that has been terminated as of April 15, 2008, as discussed in “Management’s Discussion and Analysis of Financial Condition and Results of Operations — Factors affecting comparability — Settlement with former owner” included with our Quarterly Report on Form 10-Q for the quarter ended June 30, 2009, which is incorporated by reference into this prospectus;</w:t>
      </w:r>
    </w:p>
    <w:p>
      <w:pPr>
        <w:spacing w:after="0" w:line="3" w:lineRule="exact"/>
        <w:rPr>
          <w:rFonts w:ascii="Times New Roman" w:cs="Times New Roman" w:eastAsia="Times New Roman" w:hAnsi="Times New Roman"/>
          <w:sz w:val="18"/>
          <w:szCs w:val="18"/>
          <w:color w:val="auto"/>
        </w:rPr>
      </w:pPr>
    </w:p>
    <w:p>
      <w:pPr>
        <w:ind w:left="124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management fees and expenses that are no longer paid; (iii) contributions made to Arizona school tuition organizations in lieu of the payment of state income taxes; and (iv) share-based compensation.</w:t>
      </w:r>
    </w:p>
    <w:p>
      <w:pPr>
        <w:spacing w:after="0" w:line="18" w:lineRule="exact"/>
        <w:rPr>
          <w:sz w:val="20"/>
          <w:szCs w:val="20"/>
          <w:color w:val="auto"/>
        </w:rPr>
      </w:pPr>
    </w:p>
    <w:p>
      <w:pPr>
        <w:ind w:left="1240" w:right="2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financing arrangements, and share-based compensation are not considered reflective of our core operating performance.</w:t>
      </w:r>
    </w:p>
    <w:p>
      <w:pPr>
        <w:spacing w:after="0" w:line="9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Our management uses Adjusted EBITDA:</w:t>
      </w:r>
    </w:p>
    <w:p>
      <w:pPr>
        <w:spacing w:after="0" w:line="131" w:lineRule="exact"/>
        <w:rPr>
          <w:sz w:val="20"/>
          <w:szCs w:val="20"/>
          <w:color w:val="auto"/>
        </w:rPr>
      </w:pPr>
    </w:p>
    <w:p>
      <w:pPr>
        <w:ind w:left="1920" w:hanging="201"/>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developing our internal budgets and strategic plan;</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measurement of operating performance;</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factor in evaluating the performance of our management for compensation purposes;</w:t>
      </w:r>
    </w:p>
    <w:p>
      <w:pPr>
        <w:spacing w:after="0" w:line="117" w:lineRule="exact"/>
        <w:rPr>
          <w:rFonts w:ascii="Times New Roman" w:cs="Times New Roman" w:eastAsia="Times New Roman" w:hAnsi="Times New Roman"/>
          <w:sz w:val="18"/>
          <w:szCs w:val="18"/>
          <w:color w:val="auto"/>
        </w:rPr>
      </w:pPr>
    </w:p>
    <w:p>
      <w:pPr>
        <w:ind w:left="1920" w:hanging="201"/>
        <w:spacing w:after="0"/>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 part, assess compliance with our loan agreement; and</w:t>
      </w:r>
    </w:p>
    <w:p>
      <w:pPr>
        <w:spacing w:after="0" w:line="117" w:lineRule="exact"/>
        <w:rPr>
          <w:rFonts w:ascii="Times New Roman" w:cs="Times New Roman" w:eastAsia="Times New Roman" w:hAnsi="Times New Roman"/>
          <w:sz w:val="18"/>
          <w:szCs w:val="18"/>
          <w:color w:val="auto"/>
        </w:rPr>
      </w:pPr>
    </w:p>
    <w:p>
      <w:pPr>
        <w:jc w:val="both"/>
        <w:ind w:left="1920" w:right="480" w:hanging="201"/>
        <w:spacing w:after="0" w:line="266" w:lineRule="auto"/>
        <w:tabs>
          <w:tab w:leader="none" w:pos="1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presentations to the members of our Board of Directors to enable our board to have the same measurement basis of operating performance as are used by management to compare our current operating results with corresponding prior periods and with the results of other companies in our industry.</w:t>
      </w:r>
    </w:p>
    <w:p>
      <w:pPr>
        <w:spacing w:after="0" w:line="82" w:lineRule="exact"/>
        <w:rPr>
          <w:sz w:val="20"/>
          <w:szCs w:val="20"/>
          <w:color w:val="auto"/>
        </w:rPr>
      </w:pPr>
    </w:p>
    <w:p>
      <w:pPr>
        <w:ind w:left="920" w:right="100" w:firstLine="397"/>
        <w:spacing w:after="0" w:line="256" w:lineRule="auto"/>
        <w:rPr>
          <w:sz w:val="20"/>
          <w:szCs w:val="20"/>
          <w:color w:val="auto"/>
        </w:rPr>
      </w:pPr>
      <w:r>
        <w:rPr>
          <w:rFonts w:ascii="Times New Roman" w:cs="Times New Roman" w:eastAsia="Times New Roman" w:hAnsi="Times New Roman"/>
          <w:sz w:val="18"/>
          <w:szCs w:val="18"/>
          <w:color w:val="auto"/>
        </w:rPr>
        <w:t>However, Adjusted EBITDA is not a recognized measurement under GAAP, and when analyzing our operating performance, investors should use Adjusted EBITDA in addition to, and not as an alternative for, net income, operating income, or any other performance measure presented in accordance with GAAP, or as an alternative to cash flow from operating activities or as a measure of our liquidity. Because not all companies use identical calculations, our presentation of Adjusted EBITDA may not be comparable to similarly titled measures of other companies. Adjusted EBITDA has limitations as an analytical tool, as discussed under “Management’s Discussion and Analysis of Financial Condition and</w:t>
      </w: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206375</wp:posOffset>
            </wp:positionV>
            <wp:extent cx="6598920" cy="7705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920" w:right="40"/>
        <w:spacing w:after="0" w:line="282" w:lineRule="auto"/>
        <w:rPr>
          <w:sz w:val="20"/>
          <w:szCs w:val="20"/>
          <w:color w:val="auto"/>
        </w:rPr>
      </w:pPr>
      <w:r>
        <w:rPr>
          <w:rFonts w:ascii="Times New Roman" w:cs="Times New Roman" w:eastAsia="Times New Roman" w:hAnsi="Times New Roman"/>
          <w:sz w:val="18"/>
          <w:szCs w:val="18"/>
          <w:color w:val="auto"/>
        </w:rPr>
        <w:t>Results of Operations — Non-GAAP Discussion” included with our Quarterly Report on Form 10-Q for the quarter ended June 30, 2009, which is incorporated by reference into this prospectus.</w:t>
      </w:r>
    </w:p>
    <w:p>
      <w:pPr>
        <w:spacing w:after="0" w:line="6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presents data relating to Adjusted EBITDA, which is a non-GAAP measure, for the periods indicated:</w:t>
      </w:r>
    </w:p>
    <w:p>
      <w:pPr>
        <w:spacing w:after="0" w:line="13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6"/>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59"/>
        </w:trPr>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2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interest expense net of interest income</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1,915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income tax expense</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18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2,396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4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3"/>
              </w:rPr>
              <w:t>5,438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17,892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4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25,253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Plus: royalty to former owner</w:t>
            </w:r>
            <w:r>
              <w:rPr>
                <w:rFonts w:ascii="Times New Roman" w:cs="Times New Roman" w:eastAsia="Times New Roman" w:hAnsi="Times New Roman"/>
                <w:sz w:val="15"/>
                <w:szCs w:val="15"/>
                <w:color w:val="auto"/>
              </w:rPr>
              <w:t>(a)</w:t>
            </w:r>
          </w:p>
        </w:tc>
        <w:tc>
          <w:tcPr>
            <w:tcW w:w="180" w:type="dxa"/>
            <w:vAlign w:val="bottom"/>
          </w:tcPr>
          <w:p>
            <w:pPr>
              <w:spacing w:after="0"/>
              <w:rPr>
                <w:sz w:val="17"/>
                <w:szCs w:val="17"/>
                <w:color w:val="auto"/>
              </w:rPr>
            </w:pPr>
          </w:p>
        </w:tc>
        <w:tc>
          <w:tcPr>
            <w:tcW w:w="4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w w:val="93"/>
              </w:rPr>
              <w:t>2,678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3,782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1,488</w:t>
            </w:r>
          </w:p>
        </w:tc>
        <w:tc>
          <w:tcPr>
            <w:tcW w:w="24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5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management fees and expenses</w:t>
            </w:r>
            <w:r>
              <w:rPr>
                <w:rFonts w:ascii="Times New Roman" w:cs="Times New Roman" w:eastAsia="Times New Roman" w:hAnsi="Times New Roman"/>
                <w:sz w:val="15"/>
                <w:szCs w:val="15"/>
                <w:color w:val="auto"/>
              </w:rPr>
              <w:t>(b)</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contributions made in lieu of state income taxes</w:t>
            </w:r>
            <w:r>
              <w:rPr>
                <w:rFonts w:ascii="Times New Roman" w:cs="Times New Roman" w:eastAsia="Times New Roman" w:hAnsi="Times New Roman"/>
                <w:sz w:val="15"/>
                <w:szCs w:val="15"/>
                <w:color w:val="auto"/>
              </w:rPr>
              <w:t>(c)</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share-based compensation</w:t>
            </w:r>
            <w:r>
              <w:rPr>
                <w:rFonts w:ascii="Times New Roman" w:cs="Times New Roman" w:eastAsia="Times New Roman" w:hAnsi="Times New Roman"/>
                <w:sz w:val="15"/>
                <w:szCs w:val="15"/>
                <w:color w:val="auto"/>
              </w:rPr>
              <w:t>(d)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9,074</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11,723</w:t>
            </w:r>
          </w:p>
        </w:tc>
        <w:tc>
          <w:tcPr>
            <w:tcW w:w="22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25,675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10,294</w:t>
            </w:r>
          </w:p>
        </w:tc>
        <w:tc>
          <w:tcPr>
            <w:tcW w:w="2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26,978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720" w:right="20" w:hanging="295"/>
        <w:spacing w:after="0" w:line="256" w:lineRule="auto"/>
        <w:tabs>
          <w:tab w:leader="none" w:pos="1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royalty fee arrangement with the former owner of Grand Canyon University in which we agreed to pay a stated percentage of cash revenue generated by our online programs. As a result of the settlement of a dispute with the former owner, we are no longer obligated to pay this royalty, although the settlement includes a prepayment of future royalties that will be amortized in 2008 and future periods. See “Management’s Discussion and Analysis of Financial Condition and Results of Operations — Factors affecting comparability — Settlement with former owner” included with our Quarterly Report on Form 10-Q for the quarter ended June 30, 2009, which is incorporated by reference into this prospectus.</w:t>
      </w:r>
    </w:p>
    <w:p>
      <w:pPr>
        <w:spacing w:after="0" w:line="25" w:lineRule="exact"/>
        <w:rPr>
          <w:rFonts w:ascii="Times New Roman" w:cs="Times New Roman" w:eastAsia="Times New Roman" w:hAnsi="Times New Roman"/>
          <w:sz w:val="18"/>
          <w:szCs w:val="18"/>
          <w:color w:val="auto"/>
        </w:rPr>
      </w:pPr>
    </w:p>
    <w:p>
      <w:pPr>
        <w:ind w:left="1720" w:right="140" w:hanging="305"/>
        <w:spacing w:after="0" w:line="258" w:lineRule="auto"/>
        <w:tabs>
          <w:tab w:leader="none" w:pos="1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management fees and expenses of $0.3 million, $0.3 million, and $0.4 million for the years ended December 31, 2006, 2007, and 2008, respectively, and $0.2 million for the six months ended June 30, 2008, to the general partner of Endeavour Capital Fund IV, L.P., one of our significant stockholders, and an aggregate of $0.7 million for the year ended December 31, 2006, to an entity affiliated with a former director and another affiliated with a significant stockholder, in each case following their investment in us. The agreements relating to these arrangements have all terminated.</w:t>
      </w:r>
    </w:p>
    <w:p>
      <w:pPr>
        <w:spacing w:after="0" w:line="21" w:lineRule="exact"/>
        <w:rPr>
          <w:rFonts w:ascii="Times New Roman" w:cs="Times New Roman" w:eastAsia="Times New Roman" w:hAnsi="Times New Roman"/>
          <w:sz w:val="18"/>
          <w:szCs w:val="18"/>
          <w:color w:val="auto"/>
        </w:rPr>
      </w:pPr>
    </w:p>
    <w:p>
      <w:pPr>
        <w:ind w:left="1720" w:right="20" w:hanging="295"/>
        <w:spacing w:after="0" w:line="258" w:lineRule="auto"/>
        <w:tabs>
          <w:tab w:leader="none" w:pos="1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contributions made in 2008 to various Arizona school tuition organizations to assist with funding for education. In connection with such contributions, we received a dollar-for-dollar state income tax credit, which resulted in a reduction in our effective income tax rate to 36.6% for the year ended December 31, 2008. Had this payment not been made, our effective tax rate would have been 40.8%. Such contributions were made in lieu of payments of state income taxes and are therefore excluded from evaluation of our core operating performance for the year ended December 31, 2008.</w:t>
      </w:r>
    </w:p>
    <w:p>
      <w:pPr>
        <w:spacing w:after="0" w:line="21" w:lineRule="exact"/>
        <w:rPr>
          <w:rFonts w:ascii="Times New Roman" w:cs="Times New Roman" w:eastAsia="Times New Roman" w:hAnsi="Times New Roman"/>
          <w:sz w:val="18"/>
          <w:szCs w:val="18"/>
          <w:color w:val="auto"/>
        </w:rPr>
      </w:pPr>
    </w:p>
    <w:p>
      <w:pPr>
        <w:ind w:left="1720" w:right="60" w:hanging="305"/>
        <w:spacing w:after="0" w:line="282" w:lineRule="auto"/>
        <w:tabs>
          <w:tab w:leader="none" w:pos="17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share-based compensation expense relating to stock and option grants made to employees and directors in connection with our initial public offering and thereafter.</w:t>
      </w:r>
    </w:p>
    <w:p>
      <w:pPr>
        <w:spacing w:after="0" w:line="13" w:lineRule="exact"/>
        <w:rPr>
          <w:rFonts w:ascii="Times New Roman" w:cs="Times New Roman" w:eastAsia="Times New Roman" w:hAnsi="Times New Roman"/>
          <w:sz w:val="18"/>
          <w:szCs w:val="18"/>
          <w:color w:val="auto"/>
        </w:rPr>
      </w:pPr>
    </w:p>
    <w:p>
      <w:pPr>
        <w:ind w:left="1240" w:right="40" w:hanging="311"/>
        <w:spacing w:after="0" w:line="26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the sale of 1,000,000 shares of common stock by us in this offering at an offering price of $16.50 per share and the receipt by us of the net proceeds of that sale of approximately $15.0 million after deducting underwriting discounts and commissions and estimated offering expenses payable by us.</w:t>
      </w: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33"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an investment in our common stock, you should carefully consider the following risks and the other information contained in or incorporated by reference into this prospectus, including our financial statements and related notes, “Management’s Discussion and Analysis of Financial Condition and Results of Operations,” and “Regulation.” See “Where You Can Find More Information” and “Incorporation By Reference.” The risks described below are those that we believe are the material risks we face. Any of the risk factors described below, and others that we did not anticipate, could significantly and adversely affect our business, prospects, financial condition, results of operations, and cash flows. As a result, the trading price of our common stock could decline and you may lose all or part of your investment.</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Industry</w:t>
      </w:r>
    </w:p>
    <w:p>
      <w:pPr>
        <w:spacing w:after="0" w:line="131" w:lineRule="exact"/>
        <w:rPr>
          <w:sz w:val="20"/>
          <w:szCs w:val="20"/>
          <w:color w:val="auto"/>
        </w:rPr>
      </w:pPr>
    </w:p>
    <w:p>
      <w:pPr>
        <w:ind w:left="90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our fiscal years ended December 31, 2007 and 2008, we derived cash receipts equal to approximately 70.2% and 74.4%,</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respectively, of our net revenue from tuition financed under federal student financial aid programs authorized under Title IV of the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Higher Education Act of 1965, as amended, referred to in this prospectus as the Title IV programs, which are administered by the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U.S. Department of Education, or the Department of Education. To participate in the Title IV programs, a school must be authorized by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appropriate state education agency or agencies, be accredited by an accrediting commission recognized by the Department of</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Education, and be certified as an eligible institution by the Department of Education. In addition, our operations and programs are</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regulated by other state education agencies and additional accrediting commissions. As a result of these requirements, we are subject to</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extensive regulation by the Arizona State Board for Private Postsecondary Education and education agencies of other states, the Higher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Learning Commission, which is our primary accrediting commission, specialized accrediting commissions, and the Department of</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Education. These regulatory requirements cover the vast majority of our operations, including our educational programs, instructional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and administrative staff, administrative procedures, marketing, recruiting, financial operations, and financial condition. These regulatory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requirements also affect our ability to open additional schools and locations, add new educational programs, change existing educational</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programs, and change our corporate or ownership structure. The agencies that regulate our operations periodically revise their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requirements and modify their interpretations of existing requirements. Regulatory requirements are not always precise and clear, and</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regulatory agencies may sometimes disagree with the way we have interpreted or applied these requirements. Any misinterpretation by</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us of regulatory requirements could materially adversely affect us.</w:t>
      </w:r>
    </w:p>
    <w:p>
      <w:pPr>
        <w:spacing w:after="0" w:line="112"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97" w:lineRule="exact"/>
        <w:rPr>
          <w:sz w:val="20"/>
          <w:szCs w:val="20"/>
          <w:color w:val="auto"/>
        </w:rPr>
      </w:pPr>
    </w:p>
    <w:p>
      <w:pPr>
        <w:ind w:left="9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80"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of Education regulations, and may be subject to similar review if it expands its operations or educational programs in certain ways.</w:t>
      </w:r>
    </w:p>
    <w:p>
      <w:pPr>
        <w:spacing w:after="0" w:line="131" w:lineRule="exact"/>
        <w:rPr>
          <w:sz w:val="20"/>
          <w:szCs w:val="20"/>
          <w:color w:val="auto"/>
        </w:rPr>
      </w:pPr>
    </w:p>
    <w:p>
      <w:pPr>
        <w:ind w:left="700" w:firstLine="397"/>
        <w:spacing w:after="0" w:line="251" w:lineRule="auto"/>
        <w:rPr>
          <w:sz w:val="20"/>
          <w:szCs w:val="20"/>
          <w:color w:val="auto"/>
        </w:rPr>
      </w:pPr>
      <w:r>
        <w:rPr>
          <w:rFonts w:ascii="Times New Roman" w:cs="Times New Roman" w:eastAsia="Times New Roman" w:hAnsi="Times New Roman"/>
          <w:sz w:val="18"/>
          <w:szCs w:val="18"/>
          <w:color w:val="auto"/>
        </w:rPr>
        <w:t>Our most recent recertification, which was issued on a provisional basis in May 2005 after an extended review by the Department of Education following the change in control that occurred in February 2004, contained a number of conditions on our continued participation in the Title IV programs. At that time we were required by the Department of Education to post a letter of credit, accept restrictions on the growth of our program offerings and enrollment, and receive certain Title IV funds under the heightened cash monitoring system of payment (pursuant to which an institution is required to credit students with Title IV funds prior to obtaining those funds from the Department of Education) rather than by advance payment (pursuant to which an institution receives Title IV funds from the Department of Education in advance of disbursement to students). In 2006 and 2007, the Department of Education eliminated the letter of credit requirement, allowed the growth restrictions to expire, eliminated the heightened cash monitoring restrictions and returned us to the advance payment method.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See “Regulation — Regulation of Federal Student Financial Aid Programs — Eligibility and certification procedures.”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to approving our pending recertification application or with respect to any future recertification. See “— The Office of Inspector General of the Department of Education has commenced an investigation of Grand Canyon University, which is ongoing and which may result in fines, penalties, other sanctions, and damage to our reputation in the industry” and “— A qui tam lawsuit has been filed against us alleging, among other things, that we have improperly compensated certain of our enrollment counselors, and we may incur liability, be subject to sanctions, or experience damage to our reputation as a result of this lawsuit.”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Department of Education imposed on us in connection with our recertification in 2005. Any of these outcomes would have a material adverse effect on our enrollments and us.</w:t>
      </w:r>
    </w:p>
    <w:p>
      <w:pPr>
        <w:spacing w:after="0" w:line="216" w:lineRule="exact"/>
        <w:rPr>
          <w:sz w:val="20"/>
          <w:szCs w:val="20"/>
          <w:color w:val="auto"/>
        </w:rPr>
      </w:pPr>
    </w:p>
    <w:p>
      <w:pPr>
        <w:ind w:left="900"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Office of Inspector General of the Department of Education has commenced an investigation of Grand Canyon University, which is ongoing and which may result in fines, penalties, other sanctions, and damage to our reputation in the industry.</w:t>
      </w:r>
    </w:p>
    <w:p>
      <w:pPr>
        <w:spacing w:after="0" w:line="41"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See “Regulation — Regulation of Federal Student Financial Aid Programs — Incentive compensation rule.”</w:t>
      </w:r>
    </w:p>
    <w:p>
      <w:pPr>
        <w:spacing w:after="0" w:line="92" w:lineRule="exact"/>
        <w:rPr>
          <w:sz w:val="20"/>
          <w:szCs w:val="20"/>
          <w:color w:val="auto"/>
        </w:rPr>
      </w:pPr>
    </w:p>
    <w:p>
      <w:pPr>
        <w:jc w:val="both"/>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We have been cooperating with the Office of Inspector General to facilitate its investigation and have completed production of all requested documents. We cannot presently predict the ultimate outcome of the investigation or any liability or other sanctions that may result. The outcome of the Office of Inspector</w:t>
      </w:r>
    </w:p>
    <w:p>
      <w:pPr>
        <w:spacing w:after="0" w:line="36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82" w:lineRule="auto"/>
        <w:rPr>
          <w:sz w:val="20"/>
          <w:szCs w:val="20"/>
          <w:color w:val="auto"/>
        </w:rPr>
      </w:pPr>
      <w:r>
        <w:rPr>
          <w:rFonts w:ascii="Times New Roman" w:cs="Times New Roman" w:eastAsia="Times New Roman" w:hAnsi="Times New Roman"/>
          <w:sz w:val="18"/>
          <w:szCs w:val="18"/>
          <w:color w:val="auto"/>
        </w:rPr>
        <w:t>General investigation may depend in part on information contained in the materials we produced or information or testimony provided by former employees or other third parties.</w:t>
      </w:r>
    </w:p>
    <w:p>
      <w:pPr>
        <w:spacing w:after="0" w:line="67" w:lineRule="exact"/>
        <w:rPr>
          <w:sz w:val="20"/>
          <w:szCs w:val="20"/>
          <w:color w:val="auto"/>
        </w:rPr>
      </w:pPr>
    </w:p>
    <w:p>
      <w:pPr>
        <w:ind w:left="700" w:right="180" w:firstLine="397"/>
        <w:spacing w:after="0" w:line="255" w:lineRule="auto"/>
        <w:rPr>
          <w:sz w:val="20"/>
          <w:szCs w:val="20"/>
          <w:color w:val="auto"/>
        </w:rPr>
      </w:pPr>
      <w:r>
        <w:rPr>
          <w:rFonts w:ascii="Times New Roman" w:cs="Times New Roman" w:eastAsia="Times New Roman" w:hAnsi="Times New Roman"/>
          <w:sz w:val="18"/>
          <w:szCs w:val="18"/>
          <w:color w:val="auto"/>
        </w:rPr>
        <w:t>The Department of Education may impose fines and other monetary penalties as a result of a violation of the incentive compensation law and such fines and other monetary penalties may be substantial. In addition, the Department of Education retains the authority to impose other sanctions on an institution for violations of the incentive compensation law. The possible effects of a determination of a regulatory violation are described more fully in “Regulation — Regulation of Federal Student Financial Aid Programs — Potential effect of regulatory violations.” Any such fine or other sanction could damage our reputation and impose significant costs on us, which could have a material adverse effect on our business, prospects, financial condition, and results of operations.</w:t>
      </w:r>
    </w:p>
    <w:p>
      <w:pPr>
        <w:spacing w:after="0" w:line="199" w:lineRule="exact"/>
        <w:rPr>
          <w:sz w:val="20"/>
          <w:szCs w:val="20"/>
          <w:color w:val="auto"/>
        </w:rPr>
      </w:pPr>
    </w:p>
    <w:p>
      <w:pPr>
        <w:ind w:left="900"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qui tam lawsuit has been filed against us alleging, among other things, that we have improperly compensated certain of our enrollment counselors, and we may incur liability, be subject to sanctions, or experience damage to our reputation as a result of this lawsuit.</w:t>
      </w:r>
    </w:p>
    <w:p>
      <w:pPr>
        <w:spacing w:after="0" w:line="78"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 xml:space="preserve">On September 11, 2008, we were served with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 In our case,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was initially filed under seal in August 2007 and was unsealed and served on us following the government’s decision not to intervene at that time.</w:t>
      </w:r>
    </w:p>
    <w:p>
      <w:pPr>
        <w:spacing w:after="0" w:line="92"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See “Regulation — Regulation of Federal Student Financial Aid Programs — Incentive compensation rule.”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 If it were determined that any of our compensation practices violated the incentive compensation law, we could experience an adverse outcome in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 or any liability or other sanctions that may result. It is possible that during the course of the litigation or the related Office of Inspector General investigation other information may be discovered that would adversely affect the outcome of the litigation.</w:t>
      </w: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1"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court’s mandatory scheduling order, we have entered into settlement discussions with respect to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Based on publicly available information, we believe that similar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lawsuits involving compensation practices of other post-secondary education institutions have settled (or have resulted in announced charges in anticipation of settlement) in the range of $4.9 million to $7.0 million. While we cannot assure you that this matter will be settled on terms acceptable to us or at all, we do not believe that any potential settlement, if in the amount (which is within the range of such other settlements)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204" w:lineRule="exact"/>
        <w:rPr>
          <w:sz w:val="20"/>
          <w:szCs w:val="20"/>
          <w:color w:val="auto"/>
        </w:rPr>
      </w:pPr>
    </w:p>
    <w:p>
      <w:pPr>
        <w:ind w:left="90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Congress may change the eligibility standards or reduce funding for the Title IV programs, which could reduce our student population, revenue, and profit margin.</w:t>
      </w:r>
    </w:p>
    <w:p>
      <w:pPr>
        <w:spacing w:after="0" w:line="64"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Political and budgetary concerns significantly affect the Title IV programs. The Higher Education Act, which is the federal law that governs the Title IV programs, must be periodically reauthorized by Congress, and was most recently reauthorized in August 2008. The new law contains numerous revisions to the requirements governing the Title IV programs. See “Regulation — Regulation of Federal Student Financial Aid Programs.” In addition, Congress must determine funding levels for the Title IV programs on an annual basis, and can change the laws governing the Title IV programs at any time. Because a significant percentage of our revenue is derived from the Title IV programs, any action by Congress that significantly reduces Title IV program funding or our ability or the ability of our students to participate in the Title IV programs, or otherwise requires us to modify our practices with respect to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w:t>
      </w:r>
    </w:p>
    <w:p>
      <w:pPr>
        <w:spacing w:after="0" w:line="196" w:lineRule="exact"/>
        <w:rPr>
          <w:sz w:val="20"/>
          <w:szCs w:val="20"/>
          <w:color w:val="auto"/>
        </w:rPr>
      </w:pPr>
    </w:p>
    <w:p>
      <w:pPr>
        <w:jc w:val="both"/>
        <w:ind w:left="90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80"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funds to either the reimbursement or the heightened cash monitoring system, which could result in a significant delay in the institution’s receipt of those funds. For example, when we were recertified by the Department of Education to participate in the Title IV programs in May 2005, the Department of Education reviewed our fiscal year 2004 audited financial statements and advised us that our composite score under the Department of Education’s financial responsibility formula reflected financial weakness.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2006 and 2007, the Department of Education eliminated each of these requirements and restrictions. However, if, in the future, we fail to satisfy the Department of Education’s financial responsibility standards, we could experience increased regulatory compliance costs or delays in our receipt of Title IV funds because we could be required to post a letter of credit or be subjected to operating restrictions, or both. Our failure to secure a letter of credit in</w:t>
      </w:r>
    </w:p>
    <w:p>
      <w:pPr>
        <w:spacing w:after="0" w:line="3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circumstances could cause us to lose our ability to participate in the Title IV programs, which would materially adversely affect us.</w:t>
      </w:r>
    </w:p>
    <w:p>
      <w:pPr>
        <w:spacing w:after="0" w:line="235" w:lineRule="exact"/>
        <w:rPr>
          <w:sz w:val="20"/>
          <w:szCs w:val="20"/>
          <w:color w:val="auto"/>
        </w:rPr>
      </w:pPr>
    </w:p>
    <w:p>
      <w:pPr>
        <w:ind w:left="9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80"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that the institution has an adequate number of qualified personnel to administer the Title IV programs, has adequate procedures for disbursing and safeguarding Title IV funds and for maintaining records, submits all required reports and financial statements in a timely manner, and does not have significant problems that affect the institution’s ability to administer the Title IV programs. If we fail to satisfy any of these criteria, the Department of Education may assess financial penalties against us, restrict the manner in which we receive Title IV funds to us, require us to post a letter of credit, place us on provisional certification status, or limit or terminate our participation in the Title IV programs, any of which could materially adversely affect us.</w:t>
      </w:r>
    </w:p>
    <w:p>
      <w:pPr>
        <w:spacing w:after="0" w:line="199" w:lineRule="exact"/>
        <w:rPr>
          <w:sz w:val="20"/>
          <w:szCs w:val="20"/>
          <w:color w:val="auto"/>
        </w:rPr>
      </w:pPr>
    </w:p>
    <w:p>
      <w:pPr>
        <w:ind w:left="9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64"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governance, institutional integrity, educational quality, faculty, administrative capability, resources, and financial stability. We were reaccredited by the Higher Learning Commission in 2007, and the next scheduled comprehensive evaluation will be conducted in 2016-2017. While, during the 2007 reaccreditation process, the Higher Learning Commission concluded that we were in compliance with its accreditation standards, it did note certain deficiencies to be addressed by us. See “Regulation — Accreditation.” In February 2009, we filed a monitoring report with the Higher Learning Commission addressing our progress in resolving these deficiencies and in March 2009, we received notification from the Higher Learning Commission that our report was accepted and that no further reports are required. The Higher Learning Commission is currently reviewing our request to operate at nine additional off-campus sites. If we fail to satisfy any of the Higher Learning Commission’s standards, we could lose our accreditation by the Higher Learning Commission, which would cause us to lose our eligibility to participate in the Title IV programs and could cause a significant decline in our total student enrollments and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20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our state authorization in Arizona, we may not operate or participate in the Title IV programs.</w:t>
      </w:r>
    </w:p>
    <w:p>
      <w:pPr>
        <w:spacing w:after="0" w:line="135" w:lineRule="exact"/>
        <w:rPr>
          <w:sz w:val="20"/>
          <w:szCs w:val="20"/>
          <w:color w:val="auto"/>
        </w:rPr>
      </w:pPr>
    </w:p>
    <w:p>
      <w:pPr>
        <w:ind w:left="700" w:right="160" w:firstLine="397"/>
        <w:spacing w:after="0" w:line="256" w:lineRule="auto"/>
        <w:rPr>
          <w:sz w:val="20"/>
          <w:szCs w:val="20"/>
          <w:color w:val="auto"/>
        </w:rPr>
      </w:pPr>
      <w:r>
        <w:rPr>
          <w:rFonts w:ascii="Times New Roman" w:cs="Times New Roman" w:eastAsia="Times New Roman" w:hAnsi="Times New Roman"/>
          <w:sz w:val="18"/>
          <w:szCs w:val="18"/>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480"/>
        <w:spacing w:after="0" w:line="313" w:lineRule="auto"/>
        <w:rPr>
          <w:sz w:val="20"/>
          <w:szCs w:val="20"/>
          <w:color w:val="auto"/>
        </w:rPr>
      </w:pPr>
      <w:r>
        <w:rPr>
          <w:rFonts w:ascii="Times New Roman" w:cs="Times New Roman" w:eastAsia="Times New Roman" w:hAnsi="Times New Roman"/>
          <w:sz w:val="17"/>
          <w:szCs w:val="17"/>
          <w:color w:val="auto"/>
        </w:rPr>
        <w:t>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48" w:lineRule="exact"/>
        <w:rPr>
          <w:sz w:val="20"/>
          <w:szCs w:val="20"/>
          <w:color w:val="auto"/>
        </w:rPr>
      </w:pPr>
    </w:p>
    <w:p>
      <w:pPr>
        <w:ind w:left="9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64" w:lineRule="exact"/>
        <w:rPr>
          <w:sz w:val="20"/>
          <w:szCs w:val="20"/>
          <w:color w:val="auto"/>
        </w:rPr>
      </w:pPr>
    </w:p>
    <w:p>
      <w:pPr>
        <w:ind w:left="700" w:right="80" w:firstLine="397"/>
        <w:spacing w:after="0" w:line="252" w:lineRule="auto"/>
        <w:rPr>
          <w:sz w:val="20"/>
          <w:szCs w:val="20"/>
          <w:color w:val="auto"/>
        </w:rPr>
      </w:pPr>
      <w:r>
        <w:rPr>
          <w:rFonts w:ascii="Times New Roman" w:cs="Times New Roman" w:eastAsia="Times New Roman" w:hAnsi="Times New Roman"/>
          <w:sz w:val="18"/>
          <w:szCs w:val="18"/>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Some of these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04"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In connection with our initial public offering in November 2008, we submitted a description of the offering to the Department of Education, including a description of a proxy and voting agreement that has been entered into by certain of our stockholders. Pursuant to the agreement, Brent D. Richardson, our Executive Chairman, and Christopher C. Richardson, our General Counsel and a director (collectively, the “Richardson Voting Group”), controlled the voting power of approximately 42.9% of our total outstanding voting stock after the initial public offering. See “Certain Relationships and Related Transactions — Voting Agreement.” Based on this description, the Department of Education concluded that the initial public offering did not result in a change in control under the Department of Education’s regulations. The Higher Learning Commission did consider our initial public offering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our ongoing operations and that no further action would be required as a result of the change in control. As a result, the Higher Learning Commission formally approved the change in control in June 2009. In addition, we notified the Arizona State Board for Private Postsecondary Education of our initial public offering and, based on our communications with that agency, we do not believe that our initial public offering constituted a change in control under Arizona law. We also notified other accrediting commissions and state agencies, as we believed necessary, of our initial public offering and the reasons why we believed the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has advised us that it concluded that the offering constituted a change in control under its policies or that it required us to take any further action.</w:t>
      </w:r>
    </w:p>
    <w:p>
      <w:pPr>
        <w:spacing w:after="0" w:line="98"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With respect to publicly-traded corporations, like us, Department of Education regulations provide that a change in control occurs if either: (i) there is an event that would obligate the corporation to file a Current</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8" w:lineRule="auto"/>
        <w:rPr>
          <w:sz w:val="20"/>
          <w:szCs w:val="20"/>
          <w:color w:val="auto"/>
        </w:rPr>
      </w:pPr>
      <w:r>
        <w:rPr>
          <w:rFonts w:ascii="Times New Roman" w:cs="Times New Roman" w:eastAsia="Times New Roman" w:hAnsi="Times New Roman"/>
          <w:sz w:val="17"/>
          <w:szCs w:val="17"/>
          <w:color w:val="auto"/>
        </w:rPr>
        <w:t>Report on Form 8-K with the Securities and Exchange Commission, or the SEC, disclosing a change in control, or (ii) the corporation has a stockholder that owns, or has voting control over, at least 25% of the total outstanding voting stock of the corporation and is the largest stockholder of the corporation, and that stockholder ceases to own, or have voting control over, at least 25% of such stock or ceases to be the largest stockholder. The Higher Learning Commission adopted new policies and procedures with respect to changes in control in June 2009, and one such policy provides that an institution is considered to undergo a change in control if a person or group increases or decreases its control of shares to greater than or less than 25% of the total outstanding shares of the stock of a parent corporation that owns or controls the accredited institution and, in such event, requires the institution to obtain its approval in advance of the change. In addition, the standards of the Arizona State Board for Private Postsecondary Education provide that an institution that is owned by a publicly-traded corporation whose control is vested in the voting members of the board of directors, like us, undergoes a change in control if 50% or more of the voting members of the board of directors change within a 12-month period or the chief executive officer of the corporation changes. Based on the number of shares of common stock expected to be sold by us and the selling stockholders in this offering, and the addition of the Endeavour Entities (as defined herein) as parties to the proxy and voting agreement, we believe that the Richardson Voting Group will continue to have voting power over 25% or more of our total outstanding voting stock after the completion of the offering and that this offering will not constitute a change in control under the Department of Education’s regulations. In addition, we have been advised by the Higher Learning Commission and the Arizona State Board for Private Postsecondary Education that this offering will not constitute a change in control under their respective rules and policies, but we have not received any indication from the Department of Education whether it will consider this offering to constitute a change in control under its regulations.</w:t>
      </w:r>
    </w:p>
    <w:p>
      <w:pPr>
        <w:spacing w:after="0" w:line="84" w:lineRule="exact"/>
        <w:rPr>
          <w:sz w:val="20"/>
          <w:szCs w:val="20"/>
          <w:color w:val="auto"/>
        </w:rPr>
      </w:pPr>
    </w:p>
    <w:p>
      <w:pPr>
        <w:ind w:left="700" w:right="60" w:firstLine="397"/>
        <w:spacing w:after="0" w:line="267" w:lineRule="auto"/>
        <w:rPr>
          <w:sz w:val="20"/>
          <w:szCs w:val="20"/>
          <w:color w:val="auto"/>
        </w:rPr>
      </w:pPr>
      <w:r>
        <w:rPr>
          <w:rFonts w:ascii="Times New Roman" w:cs="Times New Roman" w:eastAsia="Times New Roman" w:hAnsi="Times New Roman"/>
          <w:sz w:val="17"/>
          <w:szCs w:val="17"/>
          <w:color w:val="auto"/>
        </w:rPr>
        <w:t xml:space="preserve">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pursuant to the voting agreement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we will lose our eligibility to participate in the Title IV programs and must apply to the Department of Education in order to reestablish such eligibility. If we file the required application and follow other procedures, the Department of Education may temporarily certify us on a provisional basis following the change in control, so that our students retain access to Title IV program funds until the Department of Education completes its full review. In addition, the Department of Education will extend such temporary provisional certification if we timely file other required materials. While we expect to file all such applications and other materials within applicable deadlines, there is no assurance that we will be able to do so because we cannot be certain of the percentage of stock that is subject to the Richardson Voting Group at any given time in order to be certain if and when the Richardson Voting Group falls below the applicable 25% threshold. If we fail to meet any of these application and other deadlines, our certification will expire and our students will not be eligible to receive Title IV program funds until the Department of Education completes its full review, which commonly takes several months and may take longer. If the Department of Education approves our application after a change in control, it will certify us on a provisional basis for a period of up to approximately three years, although we cannot predict how the Department of Education will process this provisional recertification or what restrictions may be imposed if such change in control occurs while we remain on month-to-month status and subject to the ongoing investigation by the Office of Inspector General of the Department of Education or the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lawsuit. See “Regulation — Regulatory Standards that May Restrict Institutional Expansion or Other Changes — Change in ownership resulting in a change in control.”</w:t>
      </w:r>
    </w:p>
    <w:p>
      <w:pPr>
        <w:spacing w:after="0" w:line="308" w:lineRule="exact"/>
        <w:rPr>
          <w:sz w:val="20"/>
          <w:szCs w:val="20"/>
          <w:color w:val="auto"/>
        </w:rPr>
      </w:pPr>
    </w:p>
    <w:p>
      <w:pPr>
        <w:ind w:left="700" w:right="420" w:firstLine="397"/>
        <w:spacing w:after="0" w:line="266" w:lineRule="auto"/>
        <w:rPr>
          <w:sz w:val="20"/>
          <w:szCs w:val="20"/>
          <w:color w:val="auto"/>
        </w:rPr>
      </w:pPr>
      <w:r>
        <w:rPr>
          <w:rFonts w:ascii="Times New Roman" w:cs="Times New Roman" w:eastAsia="Times New Roman" w:hAnsi="Times New Roman"/>
          <w:sz w:val="18"/>
          <w:szCs w:val="18"/>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Times New Roman" w:cs="Times New Roman" w:eastAsia="Times New Roman" w:hAnsi="Times New Roman"/>
          <w:sz w:val="18"/>
          <w:szCs w:val="18"/>
          <w:color w:val="auto"/>
        </w:rPr>
        <w:t>because we may be unaware when such event occurs, we would seek the cooperation of the Higher Learning Commission to allow us to arrange an appropriate review procedure at that time since there may not be an opportunity to obtain the Higher Learning Commission’s advance review and approval, as is typically required by its policies. In that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of accreditation would result in our loss of eligibility to participate in the Title IV programs and cause a significant decline in our student enrollments.</w:t>
      </w:r>
    </w:p>
    <w:p>
      <w:pPr>
        <w:spacing w:after="0" w:line="199" w:lineRule="exact"/>
        <w:rPr>
          <w:sz w:val="20"/>
          <w:szCs w:val="20"/>
          <w:color w:val="auto"/>
        </w:rPr>
      </w:pPr>
    </w:p>
    <w:p>
      <w:pPr>
        <w:ind w:left="90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substantial number of our students cannot secure Title IV loans as a result of decreased lender participation in the Title IV programs or if lenders increase the costs or reduce the benefits associated with the Title IV loans they provide, we could be materially adversely affected.</w:t>
      </w:r>
    </w:p>
    <w:p>
      <w:pPr>
        <w:spacing w:after="0" w:line="80" w:lineRule="exact"/>
        <w:rPr>
          <w:sz w:val="20"/>
          <w:szCs w:val="20"/>
          <w:color w:val="auto"/>
        </w:rPr>
      </w:pPr>
    </w:p>
    <w:p>
      <w:pPr>
        <w:ind w:left="700" w:right="180" w:firstLine="397"/>
        <w:spacing w:after="0" w:line="255" w:lineRule="auto"/>
        <w:rPr>
          <w:sz w:val="20"/>
          <w:szCs w:val="20"/>
          <w:color w:val="auto"/>
        </w:rPr>
      </w:pPr>
      <w:r>
        <w:rPr>
          <w:rFonts w:ascii="Times New Roman" w:cs="Times New Roman" w:eastAsia="Times New Roman" w:hAnsi="Times New Roman"/>
          <w:sz w:val="18"/>
          <w:szCs w:val="18"/>
          <w:color w:val="auto"/>
        </w:rPr>
        <w:t>The cumulative impact of recent regulatory and market developments and conditions, including the widespread disruption in the credit and financial markets, has caused some lenders to cease providing Title IV loans to students, including some lenders that previously provided our students with Title IV loans, also known as Federal Family Education program loans, or FFEL loans. Other lenders have reduced the benefits and increased the fees associated with the Title IV loans they provide. We and other schools have had to modify student loan practices in ways that result in higher administrative costs. If the cost of Title IV loans increases or availability decreases, some students may not be able to take out loans and may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91" w:lineRule="exact"/>
        <w:rPr>
          <w:sz w:val="20"/>
          <w:szCs w:val="20"/>
          <w:color w:val="auto"/>
        </w:rPr>
      </w:pPr>
    </w:p>
    <w:p>
      <w:pPr>
        <w:ind w:left="1700" w:right="80" w:hanging="211"/>
        <w:spacing w:after="0" w:line="281" w:lineRule="auto"/>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Department of Education to purchase Title IV loans from lenders, thereby providing capital to the lenders to enable them to continue making Title IV loans to students; and</w:t>
      </w:r>
    </w:p>
    <w:p>
      <w:pPr>
        <w:spacing w:after="0" w:line="1" w:lineRule="exact"/>
        <w:rPr>
          <w:rFonts w:ascii="Times New Roman" w:cs="Times New Roman" w:eastAsia="Times New Roman" w:hAnsi="Times New Roman"/>
          <w:sz w:val="18"/>
          <w:szCs w:val="18"/>
          <w:color w:val="auto"/>
        </w:rPr>
      </w:pPr>
    </w:p>
    <w:p>
      <w:pPr>
        <w:ind w:left="1700" w:right="80" w:hanging="211"/>
        <w:spacing w:after="0" w:line="266" w:lineRule="auto"/>
        <w:tabs>
          <w:tab w:leader="none" w:pos="1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82"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in the process of considering legislation to eliminate the FFEL loan program and move all federal student lending into the Federal Direct Loan Program, known as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98" w:lineRule="exact"/>
        <w:rPr>
          <w:sz w:val="20"/>
          <w:szCs w:val="20"/>
          <w:color w:val="auto"/>
        </w:rPr>
      </w:pPr>
    </w:p>
    <w:p>
      <w:pPr>
        <w:ind w:left="90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new regulations promulgated by the Department of Education could result in financial penalties, or the limitation, suspension, or termination of our continued participation in the Title IV programs.</w:t>
      </w:r>
    </w:p>
    <w:p>
      <w:pPr>
        <w:spacing w:after="0" w:line="64" w:lineRule="exact"/>
        <w:rPr>
          <w:sz w:val="20"/>
          <w:szCs w:val="20"/>
          <w:color w:val="auto"/>
        </w:rPr>
      </w:pPr>
    </w:p>
    <w:p>
      <w:pPr>
        <w:ind w:left="700" w:right="180" w:firstLine="397"/>
        <w:spacing w:after="0" w:line="261" w:lineRule="auto"/>
        <w:rPr>
          <w:sz w:val="20"/>
          <w:szCs w:val="20"/>
          <w:color w:val="auto"/>
        </w:rPr>
      </w:pPr>
      <w:r>
        <w:rPr>
          <w:rFonts w:ascii="Times New Roman" w:cs="Times New Roman" w:eastAsia="Times New Roman" w:hAnsi="Times New Roman"/>
          <w:sz w:val="18"/>
          <w:szCs w:val="18"/>
          <w:color w:val="auto"/>
        </w:rPr>
        <w:t>The Department of Education has been working since December 2008 to develop regulations through a negotiated rulemaking process to carry out the numerous revisions to the Title IV program regulations required by the reauthorization of the Higher Education Act in August 2008. Negotiated rulemaking is a process whereby the Department of Education consults with members of the postsecondary education community to</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identify issues of concern and attempts to agree on proposed regulatory revisions to address those issues before the Department of Education formally proposes any regulations. Following the conclusion of such negotiated rulemaking, in July and August 2009, the Department of Education proposed regulations relating to, among other things, the relationships between schools and lenders of both private and Title IV loans, the approval and oversight of accrediting agencies, and general programmatic requirements applicable to the Title IV programs, including the “90/10 Rule.” The Department of Education is expected to publish new final regulations by November 1, 2009, which is the required deadline in order for such regulations to take effect on July 1, 2010. In addition, in May 2009, the Department of Education announced its intent to establish new negotiated rulemaking committees that are expected to begin their discussions as soon as the fall of 2009, and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on student financial aid applications; and the definition of a high school diploma as a condition of a student’s eligibility for Title IV aid.</w:t>
      </w:r>
    </w:p>
    <w:p>
      <w:pPr>
        <w:spacing w:after="0" w:line="96"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issues addressed in the regulations that have been or are expected to be proposed by the Department of Education, as well as the issues to be addressed in the upcoming negotiated rulemaking process, are broad and complex and concern a number of significant aspects of the Title IV programs, including eligibility and certification, administrative capability, school-lender relationships, the “90/10 Rule,” incentive compensation, and student loan default rates. See “Regulation — Regulation of Student Financial Aid Programs — The 90/10 Rule.” At this time, we cannot be certain whether and to what extent any changes may affect our ability to remain eligible to participate in the Title IV programs or require us to incur additional costs in connection with our administration of the Title IV programs. Any future changes that jeopardize our eligibility to participate in some or all of the Title IV programs could materially adversely affect us.</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interest rates could adversely affect our ability to attract and retain students.</w:t>
      </w:r>
    </w:p>
    <w:p>
      <w:pPr>
        <w:spacing w:after="0" w:line="135"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For our fiscal years ended December 31, 2007 and 2008, we derived cash receipts equal to approximately 70.2% and 74.4%, respectively, of our net revenue from tuition financed under the Title IV programs, which include student loans with interest rates subsidized by the federal government. Additionally, some of our students finance their education through private loans that are not subsidized. If our students’ employment circumstances are adversely affected by regional or national economic downturns, they may be more heavily dependent on student loans. Interest rates have reached relatively low levels in recent years, creating a favorable borrowing environment for students. However, in the event interest rates increase or Congress decreases the amount available for federal student aid, our students may have to pay higher interest rates on their loans. Any future increase in interest rates will result in a corresponding increase in educational costs to our existing and prospective students, which could result in a significant reduction in our student population and revenues. Higher interest rates could also contribute to higher default rates with respect to our students’ repayment of their education loans. Higher default rates may in turn adversely impact our eligibility to participate in some or all of the Title IV programs, which could result in a significant reduction in our student population and our profitability. See “We may lose our eligibility to participate in the Title IV programs if our student loan default rates are too high” located elsewhere in “Risk Factors” for further information.</w:t>
      </w:r>
    </w:p>
    <w:p>
      <w:pPr>
        <w:spacing w:after="0" w:line="198" w:lineRule="exact"/>
        <w:rPr>
          <w:sz w:val="20"/>
          <w:szCs w:val="20"/>
          <w:color w:val="auto"/>
        </w:rPr>
      </w:pPr>
    </w:p>
    <w:p>
      <w:pPr>
        <w:ind w:left="90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regulatory requirements of states other than Arizona could result in actions taken by those states that could have a material adverse effect on our enrollments.</w:t>
      </w:r>
    </w:p>
    <w:p>
      <w:pPr>
        <w:spacing w:after="0" w:line="64"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In addition, several states have sought to assert jurisdiction over educational institutions offering online degree programs that have no physical location in the</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8" w:lineRule="auto"/>
        <w:rPr>
          <w:sz w:val="20"/>
          <w:szCs w:val="20"/>
          <w:color w:val="auto"/>
        </w:rPr>
      </w:pPr>
      <w:r>
        <w:rPr>
          <w:rFonts w:ascii="Times New Roman" w:cs="Times New Roman" w:eastAsia="Times New Roman" w:hAnsi="Times New Roman"/>
          <w:sz w:val="18"/>
          <w:szCs w:val="18"/>
          <w:color w:val="auto"/>
        </w:rPr>
        <w:t>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the future, states could coordinate their efforts in order to more aggressively attempt to regulate or restrict schools’ offering of online education.</w:t>
      </w:r>
    </w:p>
    <w:p>
      <w:pPr>
        <w:spacing w:after="0" w:line="89" w:lineRule="exact"/>
        <w:rPr>
          <w:sz w:val="20"/>
          <w:szCs w:val="20"/>
          <w:color w:val="auto"/>
        </w:rPr>
      </w:pPr>
    </w:p>
    <w:p>
      <w:pPr>
        <w:ind w:left="700" w:right="180" w:firstLine="397"/>
        <w:spacing w:after="0" w:line="255" w:lineRule="auto"/>
        <w:rPr>
          <w:sz w:val="20"/>
          <w:szCs w:val="20"/>
          <w:color w:val="auto"/>
        </w:rPr>
      </w:pPr>
      <w:r>
        <w:rPr>
          <w:rFonts w:ascii="Times New Roman" w:cs="Times New Roman" w:eastAsia="Times New Roman" w:hAnsi="Times New Roman"/>
          <w:sz w:val="18"/>
          <w:szCs w:val="18"/>
          <w:color w:val="auto"/>
        </w:rPr>
        <w:t>In addition to Arizona, we have determined that our activities in certain states constitute a presence requiring licensure or authorization under the requirements of the state education agency in those states. In certain other states, we have obtained approvals to operate as we have determined necessary in connection with our marketing and recruiting activities.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The loss of licensure or authorization in a state other than Arizona could prohibit us from recruiting prospective students or offering educational services to current students in that state, which could significantly reduce our enrollments and revenues and materially adversely effect us.</w:t>
      </w:r>
    </w:p>
    <w:p>
      <w:pPr>
        <w:spacing w:after="0" w:line="91" w:lineRule="exact"/>
        <w:rPr>
          <w:sz w:val="20"/>
          <w:szCs w:val="20"/>
          <w:color w:val="auto"/>
        </w:rPr>
      </w:pPr>
    </w:p>
    <w:p>
      <w:pPr>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86" w:lineRule="exact"/>
        <w:rPr>
          <w:sz w:val="20"/>
          <w:szCs w:val="20"/>
          <w:color w:val="auto"/>
        </w:rPr>
      </w:pPr>
    </w:p>
    <w:p>
      <w:pPr>
        <w:ind w:left="90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64" w:lineRule="exact"/>
        <w:rPr>
          <w:sz w:val="20"/>
          <w:szCs w:val="20"/>
          <w:color w:val="auto"/>
        </w:rPr>
      </w:pPr>
    </w:p>
    <w:p>
      <w:pPr>
        <w:ind w:left="700" w:right="180" w:firstLine="397"/>
        <w:spacing w:after="0" w:line="255" w:lineRule="auto"/>
        <w:rPr>
          <w:sz w:val="20"/>
          <w:szCs w:val="20"/>
          <w:color w:val="auto"/>
        </w:rPr>
      </w:pPr>
      <w:r>
        <w:rPr>
          <w:rFonts w:ascii="Times New Roman" w:cs="Times New Roman" w:eastAsia="Times New Roman" w:hAnsi="Times New Roman"/>
          <w:sz w:val="18"/>
          <w:szCs w:val="18"/>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95" w:lineRule="exact"/>
        <w:rPr>
          <w:sz w:val="20"/>
          <w:szCs w:val="20"/>
          <w:color w:val="auto"/>
        </w:rPr>
      </w:pPr>
    </w:p>
    <w:p>
      <w:pPr>
        <w:ind w:left="900" w:right="2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regulation by various governmental agencies of relationships between student loan providers and educational institutions and their employees have produced significant uncertainty concerning restrictions applicable to the administration of both Title IV and private student loan programs and the funding for those programs which, if not satisfactorily or timely resolved, could result in increased regulatory burdens and costs for us and could adversely affect our student enrollments.</w:t>
      </w:r>
    </w:p>
    <w:p>
      <w:pPr>
        <w:spacing w:after="0" w:line="89"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During 2007 and 2008, both Title IV and private student loan programs came under increased scrutiny by the Department of Education, Congress, state attorneys general, and other parties. Issues that received extensive attention included allegations of conflicts of interest between some institutions and lenders that provide student loans, questionable incentives given by lenders to some schools and school employees, allegations of deceptive practices in the marketing of student loans, and schools leading students to use certain lenders. Several institutions and lenders were cited for these problems and paid several million dollars in the aggregate to settle those claims. The practices of numerous other schools and lenders were, and in some cases continue to be, examined by government agencies at the federal and state level. The Attorney General of the State of Arizona requested extensive documentation from us and other institutions in Arizona concerning student loan practices, and we provided testimony in response to a subpoena from the Attorney General of the State of Arizona about such practices. In 2008, without admitting any wrongdoing, we agreed with the Attorney General of the State of Arizona to conclude its investigation of us by executing a Letter of</w:t>
      </w:r>
    </w:p>
    <w:p>
      <w:pPr>
        <w:spacing w:after="0" w:line="3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266" w:lineRule="auto"/>
        <w:rPr>
          <w:sz w:val="20"/>
          <w:szCs w:val="20"/>
          <w:color w:val="auto"/>
        </w:rPr>
      </w:pPr>
      <w:r>
        <w:rPr>
          <w:rFonts w:ascii="Times New Roman" w:cs="Times New Roman" w:eastAsia="Times New Roman" w:hAnsi="Times New Roman"/>
          <w:sz w:val="18"/>
          <w:szCs w:val="18"/>
          <w:color w:val="auto"/>
        </w:rPr>
        <w:t>Assurance, whereby we agreed to conduct referrals of students to lenders in accordance with our existing policies or any new policies promulgated by the State of Arizona in the future and to reimburse the state for the costs of its investigation in the amount of approximately $20,000.</w:t>
      </w:r>
    </w:p>
    <w:p>
      <w:pPr>
        <w:spacing w:after="0" w:line="82" w:lineRule="exact"/>
        <w:rPr>
          <w:sz w:val="20"/>
          <w:szCs w:val="20"/>
          <w:color w:val="auto"/>
        </w:rPr>
      </w:pPr>
    </w:p>
    <w:p>
      <w:pPr>
        <w:ind w:left="700" w:right="80" w:firstLine="397"/>
        <w:spacing w:after="0" w:line="253" w:lineRule="auto"/>
        <w:rPr>
          <w:sz w:val="20"/>
          <w:szCs w:val="20"/>
          <w:color w:val="auto"/>
        </w:rPr>
      </w:pPr>
      <w:r>
        <w:rPr>
          <w:rFonts w:ascii="Times New Roman" w:cs="Times New Roman" w:eastAsia="Times New Roman" w:hAnsi="Times New Roman"/>
          <w:sz w:val="18"/>
          <w:szCs w:val="18"/>
          <w:color w:val="auto"/>
        </w:rPr>
        <w:t>As a result of the increased scrutiny of student loan programs, Congress has passed new laws, the Department of Education and the Board of Governors of the Federal Reserve System have promulgated or proposed new and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loans to students in exchange for Title IV loan volume from schools, and require schools and lenders to provide additional information to students concerning institutionally preferred lenders and the terms of available student loans. The environment surrounding access to and cost of student loans remains in a state of flux, with additional legislation and regulatory changes being considered at the state and federal levels. The Department of Education proposed new regulations regarding student loans in July 2009, which could go into effect on July 1, 2010, and Congress is considering legislation to eliminate the FFEL loan program and move all federal student lending into the FDL program. This uncertainty, and any resolution of these issues that increases loan costs or reduces students’ access to student loans, may adversely affect our student enrollments, which could have an adverse effect on us.</w:t>
      </w:r>
    </w:p>
    <w:p>
      <w:pPr>
        <w:spacing w:after="0" w:line="200" w:lineRule="exact"/>
        <w:rPr>
          <w:sz w:val="20"/>
          <w:szCs w:val="20"/>
          <w:color w:val="auto"/>
        </w:rPr>
      </w:pPr>
    </w:p>
    <w:p>
      <w:pPr>
        <w:ind w:left="900" w:right="2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63"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As we grow larger, this scrutiny of our business may increase.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In this regard, we are currently subject to an investigation by the Department of Education’s Office of Inspector General, which is focused on the manner in which we have compensated our enrollment counselors and managers, and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brought by a former employee alleging violations in the same area. See “Risk Factors — The Office of Inspector General of the Department of Education has commenced an investigation of Grand Canyon University, which is ongoing and which may result in fines, penalties, other sanctions, and damage to our reputation in the industry,” “Risk Factors —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has been filed against us alleging, among other things, that we have improperly compensated certain of our enrollment counselors, and we may incur liability, be subject to sanctions, or experience damage to our reputation as a result of this lawsuit,” and “Regulation — Regulation of Federal Student Financial Aid Programs — Incentive compensation rule.”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203" w:lineRule="exact"/>
        <w:rPr>
          <w:sz w:val="20"/>
          <w:szCs w:val="20"/>
          <w:color w:val="auto"/>
        </w:rPr>
      </w:pPr>
    </w:p>
    <w:p>
      <w:pPr>
        <w:ind w:left="90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at our schools, which could negatively impact our future growth.</w:t>
      </w:r>
    </w:p>
    <w:p>
      <w:pPr>
        <w:spacing w:after="0" w:line="80"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According to a March 2009 report from the NCES, enrollment in degree-granting, postsecondary institutions is projected to grow 10.0% over the ten-year period ending fall 2017 to approximately</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20.1 million. This growth is slower than the 25.8% increase reported in the prior ten-year period ended in fall 2007, when enrollment increased from 14.5 million in 1997 to 18.2 million in 2007. Similarly, a 2008 study by Eduventures, LLC, projects a compound annual growth rate of 12.5% in online postsecondary education enrollment over the five-year period ending fall 2013, which represents an aggregate increase in online enrollment of 1.5 million. This growth is slower than the 25.3% compound annual growth rate in the prior five-year period ending fall 2008, which represented an aggregate increase in online enrollment of 1.3 million. In addition, according to a March 2008 report from the Western Interstate Commission for Higher Education, the number of high school graduates that are eligible to enroll in degree-granting, postsecondary institutions is expected to peak at approximately 3.3 million for the class of 2008, falling in the period between 2007-08 and 2013-14 by about 150,000 in total before resuming a growth pattern for the foreseeable future thereafter.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98" w:lineRule="exact"/>
        <w:rPr>
          <w:sz w:val="20"/>
          <w:szCs w:val="20"/>
          <w:color w:val="auto"/>
        </w:rPr>
      </w:pPr>
    </w:p>
    <w:p>
      <w:pPr>
        <w:ind w:left="9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students were unable to obtain private loans from third-party lenders, our business could be adversely affected given our students’ reliance on such loans to satisfy their educational expenses.</w:t>
      </w:r>
    </w:p>
    <w:p>
      <w:pPr>
        <w:spacing w:after="0" w:line="64"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During the fiscal year ended December 31, 2008, private loans to students at our school represented approximately 2.9% of our revenue (calculated on a cash basis) as compared to 5.1% of revenue in fiscal 2007. These loans were provided pursuant to private loan programs and were made available to eligible students to fund a portion of the students’ costs of education not covered by the Title IV programs and state financial aid sources. Private loans are made to our students by lending institutions and are non-recourse to us. The 2008 reauthorization of the Higher Education Act and related proposed and final regulations place significant new restrictions on the relationships between institutions and the providers of private loans, and require that certain specific terms and disclosures accompany such loans. This increased regulatory burden, coupled with recent adverse market conditions for consumer and federally guaranteed student loans (including lenders’ difficulties in reselling or syndicating student loan portfolios) have resulted, and could continue to result, in providers of private loans reducing the availability of or increasing the costs associated with providing private loans to postsecondary students. In particular, loans to students with low credit scores who would not otherwise be eligible for credit-based private loans have become increasingly difficult to obtain. Prospective students may find that these increased financing costs make borrowing prohibitively expensive and abandon or delay enrollment in postsecondary education programs. If any of these scenarios were to occur, our students’ ability to finance their education could be adversely affected and our student population could decrease, which could have a material adverse effect on our business, prospects, financial condition, and results of operations.</w:t>
      </w:r>
    </w:p>
    <w:p>
      <w:pPr>
        <w:spacing w:after="0" w:line="208" w:lineRule="exact"/>
        <w:rPr>
          <w:sz w:val="20"/>
          <w:szCs w:val="20"/>
          <w:color w:val="auto"/>
        </w:rPr>
      </w:pPr>
    </w:p>
    <w:p>
      <w:pPr>
        <w:ind w:left="90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if we pay impermissible commissions, bonuses, or other incentive payments to persons involved in certain recruiting, admissions, or financial aid activities.</w:t>
      </w:r>
    </w:p>
    <w:p>
      <w:pPr>
        <w:spacing w:after="0" w:line="64"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A school participating in the Title IV programs may not provide, or contract with a third party that provides, any commission, bonus, or other incentive payment based on success in enrolling students or securing financial aid to any person involved in student recruiting or admission activities or in making decisions regarding the awarding of Title IV program funds. The Department of Education’s regulations set forth 12 “safe harbors” which describe payments and arrangements that do not violate the incentive compensation rule. The Department of Education’s regulations make clear that the safe harbors are not a complete list of permissible practices under this law.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In addition, such safe harbors do not address non-cash awards to enrollment personnel.</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 xml:space="preserve">As described in “Risk Factors — The Office of Inspector General of the Department of Education has commenced an investigation of Grand Canyon University, which is ongoing and which may result in fines, penalties, other sanctions, and damage to our reputation in the industry,” and in “Regulation — Regulation of Federal Student Financial Aid Programs — Incentive compensation rule,” we are currently subject to an investigation by the Department of Education’s Office of Inspector General, which is focused on the manner in which we have compensated our enrollment counselors and managers. In addition, in recent years several for-profit education companies, including us, have been faced with whistleblower lawsuits, known as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cases, by current or former employees alleging violations of this prohibition. See “Risk Factors — A qui tam lawsuit has been filed against us alleging, among other things, that we have improperly compensated certain of our enrollment counselors, and we may incur liability, be subject to sanctions, or experience damage to our reputation as a result of this lawsuit.”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If the Department of Education determines as a result of the pending investigation that we have violated this law, if we are found to be liable in the pending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or if we or any third parties we have engaged otherwise violate this law, we could be fined or sanctioned by the Department of Education, or subjected to other monetary liability or penalties that could be substantial, any of which could harm our reputation, impose significant costs on us, and have a material adverse effect on our business, prospects, financial condition, and results of operations.</w:t>
      </w:r>
    </w:p>
    <w:p>
      <w:pPr>
        <w:spacing w:after="0" w:line="204" w:lineRule="exact"/>
        <w:rPr>
          <w:sz w:val="20"/>
          <w:szCs w:val="20"/>
          <w:color w:val="auto"/>
        </w:rPr>
      </w:pPr>
    </w:p>
    <w:p>
      <w:pPr>
        <w:ind w:left="90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reputation and our stock price may be negatively affected by adverse publicity or by the actions of other postsecondary educational institutions.</w:t>
      </w:r>
    </w:p>
    <w:p>
      <w:pPr>
        <w:spacing w:after="0" w:line="64" w:lineRule="exact"/>
        <w:rPr>
          <w:sz w:val="20"/>
          <w:szCs w:val="20"/>
          <w:color w:val="auto"/>
        </w:rPr>
      </w:pPr>
    </w:p>
    <w:p>
      <w:pPr>
        <w:ind w:left="700" w:right="100" w:firstLine="397"/>
        <w:spacing w:after="0" w:line="254" w:lineRule="auto"/>
        <w:rPr>
          <w:sz w:val="20"/>
          <w:szCs w:val="20"/>
          <w:color w:val="auto"/>
        </w:rPr>
      </w:pPr>
      <w:r>
        <w:rPr>
          <w:rFonts w:ascii="Times New Roman" w:cs="Times New Roman" w:eastAsia="Times New Roman" w:hAnsi="Times New Roman"/>
          <w:sz w:val="18"/>
          <w:szCs w:val="18"/>
          <w:color w:val="auto"/>
        </w:rPr>
        <w:t>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96" w:lineRule="exact"/>
        <w:rPr>
          <w:sz w:val="20"/>
          <w:szCs w:val="20"/>
          <w:color w:val="auto"/>
        </w:rPr>
      </w:pPr>
    </w:p>
    <w:p>
      <w:pPr>
        <w:ind w:left="9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percentage of our revenue that is derived from the Title IV programs is too high, we may lose our eligibility to participate in those programs.</w:t>
      </w:r>
    </w:p>
    <w:p>
      <w:pPr>
        <w:spacing w:after="0" w:line="64" w:lineRule="exact"/>
        <w:rPr>
          <w:sz w:val="20"/>
          <w:szCs w:val="20"/>
          <w:color w:val="auto"/>
        </w:rPr>
      </w:pPr>
    </w:p>
    <w:p>
      <w:pPr>
        <w:ind w:left="700" w:right="160" w:firstLine="397"/>
        <w:spacing w:after="0" w:line="253" w:lineRule="auto"/>
        <w:rPr>
          <w:sz w:val="20"/>
          <w:szCs w:val="20"/>
          <w:color w:val="auto"/>
        </w:rPr>
      </w:pPr>
      <w:r>
        <w:rPr>
          <w:rFonts w:ascii="Times New Roman" w:cs="Times New Roman" w:eastAsia="Times New Roman" w:hAnsi="Times New Roman"/>
          <w:sz w:val="18"/>
          <w:szCs w:val="18"/>
          <w:color w:val="auto"/>
        </w:rPr>
        <w:t>A for-profit institution loses its eligibility to participate in the Title IV programs if, under a formula that requires cash basis accounting and other adjustments to the calculation of revenue, it derives more than 90% of its revenues from those programs in two consecutive fiscal years. The period of ineligibility covers at least the next two succeeding fiscal years and any Title IV funds already received by the institution and its students during the period of ineligibility would have to be returned to the applicable lender or the Department of Education. An institution whose rate exceeds 90% for any single year will be placed on provisional certification for at least two fiscal years. The August 2008 reauthorization of the Higher Education Act made significant changes to this revenue requirement, including certain changes to the formula used to calculate a school’s ratio. Using the Department of Education’s formula that was in effect prior to the August 2008 reauthorization of the Higher Education Act, we have calculated that, for our 2007 and 2008 fiscal years, we derived approximately 74.0% and 78.6%, respectively, of our revenue from the Title IV programs. We are currently assessing what impact, if any, the revised formula and other changes in federal law will have on our 90/10 calculation. As a result of recent changes in federal law that increased Title IV grant and loan limits, as</w:t>
      </w:r>
    </w:p>
    <w:p>
      <w:pPr>
        <w:spacing w:after="0" w:line="3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8"/>
          <w:szCs w:val="18"/>
          <w:color w:val="auto"/>
        </w:rPr>
        <w:t>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 Exceeding the 90% threshold such that we lost our eligibility to participate in the Title IV programs would have a material adverse effect on our business, prospects, financial condition, and results of operations.</w:t>
      </w:r>
    </w:p>
    <w:p>
      <w:pPr>
        <w:spacing w:after="0" w:line="1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eligibility to participate in the Title IV programs if our student loan default rates are too high.</w:t>
      </w:r>
    </w:p>
    <w:p>
      <w:pPr>
        <w:spacing w:after="0" w:line="135"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take effect for institutions’ cohort default rates for federal fiscal year 2009, which are expected to be calculated and issued by the Department of Education in 2012. While our cohort default rates have historically been significantly below these levels, we cannot assure you that this will continue to be the case. For example, we expect our cohort default rate for the 2008 federal fiscal year to increase (but remain well below the Department of Education’s thresholds) due primarily to the impact of current economic conditions on our students and former students. In addition,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204" w:lineRule="exact"/>
        <w:rPr>
          <w:sz w:val="20"/>
          <w:szCs w:val="20"/>
          <w:color w:val="auto"/>
        </w:rPr>
      </w:pPr>
    </w:p>
    <w:p>
      <w:pPr>
        <w:ind w:left="90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64"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funds that should have been returned for such students in the prior fiscal year, we may be liable for repayment of Title IV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99" w:lineRule="exact"/>
        <w:rPr>
          <w:sz w:val="20"/>
          <w:szCs w:val="20"/>
          <w:color w:val="auto"/>
        </w:rPr>
      </w:pPr>
    </w:p>
    <w:p>
      <w:pPr>
        <w:ind w:left="90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80" w:lineRule="exact"/>
        <w:rPr>
          <w:sz w:val="20"/>
          <w:szCs w:val="20"/>
          <w:color w:val="auto"/>
        </w:rPr>
      </w:pPr>
    </w:p>
    <w:p>
      <w:pPr>
        <w:ind w:left="700" w:right="160" w:firstLine="397"/>
        <w:spacing w:after="0" w:line="282" w:lineRule="auto"/>
        <w:rPr>
          <w:sz w:val="20"/>
          <w:szCs w:val="20"/>
          <w:color w:val="auto"/>
        </w:rPr>
      </w:pPr>
      <w:r>
        <w:rPr>
          <w:rFonts w:ascii="Times New Roman" w:cs="Times New Roman" w:eastAsia="Times New Roman" w:hAnsi="Times New Roman"/>
          <w:sz w:val="18"/>
          <w:szCs w:val="18"/>
          <w:color w:val="auto"/>
        </w:rPr>
        <w:t>Our expansion efforts include offering new educational programs. In addition, we may increase our operations in additional states and seek to acquire existing schools from other companies. If we are unable to</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6" w:lineRule="auto"/>
        <w:rPr>
          <w:sz w:val="20"/>
          <w:szCs w:val="20"/>
          <w:color w:val="auto"/>
        </w:rPr>
      </w:pPr>
      <w:r>
        <w:rPr>
          <w:rFonts w:ascii="Times New Roman" w:cs="Times New Roman" w:eastAsia="Times New Roman" w:hAnsi="Times New Roman"/>
          <w:sz w:val="18"/>
          <w:szCs w:val="18"/>
          <w:color w:val="auto"/>
        </w:rPr>
        <w:t>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If we were to determine erroneously that any such action did not need approval or that we had all required approvals, we could be liable for repayment of the Title IV program funds provided to students in that program or at that location.</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effectiveness of our marketing and advertising programs in recruiting new students.</w:t>
      </w:r>
    </w:p>
    <w:p>
      <w:pPr>
        <w:spacing w:after="0" w:line="135"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86" w:lineRule="exact"/>
        <w:rPr>
          <w:sz w:val="20"/>
          <w:szCs w:val="20"/>
          <w:color w:val="auto"/>
        </w:rPr>
      </w:pPr>
    </w:p>
    <w:p>
      <w:pPr>
        <w:ind w:left="1700" w:right="220" w:hanging="21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availability of, or higher interest rates and other costs associated with, Title IV loan funds or other sources of financial aid;</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more successful competitors;</w:t>
      </w:r>
    </w:p>
    <w:p>
      <w:pPr>
        <w:spacing w:after="0" w:line="117" w:lineRule="exact"/>
        <w:rPr>
          <w:rFonts w:ascii="Times New Roman" w:cs="Times New Roman" w:eastAsia="Times New Roman" w:hAnsi="Times New Roman"/>
          <w:sz w:val="18"/>
          <w:szCs w:val="18"/>
          <w:color w:val="auto"/>
        </w:rPr>
      </w:pPr>
    </w:p>
    <w:p>
      <w:pPr>
        <w:ind w:left="1700" w:right="380" w:hanging="21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related to our marketing, including the costs and effectiveness of Internet advertising and broad-based branding campaigns and recruiting efforts;</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problems with our online systems;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institutional and specialized accreditations;</w:t>
      </w:r>
    </w:p>
    <w:p>
      <w:pPr>
        <w:spacing w:after="0" w:line="117" w:lineRule="exact"/>
        <w:rPr>
          <w:rFonts w:ascii="Times New Roman" w:cs="Times New Roman" w:eastAsia="Times New Roman" w:hAnsi="Times New Roman"/>
          <w:sz w:val="18"/>
          <w:szCs w:val="18"/>
          <w:color w:val="auto"/>
        </w:rPr>
      </w:pPr>
    </w:p>
    <w:p>
      <w:pPr>
        <w:ind w:left="1700" w:right="780" w:hanging="21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us which restrict schools’ initiation of new programs and modification of existing programs;</w:t>
      </w:r>
    </w:p>
    <w:p>
      <w:pPr>
        <w:spacing w:after="0" w:line="53" w:lineRule="exact"/>
        <w:rPr>
          <w:rFonts w:ascii="Times New Roman" w:cs="Times New Roman" w:eastAsia="Times New Roman" w:hAnsi="Times New Roman"/>
          <w:sz w:val="18"/>
          <w:szCs w:val="18"/>
          <w:color w:val="auto"/>
        </w:rPr>
      </w:pPr>
    </w:p>
    <w:p>
      <w:pPr>
        <w:ind w:left="1700" w:right="860" w:hanging="21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requirements of the education agencies that regulate us which restrict the ways schools can compensate their recruitment personnel;</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regulation of online education, including in states in which we do not have a physical presence;</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that may be imposed on graduates of online programs that seek certification or licensure in certain states;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student dissatisfaction with our services and programs;</w:t>
      </w:r>
    </w:p>
    <w:p>
      <w:pPr>
        <w:spacing w:after="0" w:line="115" w:lineRule="exact"/>
        <w:rPr>
          <w:rFonts w:ascii="Times New Roman" w:cs="Times New Roman" w:eastAsia="Times New Roman" w:hAnsi="Times New Roman"/>
          <w:sz w:val="18"/>
          <w:szCs w:val="18"/>
          <w:color w:val="auto"/>
        </w:rPr>
      </w:pPr>
    </w:p>
    <w:p>
      <w:pPr>
        <w:ind w:left="1700" w:right="40" w:hanging="211"/>
        <w:spacing w:after="0" w:line="267"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results of the ongoing investigation by the Department of Education’s Office of Inspector General and the pending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action regarding the manner in which we have compensated our enrollment personnel, and possible remedial actions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liability resulting therefrom;</w:t>
      </w:r>
    </w:p>
    <w:p>
      <w:pPr>
        <w:spacing w:after="0" w:line="67" w:lineRule="exact"/>
        <w:rPr>
          <w:rFonts w:ascii="Times New Roman" w:cs="Times New Roman" w:eastAsia="Times New Roman" w:hAnsi="Times New Roman"/>
          <w:sz w:val="18"/>
          <w:szCs w:val="18"/>
          <w:color w:val="auto"/>
        </w:rPr>
      </w:pPr>
    </w:p>
    <w:p>
      <w:pPr>
        <w:ind w:left="1700" w:right="60" w:hanging="211"/>
        <w:spacing w:after="0" w:line="282" w:lineRule="auto"/>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reductions by competitors that we are unwilling or unable to match;</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acceptance of online education;</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economic or other development that affects job prospects in our core disciplines;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perceived or actual economic benefits that students derive from our programs.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jc w:val="both"/>
        <w:ind w:left="700" w:right="260" w:firstLine="397"/>
        <w:spacing w:after="0" w:line="266" w:lineRule="auto"/>
        <w:rPr>
          <w:sz w:val="20"/>
          <w:szCs w:val="20"/>
          <w:color w:val="auto"/>
        </w:rPr>
      </w:pPr>
      <w:r>
        <w:rPr>
          <w:rFonts w:ascii="Times New Roman" w:cs="Times New Roman" w:eastAsia="Times New Roman" w:hAnsi="Times New Roman"/>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86" w:lineRule="exact"/>
        <w:rPr>
          <w:sz w:val="20"/>
          <w:szCs w:val="20"/>
          <w:color w:val="auto"/>
        </w:rPr>
      </w:pPr>
    </w:p>
    <w:p>
      <w:pPr>
        <w:ind w:left="9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hire and train new and existing employees responsible for student recruitment, the effectiveness of our student recruiting efforts would be adversely affected.</w:t>
      </w:r>
    </w:p>
    <w:p>
      <w:pPr>
        <w:spacing w:after="0" w:line="64" w:lineRule="exact"/>
        <w:rPr>
          <w:sz w:val="20"/>
          <w:szCs w:val="20"/>
          <w:color w:val="auto"/>
        </w:rPr>
      </w:pPr>
    </w:p>
    <w:p>
      <w:pPr>
        <w:ind w:left="700" w:right="120" w:firstLine="397"/>
        <w:spacing w:after="0" w:line="255" w:lineRule="auto"/>
        <w:rPr>
          <w:sz w:val="20"/>
          <w:szCs w:val="20"/>
          <w:color w:val="auto"/>
        </w:rPr>
      </w:pPr>
      <w:r>
        <w:rPr>
          <w:rFonts w:ascii="Times New Roman" w:cs="Times New Roman" w:eastAsia="Times New Roman" w:hAnsi="Times New Roman"/>
          <w:sz w:val="18"/>
          <w:szCs w:val="18"/>
          <w:color w:val="auto"/>
        </w:rPr>
        <w:t>In order to support our planned revenue growth we intend to hire, develop, and train a significant number of additional employees responsible for student recruitment and retain and continue to develop and train our current student recruitment personnel. Our ability to develop and maintain a strong student recruiting function may be affected by a number of factors, including our ability to integrate and motivate our enrollment counselors, our ability to effectively train our enrollment counselors, the length of time it takes new enrollment counselors to become productive, regulatory restrictions on the method of compensating enrollment counselors, and the competition in hiring and retaining enrollment counselors. If we are unable to hire, develop, and retain a sufficient number of qualified enrollment counselors, our ability to increase enrollments would be adversely affected.</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competitors with greater resources could harm our business.</w:t>
      </w:r>
    </w:p>
    <w:p>
      <w:pPr>
        <w:spacing w:after="0" w:line="135" w:lineRule="exact"/>
        <w:rPr>
          <w:sz w:val="20"/>
          <w:szCs w:val="20"/>
          <w:color w:val="auto"/>
        </w:rPr>
      </w:pPr>
    </w:p>
    <w:p>
      <w:pPr>
        <w:ind w:left="700" w:right="60" w:firstLine="397"/>
        <w:spacing w:after="0" w:line="268" w:lineRule="auto"/>
        <w:rPr>
          <w:sz w:val="20"/>
          <w:szCs w:val="20"/>
          <w:color w:val="auto"/>
        </w:rPr>
      </w:pPr>
      <w:r>
        <w:rPr>
          <w:rFonts w:ascii="Times New Roman" w:cs="Times New Roman" w:eastAsia="Times New Roman" w:hAnsi="Times New Roman"/>
          <w:sz w:val="17"/>
          <w:szCs w:val="17"/>
          <w:color w:val="auto"/>
        </w:rPr>
        <w:t>The postsecondary education market is highly fragmented and competitive. We compete for students with traditional public and private two-year and four-year colleges and universities and other for-profit schools, including those that offer online learning programs. Many public and private schools, colleges, and universities, including most major colleges and universities, offer online programs. We expect to experience additional competition in the future as more colleges, universities, and for-profit schools offer an increasing number of online programs.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can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93" w:lineRule="exact"/>
        <w:rPr>
          <w:sz w:val="20"/>
          <w:szCs w:val="20"/>
          <w:color w:val="auto"/>
        </w:rPr>
      </w:pPr>
    </w:p>
    <w:p>
      <w:pPr>
        <w:ind w:left="90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Capacity constraints, system disruptions, or security breaches in our online computer networks could have a material adverse effect on our ability to attract and retain students.</w:t>
      </w:r>
    </w:p>
    <w:p>
      <w:pPr>
        <w:spacing w:after="0" w:line="64"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The performance and reliability of the infrastructure of our online operations are critical to our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and other security problems. A user who circumvents security measures could misappropriate proprietary information or</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66" w:lineRule="auto"/>
        <w:rPr>
          <w:sz w:val="20"/>
          <w:szCs w:val="20"/>
          <w:color w:val="auto"/>
        </w:rPr>
      </w:pPr>
      <w:r>
        <w:rPr>
          <w:rFonts w:ascii="Times New Roman" w:cs="Times New Roman" w:eastAsia="Times New Roman" w:hAnsi="Times New Roman"/>
          <w:sz w:val="18"/>
          <w:szCs w:val="18"/>
          <w:color w:val="auto"/>
        </w:rPr>
        <w:t>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86" w:lineRule="exact"/>
        <w:rPr>
          <w:sz w:val="20"/>
          <w:szCs w:val="20"/>
          <w:color w:val="auto"/>
        </w:rPr>
      </w:pPr>
    </w:p>
    <w:p>
      <w:pPr>
        <w:ind w:left="90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implementation of our new back office systems could impact our ability to timely and accurately admit students to the university and register them for classes, bill students, certify and disburse financial aid, prepare financial reports, or impact the effectiveness of our internal controls over financial reporting.</w:t>
      </w:r>
    </w:p>
    <w:p>
      <w:pPr>
        <w:spacing w:after="0" w:line="80"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We plan to transition our online programs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As part of this transition, we are converting our back office system from Datatel, Inc. to a series of programs developed by Campus Management Corp., including CampusVue and CampusPortal, and also implementing Microsoft’s Great Plains accounting system. These new systems are intended to allow us to manage our non-traditional online students with greater ease and flexibility by providing for rolling and flexible start dates. While we intend to maintain redundancies between our old and new systems for a period of time while we complete the conversions and ensure the that the new systems operate as intended, if we do not effectively transition our student and financial aid data to these systems or if these systems do not operate as intended, it could adversely impact the effectiveness of our internal controls over financial reporting, as well as our ability to timely and accurately admit students to the university and register them for classes, bill students, certify and disburse financial aid, and prepare financial reports. This may in turn affect our ability to comply with the Department of Education’s administrative capability standards, as discussed under “Risk Factors — 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208" w:lineRule="exact"/>
        <w:rPr>
          <w:sz w:val="20"/>
          <w:szCs w:val="20"/>
          <w:color w:val="auto"/>
        </w:rPr>
      </w:pPr>
    </w:p>
    <w:p>
      <w:pPr>
        <w:ind w:left="90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64" w:lineRule="exact"/>
        <w:rPr>
          <w:sz w:val="20"/>
          <w:szCs w:val="20"/>
          <w:color w:val="auto"/>
        </w:rPr>
      </w:pPr>
    </w:p>
    <w:p>
      <w:pPr>
        <w:ind w:left="700" w:right="120" w:firstLine="397"/>
        <w:spacing w:after="0" w:line="254" w:lineRule="auto"/>
        <w:rPr>
          <w:sz w:val="20"/>
          <w:szCs w:val="20"/>
          <w:color w:val="auto"/>
        </w:rPr>
      </w:pPr>
      <w:r>
        <w:rPr>
          <w:rFonts w:ascii="Times New Roman" w:cs="Times New Roman" w:eastAsia="Times New Roman" w:hAnsi="Times New Roman"/>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92"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our newly approved doctoral program in education,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keep pace with changing market needs and technology could harm our ability to attract students.</w:t>
      </w:r>
    </w:p>
    <w:p>
      <w:pPr>
        <w:spacing w:after="0" w:line="135" w:lineRule="exact"/>
        <w:rPr>
          <w:sz w:val="20"/>
          <w:szCs w:val="20"/>
          <w:color w:val="auto"/>
        </w:rPr>
      </w:pPr>
    </w:p>
    <w:p>
      <w:pPr>
        <w:ind w:left="700" w:right="80" w:firstLine="397"/>
        <w:spacing w:after="0" w:line="270" w:lineRule="auto"/>
        <w:rPr>
          <w:sz w:val="20"/>
          <w:szCs w:val="20"/>
          <w:color w:val="auto"/>
        </w:rPr>
      </w:pPr>
      <w:r>
        <w:rPr>
          <w:rFonts w:ascii="Times New Roman" w:cs="Times New Roman" w:eastAsia="Times New Roman" w:hAnsi="Times New Roman"/>
          <w:sz w:val="17"/>
          <w:szCs w:val="17"/>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existing, and develop additional, relationships with employers, our future growth may be impaired.</w:t>
      </w:r>
    </w:p>
    <w:p>
      <w:pPr>
        <w:spacing w:after="0" w:line="135" w:lineRule="exact"/>
        <w:rPr>
          <w:sz w:val="20"/>
          <w:szCs w:val="20"/>
          <w:color w:val="auto"/>
        </w:rPr>
      </w:pPr>
    </w:p>
    <w:p>
      <w:pPr>
        <w:ind w:left="700" w:right="80" w:firstLine="397"/>
        <w:spacing w:after="0" w:line="254" w:lineRule="auto"/>
        <w:rPr>
          <w:sz w:val="20"/>
          <w:szCs w:val="20"/>
          <w:color w:val="auto"/>
        </w:rPr>
      </w:pPr>
      <w:r>
        <w:rPr>
          <w:rFonts w:ascii="Times New Roman" w:cs="Times New Roman" w:eastAsia="Times New Roman" w:hAnsi="Times New Roman"/>
          <w:sz w:val="18"/>
          <w:szCs w:val="18"/>
          <w:color w:val="auto"/>
        </w:rPr>
        <w:t>We currently have relationships with large school districts and healthcare systems, primarily in Arizona, and also recently began seeking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effectively manage our growth could harm our business.</w:t>
      </w:r>
    </w:p>
    <w:p>
      <w:pPr>
        <w:spacing w:after="0" w:line="13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Our business recently has experienced rapid growth. Growth and expansion of our operations may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finance our expansion activities, and interest and other expenses may increase.</w:t>
      </w:r>
    </w:p>
    <w:p>
      <w:pPr>
        <w:spacing w:after="0" w:line="135"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We intend to expand the size and enhance the profile and reputation of our ground campus by, among other things, adding faculty and expanding upon and modernizing our campus infrastructure and technological capabilities over the next several years. These activities may require significant capital expenditures and may cause us to incur significant expenses, and there can be no guarantee that we will be able, or that it will be advantageous, to fund such expenditures or expenses with cash flow from operations. If we do not fund such activities with cash flow from operations, we will be required to finance such activities. Financing may take the form of, among other things, loans under a credit facility, sale-leaseback transactions, the issuance of</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66" w:lineRule="auto"/>
        <w:rPr>
          <w:sz w:val="20"/>
          <w:szCs w:val="20"/>
          <w:color w:val="auto"/>
        </w:rPr>
      </w:pPr>
      <w:r>
        <w:rPr>
          <w:rFonts w:ascii="Times New Roman" w:cs="Times New Roman" w:eastAsia="Times New Roman" w:hAnsi="Times New Roman"/>
          <w:sz w:val="18"/>
          <w:szCs w:val="18"/>
          <w:color w:val="auto"/>
        </w:rPr>
        <w:t>equity securities, or a combination of the foregoing. There can be no guarantee that any such financing will be available on terms acceptable to us, or at all. Furthermore, our loan agreement contains covenants that restrict our ability to incur debt, and there can be no guarantee that we will be able to secure the consent of our lender for any financing.</w:t>
      </w:r>
    </w:p>
    <w:p>
      <w:pPr>
        <w:spacing w:after="0" w:line="82"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color w:val="auto"/>
        </w:rPr>
        <w:t>If we obtain financing, we may incur increased interest or lease expenses, or other financing charges, that could have an adverse effect on our cash flow. In addition, any financing accomplished through the issuance of any additional equity securities could be dilutive to holders of our common stock. If we are unable to fund our expansion activities, our ability to implement our business plan will be adversely affected.</w:t>
      </w:r>
    </w:p>
    <w:p>
      <w:pPr>
        <w:spacing w:after="0" w:line="190" w:lineRule="exact"/>
        <w:rPr>
          <w:sz w:val="20"/>
          <w:szCs w:val="20"/>
          <w:color w:val="auto"/>
        </w:rPr>
      </w:pPr>
    </w:p>
    <w:p>
      <w:pPr>
        <w:ind w:left="90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disclosure controls and procedures and internal controls over financial reporting, our ability to produce accurate financial statements could be impaired, which could adversely affect our stock price, our ability to operate our business and investors’ views of us.</w:t>
      </w:r>
    </w:p>
    <w:p>
      <w:pPr>
        <w:spacing w:after="0" w:line="80"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Ensuring that we have adequate disclosure controls and procedures, including internal controls over financial reporting, in place so that we can produce accurate financial statements on a timely basis is a costly and time- consuming effort that needs to be re-evaluated frequently. We are continuing the process of documenting, reviewing and, if appropriate, improving our internal controls and procedures as we will eventually be subject to the requirements of Section 404 of the Sarbanes-Oxley Act of 2002, or the Sarbanes-Oxley Act, which will require annual management assessments of the effectiveness of our internal controls over financial reporting and a report by our independent auditors addressing these assessments. We will be required to comply with the internal controls evaluation and certification requirements of Section 404 of the Sarbanes-Oxley Act by no later than the end of our 2009 fiscal year.</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recruit and retain key personnel.</w:t>
      </w:r>
    </w:p>
    <w:p>
      <w:pPr>
        <w:spacing w:after="0" w:line="135" w:lineRule="exact"/>
        <w:rPr>
          <w:sz w:val="20"/>
          <w:szCs w:val="20"/>
          <w:color w:val="auto"/>
        </w:rPr>
      </w:pPr>
    </w:p>
    <w:p>
      <w:pPr>
        <w:ind w:left="700" w:right="140" w:firstLine="397"/>
        <w:spacing w:after="0" w:line="254" w:lineRule="auto"/>
        <w:rPr>
          <w:sz w:val="20"/>
          <w:szCs w:val="20"/>
          <w:color w:val="auto"/>
        </w:rPr>
      </w:pPr>
      <w:r>
        <w:rPr>
          <w:rFonts w:ascii="Times New Roman" w:cs="Times New Roman" w:eastAsia="Times New Roman" w:hAnsi="Times New Roman"/>
          <w:sz w:val="18"/>
          <w:szCs w:val="18"/>
          <w:color w:val="auto"/>
        </w:rPr>
        <w:t>Our success to date has largely depended on, and will continue to depend on, the skills, efforts, and motivation of our executive officers, who generally have significant experience with our company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96" w:lineRule="exact"/>
        <w:rPr>
          <w:sz w:val="20"/>
          <w:szCs w:val="20"/>
          <w:color w:val="auto"/>
        </w:rPr>
      </w:pPr>
    </w:p>
    <w:p>
      <w:pPr>
        <w:ind w:left="90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80"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w:t>
      </w:r>
    </w:p>
    <w:p>
      <w:pPr>
        <w:spacing w:after="0" w:line="3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66" w:lineRule="auto"/>
        <w:rPr>
          <w:sz w:val="20"/>
          <w:szCs w:val="20"/>
          <w:color w:val="auto"/>
        </w:rPr>
      </w:pPr>
      <w:r>
        <w:rPr>
          <w:rFonts w:ascii="Times New Roman" w:cs="Times New Roman" w:eastAsia="Times New Roman" w:hAnsi="Times New Roman"/>
          <w:sz w:val="18"/>
          <w:szCs w:val="18"/>
          <w:color w:val="auto"/>
        </w:rPr>
        <w:t>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82"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In particular, we license the right to utilize the name of Ken Blanchard in connection with our business school and Executive MBA programs and have spent significant resources in related branding efforts. Nevertheless, our license agreement with Blanchard Education, LLC has a fixed term and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9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99" w:lineRule="exact"/>
        <w:rPr>
          <w:sz w:val="20"/>
          <w:szCs w:val="20"/>
          <w:color w:val="auto"/>
        </w:rPr>
      </w:pPr>
    </w:p>
    <w:p>
      <w:pPr>
        <w:ind w:left="900"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41" w:lineRule="exact"/>
        <w:rPr>
          <w:sz w:val="20"/>
          <w:szCs w:val="20"/>
          <w:color w:val="auto"/>
        </w:rPr>
      </w:pPr>
    </w:p>
    <w:p>
      <w:pPr>
        <w:ind w:left="700" w:right="40" w:firstLine="397"/>
        <w:spacing w:after="0" w:line="274" w:lineRule="auto"/>
        <w:rPr>
          <w:sz w:val="20"/>
          <w:szCs w:val="20"/>
          <w:color w:val="auto"/>
        </w:rPr>
      </w:pPr>
      <w:r>
        <w:rPr>
          <w:rFonts w:ascii="Times New Roman" w:cs="Times New Roman" w:eastAsia="Times New Roman" w:hAnsi="Times New Roman"/>
          <w:sz w:val="17"/>
          <w:szCs w:val="17"/>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79" w:lineRule="exact"/>
        <w:rPr>
          <w:sz w:val="20"/>
          <w:szCs w:val="20"/>
          <w:color w:val="auto"/>
        </w:rPr>
      </w:pPr>
    </w:p>
    <w:p>
      <w:pPr>
        <w:ind w:left="700" w:right="320" w:firstLine="397"/>
        <w:spacing w:after="0" w:line="261" w:lineRule="auto"/>
        <w:rPr>
          <w:sz w:val="20"/>
          <w:szCs w:val="20"/>
          <w:color w:val="auto"/>
        </w:rPr>
      </w:pPr>
      <w:r>
        <w:rPr>
          <w:rFonts w:ascii="Times New Roman" w:cs="Times New Roman" w:eastAsia="Times New Roman" w:hAnsi="Times New Roman"/>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86"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w:t>
      </w:r>
    </w:p>
    <w:p>
      <w:pPr>
        <w:spacing w:after="0" w:line="38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8" w:lineRule="auto"/>
        <w:rPr>
          <w:sz w:val="20"/>
          <w:szCs w:val="20"/>
          <w:color w:val="auto"/>
        </w:rPr>
      </w:pPr>
      <w:r>
        <w:rPr>
          <w:rFonts w:ascii="Times New Roman" w:cs="Times New Roman" w:eastAsia="Times New Roman" w:hAnsi="Times New Roman"/>
          <w:sz w:val="18"/>
          <w:szCs w:val="18"/>
          <w:color w:val="auto"/>
        </w:rPr>
        <w:t>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93" w:lineRule="exact"/>
        <w:rPr>
          <w:sz w:val="20"/>
          <w:szCs w:val="20"/>
          <w:color w:val="auto"/>
        </w:rPr>
      </w:pPr>
    </w:p>
    <w:p>
      <w:pPr>
        <w:ind w:lef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incurring increased costs as a result of being a public company, and the requirements of being a public company may divert management attention from our business.</w:t>
      </w:r>
    </w:p>
    <w:p>
      <w:pPr>
        <w:spacing w:after="0" w:line="64"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color w:val="auto"/>
        </w:rPr>
        <w:t>We have operated as a public company since November 19, 2008. As a public company, we incur significant legal, accounting and other expenses that we did not incur as a private company. In addition, we are subject to a number of additional requirements, including the reporting requirements of the Securities Exchange Act of 1934, as amended, or the Exchange Act, the Sarbanes-Oxley Act, and the listing standards of Nasdaq. These requirements have caused us to incur increased costs and might place a strain on our systems and resources. The Exchange Act requires, among other things, that we file annual, quarterly, and current reports with respect to our business and financial condition. The Sarbanes-Oxley Act requires, among other things, that we maintain effective disclosure controls and procedures and internal control over financial reporting, and also requires that our internal controls be assessed by management and attested to by our auditors as of December 31 of each fiscal year commencing with our fiscal year ending December 31, 2009. In order to maintain and improve the effectiveness of our disclosure controls and procedures and internal control over financial reporting, significant resources and management oversight is required. As a result, our management’s attention might be diverted from other business concerns, which could have a material adverse effect on our business, prospects, financial condition, and results of operations.</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At present we derive a significant portion of our revenues and operating income from our graduate programs.</w:t>
      </w:r>
    </w:p>
    <w:p>
      <w:pPr>
        <w:spacing w:after="0" w:line="135"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As of December 31, 2008, 52.9% of our students were graduate students, which includes master’s and doctoral students. This percentage has declined in recent periods, and we anticipate that this percentage will continue to decline over time, due to our recent growth emphasis in our undergraduate business and liberal arts programs. If we were to experience any event that adversely affected our graduate offerings or the attractiveness of our programs to prospective graduate students, our business, prospects, financial condition, and results of operations could be significantly and adversely affected.</w:t>
      </w:r>
    </w:p>
    <w:p>
      <w:pPr>
        <w:spacing w:after="0" w:line="1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incur liability for the unauthorized duplication or distribution of class materials posted online for class discussions.</w:t>
      </w:r>
    </w:p>
    <w:p>
      <w:pPr>
        <w:spacing w:after="0" w:line="135" w:lineRule="exact"/>
        <w:rPr>
          <w:sz w:val="20"/>
          <w:szCs w:val="20"/>
          <w:color w:val="auto"/>
        </w:rPr>
      </w:pPr>
    </w:p>
    <w:p>
      <w:pPr>
        <w:ind w:left="700" w:right="200" w:firstLine="397"/>
        <w:spacing w:after="0" w:line="258" w:lineRule="auto"/>
        <w:rPr>
          <w:sz w:val="20"/>
          <w:szCs w:val="20"/>
          <w:color w:val="auto"/>
        </w:rPr>
      </w:pPr>
      <w:r>
        <w:rPr>
          <w:rFonts w:ascii="Times New Roman" w:cs="Times New Roman" w:eastAsia="Times New Roman" w:hAnsi="Times New Roman"/>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93" w:lineRule="exact"/>
        <w:rPr>
          <w:sz w:val="20"/>
          <w:szCs w:val="20"/>
          <w:color w:val="auto"/>
        </w:rPr>
      </w:pPr>
    </w:p>
    <w:p>
      <w:pPr>
        <w:ind w:left="90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provider of third-party software for our online classroom has been acquired by a competitor, and we may have difficulty maintaining the software required for our online classroom or updating it for future technological changes, which could adversely affect our performance.</w:t>
      </w:r>
    </w:p>
    <w:p>
      <w:pPr>
        <w:spacing w:after="0" w:line="80" w:lineRule="exact"/>
        <w:rPr>
          <w:sz w:val="20"/>
          <w:szCs w:val="20"/>
          <w:color w:val="auto"/>
        </w:rPr>
      </w:pPr>
    </w:p>
    <w:p>
      <w:pPr>
        <w:ind w:left="700" w:right="20" w:firstLine="397"/>
        <w:spacing w:after="0" w:line="281" w:lineRule="auto"/>
        <w:rPr>
          <w:sz w:val="20"/>
          <w:szCs w:val="20"/>
          <w:color w:val="auto"/>
        </w:rPr>
      </w:pPr>
      <w:r>
        <w:rPr>
          <w:rFonts w:ascii="Times New Roman" w:cs="Times New Roman" w:eastAsia="Times New Roman" w:hAnsi="Times New Roman"/>
          <w:sz w:val="17"/>
          <w:szCs w:val="17"/>
          <w:color w:val="auto"/>
        </w:rPr>
        <w:t>Our online classroom employs the ANGEL Learning Management Suite pursuant to a license from ANGEL Learning, Inc. The ANGEL system is a web-based portal that stores, manages, and delivers course content; enables assignment uploading; provides interactive communication between students and faculty; and supplies online evaluation tools. In May 2009, ANGEL Learning, Inc. was acquired by Blackboard, Inc., a competitor in the provision of online educational software and tools. We now rely on Blackboard, Inc. for</w:t>
      </w:r>
    </w:p>
    <w:p>
      <w:pPr>
        <w:spacing w:after="0" w:line="35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6" w:lineRule="auto"/>
        <w:rPr>
          <w:sz w:val="20"/>
          <w:szCs w:val="20"/>
          <w:color w:val="auto"/>
        </w:rPr>
      </w:pPr>
      <w:r>
        <w:rPr>
          <w:rFonts w:ascii="Times New Roman" w:cs="Times New Roman" w:eastAsia="Times New Roman" w:hAnsi="Times New Roman"/>
          <w:sz w:val="18"/>
          <w:szCs w:val="18"/>
          <w:color w:val="auto"/>
        </w:rPr>
        <w:t>administrative support of the ANGEL system and, if Blackboard, Inc. ceased to operate or was unable or unwilling to continue to provide us with services or upgrades on a timely basis, we may have difficulty maintaining the software required for our online classroom or updating it for future technological changes. We cannot predict what effect, if any, Blackboard, Inc.’s acquisition of ANGEL Learning, Inc. will have on our use of, or the support for or the efficacy of, the ANGEL Learning Management Suite. Any failure to maintain our online classroom would have an adverse impact on our operations, damage our reputation, and limit our ability to attract and retain students.</w:t>
      </w:r>
    </w:p>
    <w:p>
      <w:pPr>
        <w:spacing w:after="0" w:line="19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Seasonal and other fluctuations in our results of operations could adversely affect the trading price of our common stock.</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Our net revenue and operating results normally fluctuate as a result of seasonal variations in our business, principally due to changes in enrollment, and are typically lowest in our second fiscal quarter and highest in our fourth fiscal quarter. Accordingly, our results in any quarter may not indicate the results we may achieve in any subsequent quarter or for the full year. Student population varies as a result of new enrollments, graduations, and student attrition. A significant portion of our general and administrative expenses do not vary proportionately with fluctuations in revenues. We expect quarterly fluctuations in operating results to continue as a result of seasonal enrollment patterns. Such patterns may change, however, as a result of new program introductions, the timing of colloquia and events, and increased enrollments of students. These fluctuations may result in volatility or have an adverse effect on the market price of our common stock.</w:t>
      </w:r>
    </w:p>
    <w:p>
      <w:pPr>
        <w:spacing w:after="0" w:line="19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may restrict our operations and our ability to complete certain transactions.</w:t>
      </w:r>
    </w:p>
    <w:p>
      <w:pPr>
        <w:spacing w:after="0" w:line="135" w:lineRule="exact"/>
        <w:rPr>
          <w:sz w:val="20"/>
          <w:szCs w:val="20"/>
          <w:color w:val="auto"/>
        </w:rPr>
      </w:pPr>
    </w:p>
    <w:p>
      <w:pPr>
        <w:ind w:left="700" w:right="60" w:firstLine="397"/>
        <w:spacing w:after="0" w:line="313" w:lineRule="auto"/>
        <w:rPr>
          <w:sz w:val="20"/>
          <w:szCs w:val="20"/>
          <w:color w:val="auto"/>
        </w:rPr>
      </w:pPr>
      <w:r>
        <w:rPr>
          <w:rFonts w:ascii="Times New Roman" w:cs="Times New Roman" w:eastAsia="Times New Roman" w:hAnsi="Times New Roman"/>
          <w:sz w:val="17"/>
          <w:szCs w:val="17"/>
          <w:color w:val="auto"/>
        </w:rPr>
        <w:t>Our loan agreement, which we entered into in connection with the purchase of our campus in April 2009, imposes certain operating and financial restrictions on us. Without the consent of our lender, these restrictions generally limit our ability to, among other things:</w:t>
      </w:r>
    </w:p>
    <w:p>
      <w:pPr>
        <w:spacing w:after="0" w:line="44" w:lineRule="exact"/>
        <w:rPr>
          <w:sz w:val="20"/>
          <w:szCs w:val="20"/>
          <w:color w:val="auto"/>
        </w:rPr>
      </w:pPr>
    </w:p>
    <w:p>
      <w:pPr>
        <w:ind w:left="1700" w:hanging="21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liens;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lease, transfer or otherwise dispose of any part of our assets other than in the ordinary course of business;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capital contributions to any individual or entity;</w:t>
      </w:r>
    </w:p>
    <w:p>
      <w:pPr>
        <w:spacing w:after="0" w:line="117" w:lineRule="exact"/>
        <w:rPr>
          <w:rFonts w:ascii="Times New Roman" w:cs="Times New Roman" w:eastAsia="Times New Roman" w:hAnsi="Times New Roman"/>
          <w:sz w:val="18"/>
          <w:szCs w:val="18"/>
          <w:color w:val="auto"/>
        </w:rPr>
      </w:pPr>
    </w:p>
    <w:p>
      <w:pPr>
        <w:ind w:left="1700" w:right="540" w:hanging="211"/>
        <w:spacing w:after="0" w:line="282"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consolidation, merger, or other combination, or become a partner in a partnership, a member of a joint venture, or a member of a limited liability company;</w:t>
      </w:r>
    </w:p>
    <w:p>
      <w:pPr>
        <w:spacing w:after="0" w:line="53" w:lineRule="exact"/>
        <w:rPr>
          <w:rFonts w:ascii="Times New Roman" w:cs="Times New Roman" w:eastAsia="Times New Roman" w:hAnsi="Times New Roman"/>
          <w:sz w:val="18"/>
          <w:szCs w:val="18"/>
          <w:color w:val="auto"/>
        </w:rPr>
      </w:pPr>
    </w:p>
    <w:p>
      <w:pPr>
        <w:ind w:left="1700" w:right="320" w:hanging="211"/>
        <w:spacing w:after="0" w:line="282" w:lineRule="auto"/>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purchase a business or all or substantially all of the assets of a business in an aggregate amount exceeding an amount equal to 25% of our tangible net worth; and</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activities substantially different from our present business.</w:t>
      </w:r>
    </w:p>
    <w:p>
      <w:pPr>
        <w:spacing w:after="0" w:line="131"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In addition, the loan agreement requires us to maintain a maximum funded debt to adjusted EBITDA ratio, a minimum basic fixed charge coverage ratio and a minimum tangible net worth ratio,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97" w:lineRule="exact"/>
        <w:rPr>
          <w:sz w:val="20"/>
          <w:szCs w:val="20"/>
          <w:color w:val="auto"/>
        </w:rPr>
      </w:pPr>
    </w:p>
    <w:p>
      <w:pPr>
        <w:ind w:left="9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success and future growth depend on the continued acceptance of the Internet and the corresponding growth in users seeking educational services on the Internet.</w:t>
      </w:r>
    </w:p>
    <w:p>
      <w:pPr>
        <w:spacing w:after="0" w:line="64" w:lineRule="exact"/>
        <w:rPr>
          <w:sz w:val="20"/>
          <w:szCs w:val="20"/>
          <w:color w:val="auto"/>
        </w:rPr>
      </w:pPr>
    </w:p>
    <w:p>
      <w:pPr>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Our business relies in part on the Internet for its success. A number of factors could inhibit the continued acceptance of the Internet and adversely affect our profitability, including:</w:t>
      </w:r>
    </w:p>
    <w:p>
      <w:pPr>
        <w:spacing w:after="0" w:line="67" w:lineRule="exact"/>
        <w:rPr>
          <w:sz w:val="20"/>
          <w:szCs w:val="20"/>
          <w:color w:val="auto"/>
        </w:rPr>
      </w:pPr>
    </w:p>
    <w:p>
      <w:pPr>
        <w:ind w:left="1700" w:hanging="21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Internet infrastructure;</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 concerns;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700" w:hanging="21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cost-effective Internet service and other technological factors;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of Internet use.</w:t>
      </w:r>
    </w:p>
    <w:p>
      <w:pPr>
        <w:spacing w:after="0" w:line="131"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If Internet use decreases, or if the number of Internet users seeking educational services on the Internet does not increase, our business may not grow as planned.</w:t>
      </w:r>
    </w:p>
    <w:p>
      <w:pPr>
        <w:spacing w:after="0" w:line="171" w:lineRule="exact"/>
        <w:rPr>
          <w:sz w:val="20"/>
          <w:szCs w:val="20"/>
          <w:color w:val="auto"/>
        </w:rPr>
      </w:pPr>
    </w:p>
    <w:p>
      <w:pPr>
        <w:ind w:left="90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64"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increasing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materially and adversely affect our business, prospects, financial condition, and results of operations.</w:t>
      </w:r>
    </w:p>
    <w:p>
      <w:pPr>
        <w:spacing w:after="0" w:line="1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We may incur significant costs complying with the Americans with Disabilities Act and similar laws.</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Under the Americans with Disabilities Act of 1990, or the ADA, all public accommodations must meet federal requirements related to access and use by disabled persons. Additional federal, state, and local laws also may require modifications to our properties, or restrict our ability to renovate our properties. For example, the Fair Housing Amendments Act of 1988, or FHAA, requires apartment properties first occupied after March 13, 1990 to be accessible to the handicapped. We have not conducted an audit or investigation of all of our properties to determine our compliance with present requirements. Noncompliance with the ADA or FHAA could result in the imposition of fines or an award or damages to private litigants and also could result in an order to correct any non-complying feature. We cannot predict the ultimate amount of the cost of compliance with the ADA, FHAA, or other legislation. If we incur substantial costs to comply with the ADA, FHAA, or any other legislation, we could be materially and adversely affected.</w:t>
      </w:r>
    </w:p>
    <w:p>
      <w:pPr>
        <w:spacing w:after="0" w:line="195" w:lineRule="exact"/>
        <w:rPr>
          <w:sz w:val="20"/>
          <w:szCs w:val="20"/>
          <w:color w:val="auto"/>
        </w:rPr>
      </w:pPr>
    </w:p>
    <w:p>
      <w:pPr>
        <w:ind w:left="90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environmental laws and regulations governing our activities could result in financial penalties and other costs.</w:t>
      </w:r>
    </w:p>
    <w:p>
      <w:pPr>
        <w:spacing w:after="0" w:line="64"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97" w:lineRule="exact"/>
        <w:rPr>
          <w:sz w:val="20"/>
          <w:szCs w:val="20"/>
          <w:color w:val="auto"/>
        </w:rPr>
      </w:pPr>
    </w:p>
    <w:p>
      <w:pPr>
        <w:ind w:left="90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expand in the future into new markets outside the United States, we would be subject to risks inherent in non-domestic operations.</w:t>
      </w:r>
    </w:p>
    <w:p>
      <w:pPr>
        <w:spacing w:after="0" w:line="64"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If we acquire schools or establish programs in new markets outside the United States, we will face risks that are inherent in non-domestic operations, including the complexity of operations across borders, new regulatory regimes, currency exchange rate fluctuations, monetary policy risks, such as inflation, hyperinflation and deflation, and potential political and economic instability in the countries into which we expand.</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obtain additional capital in the future could adversely affect our ability to grow.</w:t>
      </w:r>
    </w:p>
    <w:p>
      <w:pPr>
        <w:spacing w:after="0" w:line="135" w:lineRule="exact"/>
        <w:rPr>
          <w:sz w:val="20"/>
          <w:szCs w:val="20"/>
          <w:color w:val="auto"/>
        </w:rPr>
      </w:pPr>
    </w:p>
    <w:p>
      <w:pPr>
        <w:ind w:left="700" w:right="240" w:firstLine="397"/>
        <w:spacing w:after="0" w:line="282" w:lineRule="auto"/>
        <w:rPr>
          <w:sz w:val="20"/>
          <w:szCs w:val="20"/>
          <w:color w:val="auto"/>
        </w:rPr>
      </w:pPr>
      <w:r>
        <w:rPr>
          <w:rFonts w:ascii="Times New Roman" w:cs="Times New Roman" w:eastAsia="Times New Roman" w:hAnsi="Times New Roman"/>
          <w:sz w:val="18"/>
          <w:szCs w:val="18"/>
          <w:color w:val="auto"/>
        </w:rPr>
        <w:t>We believe that funds from operations, cash on hand, and investments will be adequate to fund our current operating and growth plans for the foreseeable future. However, we may need additional financing in</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58" w:lineRule="auto"/>
        <w:rPr>
          <w:sz w:val="20"/>
          <w:szCs w:val="20"/>
          <w:color w:val="auto"/>
        </w:rPr>
      </w:pPr>
      <w:r>
        <w:rPr>
          <w:rFonts w:ascii="Times New Roman" w:cs="Times New Roman" w:eastAsia="Times New Roman" w:hAnsi="Times New Roman"/>
          <w:sz w:val="18"/>
          <w:szCs w:val="18"/>
          <w:color w:val="auto"/>
        </w:rPr>
        <w:t>order to finance our continued growth, particularly if we pursue any acquisitions. The amount, timing, and terms of such additional financing will vary principally depending on the timing and size of new program offerings, the timing and size of acquisitions we may seek to consummate, and the amount of cash flows from our operations. To the extent that we require additional financing in the future, such financing may not be available on terms acceptable to us or at all, and, consequently, we may not be able to fully implement our growth strategy.</w:t>
      </w:r>
    </w:p>
    <w:p>
      <w:pPr>
        <w:spacing w:after="0" w:line="1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integrate acquired schools, our business could be harmed.</w:t>
      </w:r>
    </w:p>
    <w:p>
      <w:pPr>
        <w:spacing w:after="0" w:line="135" w:lineRule="exact"/>
        <w:rPr>
          <w:sz w:val="20"/>
          <w:szCs w:val="20"/>
          <w:color w:val="auto"/>
        </w:rPr>
      </w:pPr>
    </w:p>
    <w:p>
      <w:pPr>
        <w:ind w:left="700" w:right="520" w:firstLine="397"/>
        <w:spacing w:after="0" w:line="282" w:lineRule="auto"/>
        <w:rPr>
          <w:sz w:val="20"/>
          <w:szCs w:val="20"/>
          <w:color w:val="auto"/>
        </w:rPr>
      </w:pPr>
      <w:r>
        <w:rPr>
          <w:rFonts w:ascii="Times New Roman" w:cs="Times New Roman" w:eastAsia="Times New Roman" w:hAnsi="Times New Roman"/>
          <w:sz w:val="18"/>
          <w:szCs w:val="18"/>
          <w:color w:val="auto"/>
        </w:rPr>
        <w:t>From time to time, we may pursue acquisitions of other schools. Integrating acquired operations into our institution involves significant risks and uncertainties, including:</w:t>
      </w:r>
    </w:p>
    <w:p>
      <w:pPr>
        <w:spacing w:after="0" w:line="67" w:lineRule="exact"/>
        <w:rPr>
          <w:sz w:val="20"/>
          <w:szCs w:val="20"/>
          <w:color w:val="auto"/>
        </w:rPr>
      </w:pPr>
    </w:p>
    <w:p>
      <w:pPr>
        <w:ind w:left="1700" w:hanging="21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uniform standards, controls, policies, and procedures;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normal business operations during the integration process;</w:t>
      </w:r>
    </w:p>
    <w:p>
      <w:pPr>
        <w:spacing w:after="0" w:line="117" w:lineRule="exact"/>
        <w:rPr>
          <w:rFonts w:ascii="Times New Roman" w:cs="Times New Roman" w:eastAsia="Times New Roman" w:hAnsi="Times New Roman"/>
          <w:sz w:val="18"/>
          <w:szCs w:val="18"/>
          <w:color w:val="auto"/>
        </w:rPr>
      </w:pPr>
    </w:p>
    <w:p>
      <w:pPr>
        <w:jc w:val="both"/>
        <w:ind w:left="1700" w:right="620" w:hanging="211"/>
        <w:spacing w:after="0" w:line="266" w:lineRule="auto"/>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68"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the integration efforts;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unidentified issues not discovered in our due diligence process, including legal contingencies.</w:t>
      </w:r>
    </w:p>
    <w:p>
      <w:pPr>
        <w:spacing w:after="0" w:line="13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If we complete one or more acquisitions and are unable to integrate acquired operations successfully, our business could suffer.</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31" w:lineRule="exact"/>
        <w:rPr>
          <w:sz w:val="20"/>
          <w:szCs w:val="20"/>
          <w:color w:val="auto"/>
        </w:rPr>
      </w:pPr>
    </w:p>
    <w:p>
      <w:pPr>
        <w:ind w:left="90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existing stockholders own a large percentage of our voting stock, which may allow them to collectively control substantially all matters requiring stockholder approval and, in the case of certain of our principal stockholders, will have other unique rights that may afford them access to our management.</w:t>
      </w:r>
    </w:p>
    <w:p>
      <w:pPr>
        <w:spacing w:after="0" w:line="80"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Certain of our stockholders have entered into a proxy and voting agreement, pursuant to which such persons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42.9% of our common stock and we believe that the Richardson Voting Group will continue to have voting power over more than 25% of our common stock after the completion of this offering. Under the terms of the proxy and voting agreement, if any person party to the voting agreement transfers shares covered by the proxy in registered or open-market transactions, the proxy is no longer effective as to such shares. Accordingly, the number of shares as to which the Richardson Voting Group has voting power will decrease over time as shares held by other parties to the proxy and voting agreement are sold. See “Beneficial Ownership of Common Stock.”</w:t>
      </w:r>
    </w:p>
    <w:p>
      <w:pPr>
        <w:spacing w:after="0" w:line="9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As a result of the proxy and voting agreement, the Richardson Voting Group could significantly influence the outcome of any actions requiring the vote or consent of stockholders, including elections of directors, amendments to our certificate of incorporation and bylaws, mergers, going private transactions, and other extraordinary transactions, and any decisions concerning the terms of any of these transactions. The ownership and voting positions of these stockholders may have the effect of delaying, deterring, or preventing a change in control or a change in the composition of our Board of Directors. These stockholders may also use their contractual rights, including access to management, and their large ownership position to address their own interests, which may be different from those of our other stockholders.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64" w:lineRule="exact"/>
        <w:rPr>
          <w:sz w:val="20"/>
          <w:szCs w:val="20"/>
          <w:color w:val="auto"/>
        </w:rPr>
      </w:pPr>
    </w:p>
    <w:p>
      <w:pPr>
        <w:ind w:left="700" w:right="200" w:firstLine="397"/>
        <w:spacing w:after="0" w:line="258" w:lineRule="auto"/>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any part of our authorized but unissued shares of common stock, including shares issuable upon the exercise of options,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93" w:lineRule="exact"/>
        <w:rPr>
          <w:sz w:val="20"/>
          <w:szCs w:val="20"/>
          <w:color w:val="auto"/>
        </w:rPr>
      </w:pPr>
    </w:p>
    <w:p>
      <w:pPr>
        <w:ind w:left="90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64"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as a result returns on an investment in our common stock may be volatile.</w:t>
      </w:r>
    </w:p>
    <w:p>
      <w:pPr>
        <w:spacing w:after="0" w:line="135"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We completed our initial public offering in November 2008. Given the relatively limited public float since that time, trading in our common stock has also been limited and, at times, volatile. An active trading market for our common stock may not be sustained, and the trading price of our common stock may fluctuate substantially.</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for various reasons, which include:</w:t>
      </w:r>
    </w:p>
    <w:p>
      <w:pPr>
        <w:spacing w:after="0" w:line="131" w:lineRule="exact"/>
        <w:rPr>
          <w:sz w:val="20"/>
          <w:szCs w:val="20"/>
          <w:color w:val="auto"/>
        </w:rPr>
      </w:pPr>
    </w:p>
    <w:p>
      <w:pPr>
        <w:ind w:left="1700" w:hanging="21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earnings of other companies in our industry;</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700" w:right="60" w:hanging="211"/>
        <w:spacing w:after="0" w:line="282" w:lineRule="auto"/>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research analysts who track our common stock or the stocks of other companies in our industry;</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number of enrolled students;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proposed laws or regulations or new or proposed interpretations of laws or regulations applicable to our business;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in our student population;</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700" w:right="60" w:hanging="211"/>
        <w:spacing w:after="0" w:line="282"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Title IV funds, other student financial aid, and private loans;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or keep in good standing our regulatory approvals and accreditations;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1700" w:right="260" w:hanging="211"/>
        <w:spacing w:after="0" w:line="282"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conditions in the U.S. and global economies or financial markets, including those resulting from war, incidents of terrorism, or responses to such events;</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economic or other development that affects job prospects in our core disciplines;</w:t>
      </w:r>
    </w:p>
    <w:p>
      <w:pPr>
        <w:spacing w:after="0" w:line="117" w:lineRule="exact"/>
        <w:rPr>
          <w:rFonts w:ascii="Times New Roman" w:cs="Times New Roman" w:eastAsia="Times New Roman" w:hAnsi="Times New Roman"/>
          <w:sz w:val="18"/>
          <w:szCs w:val="18"/>
          <w:color w:val="auto"/>
        </w:rPr>
      </w:pPr>
    </w:p>
    <w:p>
      <w:pPr>
        <w:ind w:left="1700" w:right="140" w:hanging="211"/>
        <w:spacing w:after="0" w:line="261" w:lineRule="auto"/>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litigation involving our company, or investigations or audits by regulators into the operations of our company or our competitors, including the investigation of Grand Canyon University currently being conducted by the Office of Inspector General of the Department of Education, and the pending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regarding the manner in which we have compensated our enrollment personnel; and</w:t>
      </w:r>
    </w:p>
    <w:p>
      <w:pPr>
        <w:spacing w:after="0" w:line="71"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our directors, executive officers, and significant stockholders.</w:t>
      </w:r>
    </w:p>
    <w:p>
      <w:pPr>
        <w:spacing w:after="0" w:line="131" w:lineRule="exact"/>
        <w:rPr>
          <w:sz w:val="20"/>
          <w:szCs w:val="20"/>
          <w:color w:val="auto"/>
        </w:rPr>
      </w:pPr>
    </w:p>
    <w:p>
      <w:pPr>
        <w:ind w:left="700" w:right="180" w:firstLine="397"/>
        <w:spacing w:after="0" w:line="258" w:lineRule="auto"/>
        <w:rPr>
          <w:sz w:val="20"/>
          <w:szCs w:val="20"/>
          <w:color w:val="auto"/>
        </w:rPr>
      </w:pPr>
      <w:r>
        <w:rPr>
          <w:rFonts w:ascii="Times New Roman" w:cs="Times New Roman" w:eastAsia="Times New Roman" w:hAnsi="Times New Roman"/>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company, and these fluctuations could materially reduce our stock price.</w:t>
      </w:r>
    </w:p>
    <w:p>
      <w:pPr>
        <w:spacing w:after="0" w:line="89" w:lineRule="exact"/>
        <w:rPr>
          <w:sz w:val="20"/>
          <w:szCs w:val="20"/>
          <w:color w:val="auto"/>
        </w:rPr>
      </w:pPr>
    </w:p>
    <w:p>
      <w:pPr>
        <w:ind w:left="700" w:firstLine="397"/>
        <w:spacing w:after="0" w:line="289"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8" w:lineRule="exact"/>
        <w:rPr>
          <w:sz w:val="20"/>
          <w:szCs w:val="20"/>
          <w:color w:val="auto"/>
        </w:rPr>
      </w:pPr>
    </w:p>
    <w:p>
      <w:pPr>
        <w:ind w:left="90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64"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company, we could lose visibility in the market for our stock, which in turn could cause our stock price to decline.</w:t>
      </w:r>
    </w:p>
    <w:p>
      <w:pPr>
        <w:spacing w:after="0" w:line="190" w:lineRule="exact"/>
        <w:rPr>
          <w:sz w:val="20"/>
          <w:szCs w:val="20"/>
          <w:color w:val="auto"/>
        </w:rPr>
      </w:pPr>
    </w:p>
    <w:p>
      <w:pPr>
        <w:ind w:left="90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64" w:lineRule="exact"/>
        <w:rPr>
          <w:sz w:val="20"/>
          <w:szCs w:val="20"/>
          <w:color w:val="auto"/>
        </w:rPr>
      </w:pPr>
    </w:p>
    <w:p>
      <w:pPr>
        <w:ind w:left="700" w:right="100" w:firstLine="397"/>
        <w:spacing w:after="0" w:line="258" w:lineRule="auto"/>
        <w:rPr>
          <w:sz w:val="20"/>
          <w:szCs w:val="20"/>
          <w:color w:val="auto"/>
        </w:rPr>
      </w:pPr>
      <w:r>
        <w:rPr>
          <w:rFonts w:ascii="Times New Roman" w:cs="Times New Roman" w:eastAsia="Times New Roman" w:hAnsi="Times New Roman"/>
          <w:sz w:val="18"/>
          <w:szCs w:val="18"/>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90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applying the net proceeds of this offering and may not use those proceeds in ways that will enhance the market value of our common stock.</w:t>
      </w:r>
    </w:p>
    <w:p>
      <w:pPr>
        <w:spacing w:after="0" w:line="64"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We have significant flexibility in applying the net proceeds we will receive in this offering. We will use the proceeds that we receive from the sale of stock in this offering to pay the expenses of this offering and for general corporate purposes. As part of your investment decision, you will not be able to assess or direct how we apply these net proceeds. If we do not apply these funds effectively, we may lose significant business opportunities. Furthermore, our stock price could decline if the market does not view our use of the net proceeds from this offering favorably.</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ind w:left="700" w:right="40" w:firstLine="397"/>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of 1933, as amended, or the Securities Act, and Section 21E of the Exchange Act. Forward-looking statements include information relating to future events, future financial performance, strategies, expectations, competitive environment, regulation, and availability of resources, and include, without limitation, statements regarding: proposed new programs; expectations that regulatory developments or other matters will not have a material adverse effect or material impact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92" w:lineRule="exact"/>
        <w:rPr>
          <w:sz w:val="20"/>
          <w:szCs w:val="20"/>
          <w:color w:val="auto"/>
        </w:rPr>
      </w:pPr>
    </w:p>
    <w:p>
      <w:pPr>
        <w:ind w:left="700" w:right="40" w:firstLine="397"/>
        <w:spacing w:after="0" w:line="258" w:lineRule="auto"/>
        <w:rPr>
          <w:sz w:val="20"/>
          <w:szCs w:val="20"/>
          <w:color w:val="auto"/>
        </w:rPr>
      </w:pPr>
      <w:r>
        <w:rPr>
          <w:rFonts w:ascii="Times New Roman" w:cs="Times New Roman" w:eastAsia="Times New Roman" w:hAnsi="Times New Roman"/>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89" w:lineRule="exact"/>
        <w:rPr>
          <w:sz w:val="20"/>
          <w:szCs w:val="20"/>
          <w:color w:val="auto"/>
        </w:rPr>
      </w:pPr>
    </w:p>
    <w:p>
      <w:pPr>
        <w:ind w:left="1700" w:right="120" w:hanging="211"/>
        <w:spacing w:after="0" w:line="266"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66" w:lineRule="exact"/>
        <w:rPr>
          <w:rFonts w:ascii="Times New Roman" w:cs="Times New Roman" w:eastAsia="Times New Roman" w:hAnsi="Times New Roman"/>
          <w:sz w:val="18"/>
          <w:szCs w:val="18"/>
          <w:color w:val="auto"/>
        </w:rPr>
      </w:pPr>
    </w:p>
    <w:p>
      <w:pPr>
        <w:ind w:left="1700" w:hanging="211"/>
        <w:spacing w:after="0" w:line="267"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results of the ongoing investigation by the Department of Education’s Office of Inspector General and the pending </w:t>
      </w:r>
      <w:r>
        <w:rPr>
          <w:rFonts w:ascii="Times New Roman" w:cs="Times New Roman" w:eastAsia="Times New Roman" w:hAnsi="Times New Roman"/>
          <w:sz w:val="18"/>
          <w:szCs w:val="18"/>
          <w:i w:val="1"/>
          <w:iCs w:val="1"/>
          <w:color w:val="auto"/>
        </w:rPr>
        <w:t>qui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tam </w:t>
      </w:r>
      <w:r>
        <w:rPr>
          <w:rFonts w:ascii="Times New Roman" w:cs="Times New Roman" w:eastAsia="Times New Roman" w:hAnsi="Times New Roman"/>
          <w:sz w:val="18"/>
          <w:szCs w:val="18"/>
          <w:color w:val="auto"/>
        </w:rPr>
        <w:t>action regarding the manner in which we have compensated our enrollment personnel, and possible remedial actions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liability resulting therefrom;</w:t>
      </w:r>
    </w:p>
    <w:p>
      <w:pPr>
        <w:spacing w:after="0" w:line="6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students to obtain federal Title IV funds, state financial aid, and private financing;</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changes in applicable federal and state laws and regulations and accrediting commission standards;</w:t>
      </w:r>
    </w:p>
    <w:p>
      <w:pPr>
        <w:spacing w:after="0" w:line="117" w:lineRule="exact"/>
        <w:rPr>
          <w:rFonts w:ascii="Times New Roman" w:cs="Times New Roman" w:eastAsia="Times New Roman" w:hAnsi="Times New Roman"/>
          <w:sz w:val="18"/>
          <w:szCs w:val="18"/>
          <w:color w:val="auto"/>
        </w:rPr>
      </w:pPr>
    </w:p>
    <w:p>
      <w:pPr>
        <w:ind w:left="1700" w:right="580" w:hanging="211"/>
        <w:spacing w:after="0" w:line="282"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a change in control under applicable regulatory or accrediting standards, and we are unable to obtain appropriate approvals for such an event in a timely manner, or at all;</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train new, and develop and train existing, enrollment counselors;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growth of our enrollment;</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convert prospective students to enrolled students and to retain active students;</w:t>
      </w:r>
    </w:p>
    <w:p>
      <w:pPr>
        <w:spacing w:after="0" w:line="117" w:lineRule="exact"/>
        <w:rPr>
          <w:rFonts w:ascii="Times New Roman" w:cs="Times New Roman" w:eastAsia="Times New Roman" w:hAnsi="Times New Roman"/>
          <w:sz w:val="18"/>
          <w:szCs w:val="18"/>
          <w:color w:val="auto"/>
        </w:rPr>
      </w:pPr>
    </w:p>
    <w:p>
      <w:pPr>
        <w:ind w:left="1700" w:right="180" w:hanging="211"/>
        <w:spacing w:after="0" w:line="282"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updating and expanding the content of existing programs and developing new programs in a cost-effective manner or on a timely basis;</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competition, including competition for qualified executives and other personnel;</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competitive environment for marketing our programs;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on our part to keep up with advances in technology that could enhance the online experience for our students;</w:t>
      </w:r>
    </w:p>
    <w:p>
      <w:pPr>
        <w:spacing w:after="0" w:line="117" w:lineRule="exact"/>
        <w:rPr>
          <w:rFonts w:ascii="Times New Roman" w:cs="Times New Roman" w:eastAsia="Times New Roman" w:hAnsi="Times New Roman"/>
          <w:sz w:val="18"/>
          <w:szCs w:val="18"/>
          <w:color w:val="auto"/>
        </w:rPr>
      </w:pPr>
    </w:p>
    <w:p>
      <w:pPr>
        <w:ind w:left="1700" w:right="340" w:hanging="211"/>
        <w:spacing w:after="0" w:line="266" w:lineRule="auto"/>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68"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700" w:hanging="211"/>
        <w:spacing w:after="0"/>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adverse economic conditions or other developments that affect job prospects in our core disciplines; and</w:t>
      </w:r>
    </w:p>
    <w:p>
      <w:pPr>
        <w:spacing w:after="0" w:line="117" w:lineRule="exact"/>
        <w:rPr>
          <w:rFonts w:ascii="Times New Roman" w:cs="Times New Roman" w:eastAsia="Times New Roman" w:hAnsi="Times New Roman"/>
          <w:sz w:val="18"/>
          <w:szCs w:val="18"/>
          <w:color w:val="auto"/>
        </w:rPr>
      </w:pPr>
    </w:p>
    <w:p>
      <w:pPr>
        <w:ind w:left="1700" w:right="100" w:hanging="211"/>
        <w:spacing w:after="0" w:line="256" w:lineRule="auto"/>
        <w:tabs>
          <w:tab w:leader="none" w:pos="1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under the headings “Risk Factors” and “Regulation” in this prospectus, and in the sections entitled “Business,” which is incorporated by reference into this prospectus from our Annual Report on Form 10-K for the fiscal year ended December 31, 2008, and “Management’s Discussion and Analysis of Financial Condition and Results of Operations,” which is incorporated by reference into this prospectus from our Annual Report on Form 10-K for the fiscal year ended December 31, 2008, and our Quarterly Reports on Form 10-Q for our quarters ended March 31, 2009 and June 30, 2009, as applicable.</w:t>
      </w:r>
    </w:p>
    <w:p>
      <w:pPr>
        <w:spacing w:after="0" w:line="93"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35" w:lineRule="exact"/>
        <w:rPr>
          <w:sz w:val="20"/>
          <w:szCs w:val="20"/>
          <w:color w:val="auto"/>
        </w:rPr>
      </w:pPr>
    </w:p>
    <w:p>
      <w:pPr>
        <w:ind w:left="700" w:right="80" w:firstLine="397"/>
        <w:spacing w:after="0" w:line="266" w:lineRule="auto"/>
        <w:rPr>
          <w:sz w:val="20"/>
          <w:szCs w:val="20"/>
          <w:color w:val="auto"/>
        </w:rPr>
      </w:pPr>
      <w:r>
        <w:rPr>
          <w:rFonts w:ascii="Times New Roman" w:cs="Times New Roman" w:eastAsia="Times New Roman" w:hAnsi="Times New Roman"/>
          <w:sz w:val="18"/>
          <w:szCs w:val="18"/>
          <w:color w:val="auto"/>
        </w:rPr>
        <w:t>The proceeds from the sale of 1,000,000 shares of common stock offered by us in this offering will be approximately $15.0 million based on the offering price of $16.50 per share and after deducting the underwriting discounts and commissions and estimated offering expenses payable by us. We will not receive any proceeds from the sale of shares by the selling stockholders.</w:t>
      </w:r>
    </w:p>
    <w:p>
      <w:pPr>
        <w:spacing w:after="0" w:line="82"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we receive from this offering to pay transaction fees and expenses of approximately $0.6 million, and for working capital and general corporate purposes. Our management will have broad discretion in the application of such remaining net proceeds from this offering.</w:t>
      </w:r>
    </w:p>
    <w:p>
      <w:pPr>
        <w:spacing w:after="0" w:line="29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PRICE RANGE OF COMMON STOCK</w:t>
      </w:r>
    </w:p>
    <w:p>
      <w:pPr>
        <w:spacing w:after="0" w:line="135" w:lineRule="exact"/>
        <w:rPr>
          <w:sz w:val="20"/>
          <w:szCs w:val="20"/>
          <w:color w:val="auto"/>
        </w:rPr>
      </w:pPr>
    </w:p>
    <w:p>
      <w:pPr>
        <w:jc w:val="both"/>
        <w:ind w:left="700" w:right="320" w:firstLine="397"/>
        <w:spacing w:after="0" w:line="266" w:lineRule="auto"/>
        <w:rPr>
          <w:sz w:val="20"/>
          <w:szCs w:val="20"/>
          <w:color w:val="auto"/>
        </w:rPr>
      </w:pPr>
      <w:r>
        <w:rPr>
          <w:rFonts w:ascii="Times New Roman" w:cs="Times New Roman" w:eastAsia="Times New Roman" w:hAnsi="Times New Roman"/>
          <w:sz w:val="18"/>
          <w:szCs w:val="18"/>
          <w:color w:val="auto"/>
        </w:rPr>
        <w:t>Our common stock has traded on the Nasdaq Global Market under the symbol “LOPE” since it began trading on November 20, 2008. Our initial public offering was priced at $12.00 per share on November 19, 2008. The following table sets forth, for the periods indicated, the high and low sales prices for our common stock as reported on the Nasdaq Global Market.</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800" w:type="dxa"/>
            <w:vAlign w:val="bottom"/>
          </w:tcPr>
          <w:p>
            <w:pPr>
              <w:spacing w:after="0"/>
              <w:rPr>
                <w:sz w:val="4"/>
                <w:szCs w:val="4"/>
                <w:color w:val="auto"/>
              </w:rPr>
            </w:pPr>
          </w:p>
        </w:tc>
        <w:tc>
          <w:tcPr>
            <w:tcW w:w="26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2008</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 (from November 20, 2008)</w:t>
            </w:r>
          </w:p>
        </w:tc>
        <w:tc>
          <w:tcPr>
            <w:tcW w:w="312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rPr>
              <w:t>$19.12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2009</w:t>
            </w:r>
          </w:p>
        </w:tc>
        <w:tc>
          <w:tcPr>
            <w:tcW w:w="2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12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rPr>
              <w:t>$20.80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120" w:type="dxa"/>
            <w:vAlign w:val="bottom"/>
            <w:gridSpan w:val="2"/>
            <w:shd w:val="clear" w:color="auto" w:fill="CCEEFF"/>
          </w:tcPr>
          <w:p>
            <w:pPr>
              <w:jc w:val="center"/>
              <w:ind w:left="2530"/>
              <w:spacing w:after="0"/>
              <w:rPr>
                <w:sz w:val="20"/>
                <w:szCs w:val="20"/>
                <w:color w:val="auto"/>
              </w:rPr>
            </w:pPr>
            <w:r>
              <w:rPr>
                <w:rFonts w:ascii="Times New Roman" w:cs="Times New Roman" w:eastAsia="Times New Roman" w:hAnsi="Times New Roman"/>
                <w:sz w:val="18"/>
                <w:szCs w:val="18"/>
                <w:color w:val="auto"/>
              </w:rPr>
              <w:t>$17.35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(through September 14, 2009)</w:t>
            </w:r>
          </w:p>
        </w:tc>
        <w:tc>
          <w:tcPr>
            <w:tcW w:w="3120" w:type="dxa"/>
            <w:vAlign w:val="bottom"/>
            <w:gridSpan w:val="2"/>
          </w:tcPr>
          <w:p>
            <w:pPr>
              <w:jc w:val="center"/>
              <w:ind w:left="2530"/>
              <w:spacing w:after="0"/>
              <w:rPr>
                <w:sz w:val="20"/>
                <w:szCs w:val="20"/>
                <w:color w:val="auto"/>
              </w:rPr>
            </w:pPr>
            <w:r>
              <w:rPr>
                <w:rFonts w:ascii="Times New Roman" w:cs="Times New Roman" w:eastAsia="Times New Roman" w:hAnsi="Times New Roman"/>
                <w:sz w:val="18"/>
                <w:szCs w:val="18"/>
                <w:color w:val="auto"/>
              </w:rPr>
              <w:t>$19.52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00" w:right="360" w:firstLine="397"/>
        <w:spacing w:after="0" w:line="282" w:lineRule="auto"/>
        <w:rPr>
          <w:sz w:val="20"/>
          <w:szCs w:val="20"/>
          <w:color w:val="auto"/>
        </w:rPr>
      </w:pPr>
      <w:r>
        <w:rPr>
          <w:rFonts w:ascii="Times New Roman" w:cs="Times New Roman" w:eastAsia="Times New Roman" w:hAnsi="Times New Roman"/>
          <w:sz w:val="18"/>
          <w:szCs w:val="18"/>
          <w:color w:val="auto"/>
        </w:rPr>
        <w:t>On September 14, 2009, the last reported sale price of our common stock on the Nasdaq Global Market was $16.50. As of such date, we had approximately 34 holders of record of our common stock.</w:t>
      </w:r>
    </w:p>
    <w:p>
      <w:pPr>
        <w:spacing w:after="0" w:line="27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35" w:lineRule="exact"/>
        <w:rPr>
          <w:sz w:val="20"/>
          <w:szCs w:val="20"/>
          <w:color w:val="auto"/>
        </w:rPr>
      </w:pPr>
    </w:p>
    <w:p>
      <w:pPr>
        <w:ind w:left="700" w:right="160" w:firstLine="397"/>
        <w:spacing w:after="0" w:line="258" w:lineRule="auto"/>
        <w:rPr>
          <w:sz w:val="20"/>
          <w:szCs w:val="20"/>
          <w:color w:val="auto"/>
        </w:rPr>
      </w:pPr>
      <w:r>
        <w:rPr>
          <w:rFonts w:ascii="Times New Roman" w:cs="Times New Roman" w:eastAsia="Times New Roman" w:hAnsi="Times New Roman"/>
          <w:sz w:val="18"/>
          <w:szCs w:val="18"/>
          <w:color w:val="auto"/>
        </w:rPr>
        <w:t>We do not anticipate declaring or paying any cash dividends on our common stock in the foreseeable future. The payment of any dividends in the future will be at the discretion of our Board of Directors and will depend upon our financial condition, results of operations, earnings, capital requirements, contractual restrictions, outstanding indebtedness, and other factors deemed relevant by our board. As a result, you will need to sell your shares of common stock to realize a return on your investment, and you may not be able to sell your shares at or above the price you paid for them.</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2009:</w:t>
      </w:r>
    </w:p>
    <w:p>
      <w:pPr>
        <w:spacing w:after="0" w:line="131" w:lineRule="exact"/>
        <w:rPr>
          <w:sz w:val="20"/>
          <w:szCs w:val="20"/>
          <w:color w:val="auto"/>
        </w:rPr>
      </w:pPr>
    </w:p>
    <w:p>
      <w:pPr>
        <w:ind w:left="1300" w:hanging="20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17" w:lineRule="exact"/>
        <w:rPr>
          <w:rFonts w:ascii="Times New Roman" w:cs="Times New Roman" w:eastAsia="Times New Roman" w:hAnsi="Times New Roman"/>
          <w:sz w:val="18"/>
          <w:szCs w:val="18"/>
          <w:color w:val="auto"/>
        </w:rPr>
      </w:pPr>
    </w:p>
    <w:p>
      <w:pPr>
        <w:ind w:left="1300" w:right="1020" w:hanging="202"/>
        <w:spacing w:after="0" w:line="266"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reflect the receipt of the proceeds from the sale by us of 1,000,000 shares of common stock in this offering at the public offering price of $16.50 per share after deducting the estimated underwriting discounts and commissions and estimated offering expenses payable by us.</w:t>
      </w:r>
    </w:p>
    <w:p>
      <w:pPr>
        <w:spacing w:after="0" w:line="82" w:lineRule="exact"/>
        <w:rPr>
          <w:sz w:val="20"/>
          <w:szCs w:val="20"/>
          <w:color w:val="auto"/>
        </w:rPr>
      </w:pPr>
    </w:p>
    <w:p>
      <w:pPr>
        <w:ind w:left="700" w:right="880" w:firstLine="397"/>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“Use of Proceeds,” “Management’s Discussion and Analysis of Financial Condition and Results of Operations,” “Description of Capital Stock” and our consolidated financial statements and related notes included elsewhere in or incorporated by reference into this prospectus.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 June 30, 2009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(Unaudited)</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gridSpan w:val="4"/>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except share</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data)</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00" w:type="dxa"/>
            <w:vAlign w:val="bottom"/>
            <w:vMerge w:val="restart"/>
          </w:tcPr>
          <w:p>
            <w:pPr>
              <w:spacing w:after="0"/>
              <w:rPr>
                <w:sz w:val="3"/>
                <w:szCs w:val="3"/>
                <w:color w:val="auto"/>
              </w:rPr>
            </w:pPr>
          </w:p>
        </w:tc>
        <w:tc>
          <w:tcPr>
            <w:tcW w:w="7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24,742</w:t>
            </w:r>
          </w:p>
        </w:tc>
        <w:tc>
          <w:tcPr>
            <w:tcW w:w="3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39,708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Capital lease obligations (including short-term)</w:t>
            </w:r>
          </w:p>
        </w:tc>
        <w:tc>
          <w:tcPr>
            <w:tcW w:w="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indebtedness (including short-term indebtedness)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27,681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7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10,000,000 shares authorized, no shares issued and outstanding, actual</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as adjusted</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00" w:type="dxa"/>
            <w:vAlign w:val="bottom"/>
          </w:tcPr>
          <w:p>
            <w:pPr>
              <w:spacing w:after="0"/>
              <w:rPr>
                <w:sz w:val="17"/>
                <w:szCs w:val="17"/>
                <w:color w:val="auto"/>
              </w:rPr>
            </w:pPr>
          </w:p>
        </w:tc>
        <w:tc>
          <w:tcPr>
            <w:tcW w:w="7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44,576,417 shares issued and</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actual; 100,000,000 shares authorized, 45,576,417 shares issued and outstanding, as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67,372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and other comprehensive income</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53,965</w:t>
            </w:r>
          </w:p>
        </w:tc>
        <w:tc>
          <w:tcPr>
            <w:tcW w:w="3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68,878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83,659</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98,572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5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8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35" w:lineRule="exact"/>
        <w:rPr>
          <w:sz w:val="20"/>
          <w:szCs w:val="20"/>
          <w:color w:val="auto"/>
        </w:rPr>
      </w:pPr>
    </w:p>
    <w:p>
      <w:pPr>
        <w:ind w:left="700" w:right="220" w:firstLine="397"/>
        <w:spacing w:after="0" w:line="261" w:lineRule="auto"/>
        <w:rPr>
          <w:sz w:val="20"/>
          <w:szCs w:val="20"/>
          <w:color w:val="auto"/>
        </w:rPr>
      </w:pPr>
      <w:r>
        <w:rPr>
          <w:rFonts w:ascii="Times New Roman" w:cs="Times New Roman" w:eastAsia="Times New Roman" w:hAnsi="Times New Roman"/>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and financial condition.</w:t>
      </w:r>
    </w:p>
    <w:p>
      <w:pPr>
        <w:spacing w:after="0" w:line="86"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As an institution of higher education that grants degrees and certificates, we are required to be authorized by appropriate state education authorities.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9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Our operations are also subject to regulation by the Department of Education due to our participation in federal student financial aid programs under Title IV of the Higher Education Act. Those Title IV programs include educational loans with below-market interest rates that are guaranteed by the federal government in the event of a student’s default on repaying the loan, and also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93"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Our business activities are planned and implemented to comply with the standards of these regulatory agencies. We employ a director of compliance who is knowledgeable about regulatory matters relevant to student financial aid programs and our Chief Financial Officer, Chief Risk Officer, and General Counsel also provide oversight designed to ensure that we meet the requirements of our regulated operating environment.</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State Education Licensure and Regulation</w:t>
      </w:r>
    </w:p>
    <w:p>
      <w:pPr>
        <w:spacing w:after="0" w:line="13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Failure to comply with the requirements of the Arizona State Board for Private Postsecondary Education could result in us losing our authorization to offer our educational programs, which would cause us to lose our eligibility to participate in the Title IV programs and which, in turn, could force us to cease operations. Alternatively, the Arizona State Board for Private Postsecondary Education could restrict our ability to offer certain degree programs.</w:t>
      </w:r>
    </w:p>
    <w:p>
      <w:pPr>
        <w:spacing w:after="0" w:line="98"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firstLine="397"/>
        <w:spacing w:after="0" w:line="255" w:lineRule="auto"/>
        <w:rPr>
          <w:sz w:val="20"/>
          <w:szCs w:val="20"/>
          <w:color w:val="auto"/>
        </w:rPr>
      </w:pPr>
      <w:r>
        <w:rPr>
          <w:rFonts w:ascii="Times New Roman" w:cs="Times New Roman" w:eastAsia="Times New Roman" w:hAnsi="Times New Roman"/>
          <w:sz w:val="18"/>
          <w:szCs w:val="18"/>
          <w:color w:val="auto"/>
        </w:rPr>
        <w:t>In addition, 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New laws, regulations, or interpretations related to doing business over the Internet could increase our cost of doing business and affect our ability to recruit students in particular states, which could, in turn, negatively affect enrollments and revenues and have a material adverse effect on our business.</w:t>
      </w:r>
    </w:p>
    <w:p>
      <w:pPr>
        <w:spacing w:after="0" w:line="95" w:lineRule="exact"/>
        <w:rPr>
          <w:sz w:val="20"/>
          <w:szCs w:val="20"/>
          <w:color w:val="auto"/>
        </w:rPr>
      </w:pPr>
    </w:p>
    <w:p>
      <w:pPr>
        <w:ind w:left="700" w:right="40" w:firstLine="397"/>
        <w:spacing w:after="0" w:line="252" w:lineRule="auto"/>
        <w:rPr>
          <w:sz w:val="20"/>
          <w:szCs w:val="20"/>
          <w:color w:val="auto"/>
        </w:rPr>
      </w:pPr>
      <w:r>
        <w:rPr>
          <w:rFonts w:ascii="Times New Roman" w:cs="Times New Roman" w:eastAsia="Times New Roman" w:hAnsi="Times New Roman"/>
          <w:sz w:val="18"/>
          <w:szCs w:val="18"/>
          <w:color w:val="auto"/>
        </w:rPr>
        <w:t>We have determined that our activities in certain states constitute a presence requiring licensure or authorization under the requirements of the state education agency in those states.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requirements of other states when appropriate to determine whether our activities in those states constitute a presence or otherwise require licensure or authorization by the respective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State Professional Licensure</w:t>
      </w:r>
    </w:p>
    <w:p>
      <w:pPr>
        <w:spacing w:after="0" w:line="135" w:lineRule="exact"/>
        <w:rPr>
          <w:sz w:val="20"/>
          <w:szCs w:val="20"/>
          <w:color w:val="auto"/>
        </w:rPr>
      </w:pPr>
    </w:p>
    <w:p>
      <w:pPr>
        <w:ind w:left="700" w:right="220" w:firstLine="397"/>
        <w:spacing w:after="0" w:line="261" w:lineRule="auto"/>
        <w:rPr>
          <w:sz w:val="20"/>
          <w:szCs w:val="20"/>
          <w:color w:val="auto"/>
        </w:rPr>
      </w:pPr>
      <w:r>
        <w:rPr>
          <w:rFonts w:ascii="Times New Roman" w:cs="Times New Roman" w:eastAsia="Times New Roman" w:hAnsi="Times New Roman"/>
          <w:sz w:val="18"/>
          <w:szCs w:val="18"/>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86" w:lineRule="exact"/>
        <w:rPr>
          <w:sz w:val="20"/>
          <w:szCs w:val="20"/>
          <w:color w:val="auto"/>
        </w:rPr>
      </w:pPr>
    </w:p>
    <w:p>
      <w:pPr>
        <w:ind w:left="1700" w:right="800" w:hanging="211"/>
        <w:spacing w:after="0" w:line="282" w:lineRule="auto"/>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were approved by the state in which the graduate seeks licensure, or by a professional association;</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program from which the student graduated meets all requirements for professional licensure in that state;</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 and the program are accredited and, if so, by what accrediting commissions;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institution’s degrees are recognized by other states in which a student may seek to work.</w:t>
      </w:r>
    </w:p>
    <w:p>
      <w:pPr>
        <w:spacing w:after="0" w:line="131" w:lineRule="exact"/>
        <w:rPr>
          <w:sz w:val="20"/>
          <w:szCs w:val="20"/>
          <w:color w:val="auto"/>
        </w:rPr>
      </w:pPr>
    </w:p>
    <w:p>
      <w:pPr>
        <w:ind w:left="700" w:right="260"/>
        <w:spacing w:after="0" w:line="282" w:lineRule="auto"/>
        <w:rPr>
          <w:sz w:val="20"/>
          <w:szCs w:val="20"/>
          <w:color w:val="auto"/>
        </w:rPr>
      </w:pPr>
      <w:r>
        <w:rPr>
          <w:rFonts w:ascii="Times New Roman" w:cs="Times New Roman" w:eastAsia="Times New Roman" w:hAnsi="Times New Roman"/>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67" w:lineRule="exact"/>
        <w:rPr>
          <w:sz w:val="20"/>
          <w:szCs w:val="20"/>
          <w:color w:val="auto"/>
        </w:rPr>
      </w:pPr>
    </w:p>
    <w:p>
      <w:pPr>
        <w:ind w:left="700" w:firstLine="397"/>
        <w:spacing w:after="0" w:line="261" w:lineRule="auto"/>
        <w:rPr>
          <w:sz w:val="20"/>
          <w:szCs w:val="20"/>
          <w:color w:val="auto"/>
        </w:rPr>
      </w:pPr>
      <w:r>
        <w:rPr>
          <w:rFonts w:ascii="Times New Roman" w:cs="Times New Roman" w:eastAsia="Times New Roman" w:hAnsi="Times New Roman"/>
          <w:sz w:val="18"/>
          <w:szCs w:val="18"/>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Services is approved by the Arizona State Board of Nursing for the Bachelor of Science in Nursing and Master of Science — Nursing degrees. Due to</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6" w:lineRule="auto"/>
        <w:rPr>
          <w:sz w:val="20"/>
          <w:szCs w:val="20"/>
          <w:color w:val="auto"/>
        </w:rPr>
      </w:pPr>
      <w:r>
        <w:rPr>
          <w:rFonts w:ascii="Times New Roman" w:cs="Times New Roman" w:eastAsia="Times New Roman" w:hAnsi="Times New Roman"/>
          <w:sz w:val="18"/>
          <w:szCs w:val="18"/>
          <w:color w:val="auto"/>
        </w:rPr>
        <w:t>varying requirements for professional licensure in each state, we inform students of the risks associated with obtaining professional licensure and that it is each student’s responsibility to determine what state, local, or professional licensure and certification requirements are necessary in his or her individual state.</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Accreditation</w:t>
      </w:r>
    </w:p>
    <w:p>
      <w:pPr>
        <w:spacing w:after="0" w:line="135" w:lineRule="exact"/>
        <w:rPr>
          <w:sz w:val="20"/>
          <w:szCs w:val="20"/>
          <w:color w:val="auto"/>
        </w:rPr>
      </w:pPr>
    </w:p>
    <w:p>
      <w:pPr>
        <w:ind w:left="700" w:right="120" w:firstLine="397"/>
        <w:spacing w:after="0" w:line="254" w:lineRule="auto"/>
        <w:rPr>
          <w:sz w:val="20"/>
          <w:szCs w:val="20"/>
          <w:color w:val="auto"/>
        </w:rPr>
      </w:pPr>
      <w:r>
        <w:rPr>
          <w:rFonts w:ascii="Times New Roman" w:cs="Times New Roman" w:eastAsia="Times New Roman" w:hAnsi="Times New Roman"/>
          <w:sz w:val="18"/>
          <w:szCs w:val="18"/>
          <w:color w:val="auto"/>
        </w:rPr>
        <w:t>We have been continuously accredited since 1968 by the Higher Learning Commission and its predecessor, each a regional accrediting commission recognized by the Department of Education. Our accreditation was reaffirmed in 2007,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9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and private colleges and universities in the states of Arizona, Arkansas, Colorado, Illinois, Indiana, Iowa, Kansas, Michigan, Minnesota, Missouri, Nebraska, New Mexico, North Dakota, Ohio, Oklahoma, South Dakota, West Virginia, Wisconsin, and Wyoming.</w:t>
      </w:r>
    </w:p>
    <w:p>
      <w:pPr>
        <w:spacing w:after="0" w:line="9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95"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The reauthorization of the Higher Education Act in 2008, and proposed regulations issued by the Department of Education,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the Department of Education has proposed regulations, which could take effect on July 1, 2010, that would require the Higher Learning Commission to notify the Department of Education if an institution it accredits that offers distance learning programs experiences an increase in its headcount enrollment of 50% or more in any fiscal year, which could include us based on our historical enrollment growth rates, and the Department of Education may consider that information in connection with its own regulatory oversight activities.</w:t>
      </w:r>
    </w:p>
    <w:p>
      <w:pPr>
        <w:spacing w:after="0" w:line="98" w:lineRule="exact"/>
        <w:rPr>
          <w:sz w:val="20"/>
          <w:szCs w:val="20"/>
          <w:color w:val="auto"/>
        </w:rPr>
      </w:pPr>
    </w:p>
    <w:p>
      <w:pPr>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agencies. In addition to being accredited by the Higher Learning Commission, we also have the following specialized accreditations:</w:t>
      </w:r>
    </w:p>
    <w:p>
      <w:pPr>
        <w:spacing w:after="0" w:line="131" w:lineRule="exact"/>
        <w:rPr>
          <w:sz w:val="20"/>
          <w:szCs w:val="20"/>
          <w:color w:val="auto"/>
        </w:rPr>
      </w:pPr>
    </w:p>
    <w:p>
      <w:pPr>
        <w:ind w:left="1700" w:right="360" w:hanging="211"/>
        <w:spacing w:after="0" w:line="313" w:lineRule="auto"/>
        <w:tabs>
          <w:tab w:leader="none" w:pos="1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Association of Collegiate Business Schools and Programs accredits our Master of Business Administration degree program and our Bachelor of Science degree programs in Accounting, Business Administration, and Marketing;</w:t>
      </w:r>
    </w:p>
    <w:p>
      <w:pPr>
        <w:spacing w:after="0" w:line="30" w:lineRule="exact"/>
        <w:rPr>
          <w:rFonts w:ascii="Times New Roman" w:cs="Times New Roman" w:eastAsia="Times New Roman" w:hAnsi="Times New Roman"/>
          <w:sz w:val="17"/>
          <w:szCs w:val="17"/>
          <w:color w:val="auto"/>
        </w:rPr>
      </w:pPr>
    </w:p>
    <w:p>
      <w:pPr>
        <w:ind w:left="1700" w:right="120" w:hanging="211"/>
        <w:spacing w:after="0" w:line="282" w:lineRule="auto"/>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on Collegiate Nursing Education accredits our Bachelor of Science in Nursing and Master of Science — Nursing degree programs; and</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on Accreditation of Athletic Training Education accredits our Athletic Training Program.</w:t>
      </w:r>
    </w:p>
    <w:p>
      <w:pPr>
        <w:spacing w:after="0" w:line="131"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w:t>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Regulation of Federal Student Financial Aid Programs</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We submitted our application for recertification to participate in the Title IV programs to the Department of Education in March 2008 in anticipation of the expiration of our provisional certification on June 30, 2008. The Department of Education did not make a decision on our recertification application by June 30, 2008, and therefore our participation in the Title IV programs has been automatically extended on a month-to-month basis until the Department of Education makes its decision.</w:t>
      </w:r>
    </w:p>
    <w:p>
      <w:pPr>
        <w:spacing w:after="0" w:line="91"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(as it will do in 2009 in connection with the August 2008 reauthorization of the Higher Education Act described below) and changes its interpretations of existing laws and regulations, we cannot predict with certainty how the Title IV program requirements will be applied in all circumstances.</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Significant factors relating to the Title IV programs that could adversely affect us include the following:</w:t>
      </w:r>
    </w:p>
    <w:p>
      <w:pPr>
        <w:spacing w:after="0" w:line="129" w:lineRule="exact"/>
        <w:rPr>
          <w:sz w:val="20"/>
          <w:szCs w:val="20"/>
          <w:color w:val="auto"/>
        </w:rPr>
      </w:pPr>
    </w:p>
    <w:p>
      <w:pPr>
        <w:ind w:left="700" w:right="20" w:firstLine="3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Congressional action. </w:t>
      </w:r>
      <w:r>
        <w:rPr>
          <w:rFonts w:ascii="Times New Roman" w:cs="Times New Roman" w:eastAsia="Times New Roman" w:hAnsi="Times New Roman"/>
          <w:sz w:val="17"/>
          <w:szCs w:val="17"/>
          <w:color w:val="auto"/>
        </w:rPr>
        <w:t>Congress must reauthorize the Higher Education Act on a periodic basis, usually every five to six years,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most recent reauthorization occurred in August 2008. The reauthorized Higher Education Act reauthorized all of the Title IV programs in which we participate, but made numerous revisions to the requirements governing the Title IV programs, including provisions relating to the relationships between institutions and lenders that make student loans, student loan default rates, and the formula for revenue that institutions are permitted to derive from the Title IV programs. In addition, in 2007 Congress enacted legislation that reduces interest rates on certain Title IV loans and government subsidies to lenders that participate in the Title IV programs. In May 2008, Congress enacted additional legislation to attempt to ensure that all eligible students will be able to obtain Title IV loans in the future, and that a sufficient number of lenders will continue to provide Title IV loans. Additional legislation is also pending in Congress. In addition, Congress is currently considering the Student Aid and Fiscal Responsibility Act which, among other things, could eliminate the federally guaranteed student loan program and require all future student loans to be made through the FDL program. We are not in a position to predict with certainty whether any of the pending legislation will be enacted.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w:t>
      </w:r>
    </w:p>
    <w:p>
      <w:pPr>
        <w:spacing w:after="0" w:line="36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61" w:lineRule="auto"/>
        <w:rPr>
          <w:sz w:val="20"/>
          <w:szCs w:val="20"/>
          <w:color w:val="auto"/>
        </w:rPr>
      </w:pPr>
      <w:r>
        <w:rPr>
          <w:rFonts w:ascii="Times New Roman" w:cs="Times New Roman" w:eastAsia="Times New Roman" w:hAnsi="Times New Roman"/>
          <w:sz w:val="18"/>
          <w:szCs w:val="18"/>
          <w:color w:val="auto"/>
        </w:rPr>
        <w:t>programs could increase our costs of compliance, reduce the ability of some students to finance their education at our institution, require us to seek to arrange for other sources of financial aid for our students and materially decrease our student enrollment.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86" w:lineRule="exact"/>
        <w:rPr>
          <w:sz w:val="20"/>
          <w:szCs w:val="20"/>
          <w:color w:val="auto"/>
        </w:rPr>
      </w:pPr>
    </w:p>
    <w:p>
      <w:pPr>
        <w:ind w:left="700" w:right="160" w:firstLine="397"/>
        <w:spacing w:after="0" w:line="261" w:lineRule="auto"/>
        <w:rPr>
          <w:sz w:val="20"/>
          <w:szCs w:val="20"/>
          <w:color w:val="auto"/>
        </w:rPr>
      </w:pPr>
      <w:r>
        <w:rPr>
          <w:rFonts w:ascii="Times New Roman" w:cs="Times New Roman" w:eastAsia="Times New Roman" w:hAnsi="Times New Roman"/>
          <w:sz w:val="18"/>
          <w:szCs w:val="18"/>
          <w:color w:val="auto"/>
        </w:rPr>
        <w:t>In addition, Congress must determine the funding levels for the Title IV programs on an annual basis through the budget and appropriations process, and may adjust those levels at other times. A reduction in federal funding levels for the Title IV programs could reduce the ability of some of our students to finance their education. The loss of or a significant reduction in Title IV program funds available to our students could reduce our enrollments and revenue.</w:t>
      </w:r>
    </w:p>
    <w:p>
      <w:pPr>
        <w:spacing w:after="0" w:line="84"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Pending regulatory changes. </w:t>
      </w:r>
      <w:r>
        <w:rPr>
          <w:rFonts w:ascii="Times New Roman" w:cs="Times New Roman" w:eastAsia="Times New Roman" w:hAnsi="Times New Roman"/>
          <w:sz w:val="18"/>
          <w:szCs w:val="18"/>
          <w:color w:val="auto"/>
        </w:rPr>
        <w:t>In connection with the 2008 reauthorization of the Higher Education Act, Congress directed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Education to promulgate regulations to clarify and carry out the numerous revisions made in such reauthorization. In December 2008, the Department of Education established five negotiated rulemaking committees to begin to work on developing such regulations. Negotiated rulemaking is a process whereby the Department of Education consults with members of the postsecondary education community to identify issues of concern and attempts to agree on proposed regulatory revisions to address those issues before the Department of Education formally proposes any regulations. If the Department of Education and negotiators cannot reach consensus on their entire package of draft regulations, the Department of Education is authorized to propose regulations without being bound by any agreements made in the negotiation process. The five negotiated rulemaking committees established by the Department of Education were divided as follows, based on the regulatory issues to be covered by each committee:</w:t>
      </w:r>
    </w:p>
    <w:p>
      <w:pPr>
        <w:spacing w:after="0" w:line="9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Committee I — Lender and General Loan Issues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Committee II — School-Based Loan Issues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Committee III — Accreditation</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Committee IV — Discretionary Grants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Committee V — General and Non-Loan Programmatic Issues</w:t>
      </w:r>
    </w:p>
    <w:p>
      <w:pPr>
        <w:spacing w:after="0" w:line="131" w:lineRule="exact"/>
        <w:rPr>
          <w:sz w:val="20"/>
          <w:szCs w:val="20"/>
          <w:color w:val="auto"/>
        </w:rPr>
      </w:pPr>
    </w:p>
    <w:p>
      <w:pPr>
        <w:ind w:left="700" w:right="120" w:firstLine="397"/>
        <w:spacing w:after="0" w:line="255" w:lineRule="auto"/>
        <w:rPr>
          <w:sz w:val="20"/>
          <w:szCs w:val="20"/>
          <w:color w:val="auto"/>
        </w:rPr>
      </w:pPr>
      <w:r>
        <w:rPr>
          <w:rFonts w:ascii="Times New Roman" w:cs="Times New Roman" w:eastAsia="Times New Roman" w:hAnsi="Times New Roman"/>
          <w:sz w:val="18"/>
          <w:szCs w:val="18"/>
          <w:color w:val="auto"/>
        </w:rPr>
        <w:t>In July and August 2009, the Department of Education proposed and invited public comment on regulations relating to the issues covered by Committees I, II, and III, each of which reached consensus, and issues covered by Committee V, which did not reach consensus. The Department of Education has yet to propose regulations with regard to the topics covered by Committee IV, but the Department of Education is expected to issue such proposed regulations in the near future. Following review and consideration of any public comments, the Department of Education will publish final regulations relating to the issues covered by the negotiated rulemaking committees. If such final regulations are published by November 1, 2009, which is expected, such new regulations will take effect on July 1, 2010.</w:t>
      </w:r>
    </w:p>
    <w:p>
      <w:pPr>
        <w:spacing w:after="0" w:line="95"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In May 2009, the Department of Education announced its intent to initiate another round of negotiated rulemaking to address regulations to improve the administration of the Title IV programs. The Department of Education has not yet identified the participants in this next round of negotiated rulemaking, but the process is expected to begin as soon as the fall of 2009, and is expected to address a number of significant issues, including: compensation paid by institutions to persons or entities engaged in student recruiting or admission activities; the determination of satisfactory academic progress under different academic calendars; state authorization as a component of institutional eligibility; the definition of a credit hour for purposes of determining program eligibility status, particularly in the context of awarding Pell Grants; verification of information included on student aid applications; and the definition of a high school diploma as a condition of a student’s receipt of Title IV aid. We are still assessing the impact of these proposed regulations and the upcoming negotiated rulemaking on our financial aid policies and other plans and strategies.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right="40" w:firstLine="39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Eligibility and certification procedures. </w:t>
      </w:r>
      <w:r>
        <w:rPr>
          <w:rFonts w:ascii="Times New Roman" w:cs="Times New Roman" w:eastAsia="Times New Roman" w:hAnsi="Times New Roman"/>
          <w:sz w:val="18"/>
          <w:szCs w:val="18"/>
          <w:color w:val="auto"/>
        </w:rPr>
        <w:t>Each institution must apply periodically to the Department of Education for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to 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94" w:lineRule="exact"/>
        <w:rPr>
          <w:sz w:val="20"/>
          <w:szCs w:val="20"/>
          <w:color w:val="auto"/>
        </w:rPr>
      </w:pPr>
    </w:p>
    <w:p>
      <w:pPr>
        <w:ind w:left="700" w:firstLine="397"/>
        <w:spacing w:after="0" w:line="251" w:lineRule="auto"/>
        <w:rPr>
          <w:sz w:val="20"/>
          <w:szCs w:val="20"/>
          <w:color w:val="auto"/>
        </w:rPr>
      </w:pPr>
      <w:r>
        <w:rPr>
          <w:rFonts w:ascii="Times New Roman" w:cs="Times New Roman" w:eastAsia="Times New Roman" w:hAnsi="Times New Roman"/>
          <w:sz w:val="18"/>
          <w:szCs w:val="18"/>
          <w:color w:val="auto"/>
        </w:rPr>
        <w:t xml:space="preserve">Since May 2005 we have been certified to participate in Title IV programs on a provisional basis.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 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and the identity of the members of our Board of Directors. Based on our provisional certification, the Department of Education may more closely review any application we may file for recertification, new locations, new educational programs, acquisitions of other schools, or other significant changes. For a school that is certified on a provisional basis, the Department of Education may revoke the institution’s certification without advance notice or advance opportunity for the institution to challenge that action. For a school that is provisionally certified on a month-to-month basis, the Department of Education may allow the institution’s certification to expire at the end of any month without advance notice, and without any formal procedure for review of such action. To our knowledge, such action is very rare and has only occurred upon a determination that an institution is in substantial violation of material Title IV requirements. For the foreseeable future, we do not have plans to initiate new educational programs, acquire other schools, or make other significant changes in our operations that would require approval of the Department of Education. Accordingly, we do not believe that our continued provisional certification on a month-to-month basis has had or will have any material impact on our day-to-day operations. However, there can be no assurance that the Department of Education will recertify us while the investigation by the Office of Inspector General of the Department of Education is being conducted, while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is pending, or at all, or that it will not impose restrictions as a condition of approving our pending recertification application or with respect to any future recertification. If the Department of Education does not renew or withdraws our certification to participate in the Title IV programs at any time, our students would no longer be able to receive Title IV program funds. Similarly, the Department of Education could renew our certification, but restrict or delay our students’ receipt of Title IV funds, limit the number of students to whom we could disburse such funds, or place other restrictions on us that could be similar to, or more or less restrictive than, the restrictions that the Department of Education imposed on us in connection with our recertification in 2005. Any of these outcomes would have a material adverse effect on our enrollments and us.</w:t>
      </w:r>
    </w:p>
    <w:p>
      <w:pPr>
        <w:spacing w:after="0" w:line="3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right="30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Administrative capability. </w:t>
      </w:r>
      <w:r>
        <w:rPr>
          <w:rFonts w:ascii="Times New Roman" w:cs="Times New Roman" w:eastAsia="Times New Roman" w:hAnsi="Times New Roman"/>
          <w:sz w:val="18"/>
          <w:szCs w:val="18"/>
          <w:color w:val="auto"/>
        </w:rPr>
        <w:t>Department of Education regulations specify extensive criteria by which an institution must establish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has the requisite “administrative capability” to participate in the Title IV programs. To meet the administrative capability standards, an institution must, among other things:</w:t>
      </w:r>
    </w:p>
    <w:p>
      <w:pPr>
        <w:spacing w:after="0" w:line="81" w:lineRule="exact"/>
        <w:rPr>
          <w:sz w:val="20"/>
          <w:szCs w:val="20"/>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Title IV program requirements;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adequate number of qualified personnel to administer the Title IV programs;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acceptable standards for measuring the satisfactory academic progress of its students;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have student loan cohort default rates above specified levels;</w:t>
      </w:r>
    </w:p>
    <w:p>
      <w:pPr>
        <w:spacing w:after="0" w:line="117" w:lineRule="exact"/>
        <w:rPr>
          <w:rFonts w:ascii="Times New Roman" w:cs="Times New Roman" w:eastAsia="Times New Roman" w:hAnsi="Times New Roman"/>
          <w:sz w:val="18"/>
          <w:szCs w:val="18"/>
          <w:color w:val="auto"/>
        </w:rPr>
      </w:pPr>
    </w:p>
    <w:p>
      <w:pPr>
        <w:ind w:left="1700" w:right="320" w:hanging="211"/>
        <w:spacing w:after="0" w:line="282"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various procedures in place for awarding, disbursing and safeguarding Title IV funds and for maintaining required records;</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Title IV programs with adequate checks and balances in its system of internal controls;</w:t>
      </w:r>
    </w:p>
    <w:p>
      <w:pPr>
        <w:spacing w:after="0" w:line="117" w:lineRule="exact"/>
        <w:rPr>
          <w:rFonts w:ascii="Times New Roman" w:cs="Times New Roman" w:eastAsia="Times New Roman" w:hAnsi="Times New Roman"/>
          <w:sz w:val="18"/>
          <w:szCs w:val="18"/>
          <w:color w:val="auto"/>
        </w:rPr>
      </w:pPr>
    </w:p>
    <w:p>
      <w:pPr>
        <w:ind w:left="1700" w:right="580" w:hanging="211"/>
        <w:spacing w:after="0" w:line="282"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and not have any principal or affiliate who is, debarred or suspended from federal contracting or engaging in activity that is cause for debarment or suspension;</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aid counseling to its students;</w:t>
      </w:r>
    </w:p>
    <w:p>
      <w:pPr>
        <w:spacing w:after="0" w:line="117" w:lineRule="exact"/>
        <w:rPr>
          <w:rFonts w:ascii="Times New Roman" w:cs="Times New Roman" w:eastAsia="Times New Roman" w:hAnsi="Times New Roman"/>
          <w:sz w:val="18"/>
          <w:szCs w:val="18"/>
          <w:color w:val="auto"/>
        </w:rPr>
      </w:pPr>
    </w:p>
    <w:p>
      <w:pPr>
        <w:jc w:val="both"/>
        <w:ind w:left="1700" w:right="300" w:hanging="211"/>
        <w:spacing w:after="0" w:line="266" w:lineRule="auto"/>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68"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all required reports and financial statements in a timely manner;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otherwise appear to lack administrative capability.</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an institution fails to satisfy any of these criteria, the Department of Education may:</w:t>
      </w:r>
    </w:p>
    <w:p>
      <w:pPr>
        <w:spacing w:after="0" w:line="131" w:lineRule="exact"/>
        <w:rPr>
          <w:sz w:val="20"/>
          <w:szCs w:val="20"/>
          <w:color w:val="auto"/>
        </w:rPr>
      </w:pPr>
    </w:p>
    <w:p>
      <w:pPr>
        <w:ind w:left="1700" w:hanging="211"/>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institution to repay Title IV funds its students previously received;</w:t>
      </w:r>
    </w:p>
    <w:p>
      <w:pPr>
        <w:spacing w:after="0" w:line="117" w:lineRule="exact"/>
        <w:rPr>
          <w:rFonts w:ascii="Times New Roman" w:cs="Times New Roman" w:eastAsia="Times New Roman" w:hAnsi="Times New Roman"/>
          <w:sz w:val="18"/>
          <w:szCs w:val="18"/>
          <w:color w:val="auto"/>
        </w:rPr>
      </w:pPr>
    </w:p>
    <w:p>
      <w:pPr>
        <w:ind w:left="1700" w:right="200" w:hanging="211"/>
        <w:spacing w:after="0" w:line="282" w:lineRule="auto"/>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institution from the advance method of payment of Title IV funds to heightened cash monitoring status or the reimbursement system of payment;</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the institution on provisional certification status; or</w:t>
      </w:r>
    </w:p>
    <w:p>
      <w:pPr>
        <w:spacing w:after="0" w:line="117" w:lineRule="exact"/>
        <w:rPr>
          <w:rFonts w:ascii="Times New Roman" w:cs="Times New Roman" w:eastAsia="Times New Roman" w:hAnsi="Times New Roman"/>
          <w:sz w:val="18"/>
          <w:szCs w:val="18"/>
          <w:color w:val="auto"/>
        </w:rPr>
      </w:pPr>
    </w:p>
    <w:p>
      <w:pPr>
        <w:ind w:left="1700" w:right="440" w:hanging="211"/>
        <w:spacing w:after="0" w:line="282" w:lineRule="auto"/>
        <w:tabs>
          <w:tab w:leader="none" w:pos="1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proceeding to impose a fine or to limit, suspend or terminate the institution’s participation in the Title IV programs.</w:t>
      </w:r>
    </w:p>
    <w:p>
      <w:pPr>
        <w:spacing w:after="0" w:line="67"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The Department of Education also recently published proposed revisions to the administrative capability regulations. These revisions include provisions related to (i) reporting to the Department of Education any reasonable reimbursements paid or provided by a lender to institutional employees with loan or other financial aid responsibilities and (ii) implementation of the new three year cohort default rate rules. Following review of any comments, the Department of Education will publish final regulations. If such final regulations are published by November 1, 2009, which is expected, such new regulations will be effective on July 1, 2010. We will have to make certain administrative and reporting changes to adapt our systems and practices to meet the requirements of these new regulations when they take effect, and we are still assessing the other potential impacts, if any, of these proposed regulations on our business. In addition, as part of our transition from a “term-based” financial aid system (where all students, including online students, begin programs and are eligible to receive financial aid at periodic start dates pursuant to a calendar-based term system) to a “borrower-based” financial aid system (where each student may begin a program and be eligible to receive financial aid at any time throughout the year), we are converting our back office system from Datatel to a series of programs developed by Campus Management Corp., including CampusVue and CampusPortal. This conversion is intended to allow us to manage our non-traditional online students with greater ease and flexibility by providing for rolling and flexible start dates. If we do not effectively implement this system or if the system does not operate as intended, it could affect our ability to comply with the Department of Education’s administrative capability requirements. If we are found not to have satisfied the Department of</w:t>
      </w: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Education’s administrative capability requirements, our students could lose, or be limited in their access to, Title IV program funding.</w:t>
      </w:r>
    </w:p>
    <w:p>
      <w:pPr>
        <w:spacing w:after="0" w:line="129" w:lineRule="exact"/>
        <w:rPr>
          <w:sz w:val="20"/>
          <w:szCs w:val="20"/>
          <w:color w:val="auto"/>
        </w:rPr>
      </w:pPr>
    </w:p>
    <w:p>
      <w:pPr>
        <w:ind w:left="700" w:right="8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Financial responsibility. </w:t>
      </w:r>
      <w:r>
        <w:rPr>
          <w:rFonts w:ascii="Times New Roman" w:cs="Times New Roman" w:eastAsia="Times New Roman" w:hAnsi="Times New Roman"/>
          <w:sz w:val="18"/>
          <w:szCs w:val="18"/>
          <w:color w:val="auto"/>
        </w:rPr>
        <w:t>The Higher Education Act and Department of Education regulations establish extensive standards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responsibility that institutions such as Grand Canyon University must satisfy in order to participate in the Title IV programs. The Department of Education evaluates institutions for compliance with these standards on an annual basis, based on the institution’s annual audited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90" w:lineRule="exact"/>
        <w:rPr>
          <w:sz w:val="20"/>
          <w:szCs w:val="20"/>
          <w:color w:val="auto"/>
        </w:rPr>
      </w:pPr>
    </w:p>
    <w:p>
      <w:pPr>
        <w:ind w:left="1700" w:hanging="211"/>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ratio, which measures the institution’s capital resources, financial viability and ability to borrow;</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reserve ratio, which measures the institution’s ability to support current operations from expendable resources;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ratio, which measures the institution’s ability to operate at a profit or within its means.</w:t>
      </w:r>
    </w:p>
    <w:p>
      <w:pPr>
        <w:spacing w:after="0" w:line="131" w:lineRule="exact"/>
        <w:rPr>
          <w:sz w:val="20"/>
          <w:szCs w:val="20"/>
          <w:color w:val="auto"/>
        </w:rPr>
      </w:pPr>
    </w:p>
    <w:p>
      <w:pPr>
        <w:ind w:left="700" w:right="20"/>
        <w:spacing w:after="0" w:line="255" w:lineRule="auto"/>
        <w:rPr>
          <w:sz w:val="20"/>
          <w:szCs w:val="20"/>
          <w:color w:val="auto"/>
        </w:rPr>
      </w:pPr>
      <w:r>
        <w:rPr>
          <w:rFonts w:ascii="Times New Roman" w:cs="Times New Roman" w:eastAsia="Times New Roman" w:hAnsi="Times New Roman"/>
          <w:sz w:val="18"/>
          <w:szCs w:val="18"/>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the institution’s most recent fiscal year must be at least 1.5 for the institution to be deemed financially responsible without the need for further Department of Education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financial statements.</w:t>
      </w:r>
    </w:p>
    <w:p>
      <w:pPr>
        <w:spacing w:after="0" w:line="91"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When we were recertified by the Department of Education in 2005 to continue participating in the Title IV programs, the Department of Education advised us that we did not satisfy its standards of financial responsibility, based on our fiscal year 2004 financial statements, as submitted to the Department of Education. As a result of this and other concerns about our administrative capability, the Department of Education required us to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based upon its review of our fiscal year 2005 financial statements. We have subsequently submitted our fiscal year 2006, 2007, and 2008 financial statements to the Department of Education as required, and we calculated that our composite score for each such fiscal year exceeded 1.5. We therefore believe that we meet the Department of Education’s financial responsibility standards for our most recently completed fiscal year.</w:t>
      </w:r>
    </w:p>
    <w:p>
      <w:pPr>
        <w:spacing w:after="0" w:line="92"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95" w:lineRule="exact"/>
        <w:rPr>
          <w:sz w:val="20"/>
          <w:szCs w:val="20"/>
          <w:color w:val="auto"/>
        </w:rPr>
      </w:pPr>
    </w:p>
    <w:p>
      <w:pPr>
        <w:ind w:left="700" w:right="240" w:firstLine="397"/>
        <w:spacing w:after="0" w:line="266" w:lineRule="auto"/>
        <w:rPr>
          <w:sz w:val="20"/>
          <w:szCs w:val="20"/>
          <w:color w:val="auto"/>
        </w:rPr>
      </w:pPr>
      <w:r>
        <w:rPr>
          <w:rFonts w:ascii="Times New Roman" w:cs="Times New Roman" w:eastAsia="Times New Roman" w:hAnsi="Times New Roman"/>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82" w:lineRule="auto"/>
        <w:rPr>
          <w:sz w:val="20"/>
          <w:szCs w:val="20"/>
          <w:color w:val="auto"/>
        </w:rPr>
      </w:pPr>
      <w:r>
        <w:rPr>
          <w:rFonts w:ascii="Times New Roman" w:cs="Times New Roman" w:eastAsia="Times New Roman" w:hAnsi="Times New Roman"/>
          <w:sz w:val="18"/>
          <w:szCs w:val="18"/>
          <w:color w:val="auto"/>
        </w:rPr>
        <w:t>post a required letter of credit or comply with the alternative bases for establishing financial responsibility, our students could lose their access to Title IV program funding.</w:t>
      </w:r>
    </w:p>
    <w:p>
      <w:pPr>
        <w:spacing w:after="0" w:line="65" w:lineRule="exact"/>
        <w:rPr>
          <w:sz w:val="20"/>
          <w:szCs w:val="20"/>
          <w:color w:val="auto"/>
        </w:rPr>
      </w:pPr>
    </w:p>
    <w:p>
      <w:pPr>
        <w:ind w:left="700" w:right="40" w:firstLine="397"/>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Return of Title IV funds for students who withdraw. </w:t>
      </w:r>
      <w:r>
        <w:rPr>
          <w:rFonts w:ascii="Times New Roman" w:cs="Times New Roman" w:eastAsia="Times New Roman" w:hAnsi="Times New Roman"/>
          <w:sz w:val="17"/>
          <w:szCs w:val="17"/>
          <w:color w:val="auto"/>
        </w:rPr>
        <w:t>When a student who has received Title IV funds withdraws from school,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institution must determine the amount of Title IV program funds the student has “earned.” If the student withdraws during the first 60% of any period of enrollment or payment period, the amount of Title IV program funds that the student has earned is equal to a pro rata portion of the funds the student received or for which the student would otherwise be eligible. If the student withdraws after the 60% threshold, then the student is deemed to have earned 100% of the Title IV program funds he or she received. The institution must return the unearned Title IV program funds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late returns of Title IV program funds for 5% or more of the withdrawn students in the audit sample in the institution’s annual Title IV compliance audit for either of the institution’s two most recent fiscal years or in a Department of Education program review triggers this letter of credit requirement. We did not exceed this 5% threshold in our annual Title IV compliance audit in our 2006, 2007, or 2008 fiscal years.</w:t>
      </w:r>
    </w:p>
    <w:p>
      <w:pPr>
        <w:spacing w:after="0" w:line="8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The “90/10 Rule.” </w:t>
      </w:r>
      <w:r>
        <w:rPr>
          <w:rFonts w:ascii="Times New Roman" w:cs="Times New Roman" w:eastAsia="Times New Roman" w:hAnsi="Times New Roman"/>
          <w:sz w:val="18"/>
          <w:szCs w:val="18"/>
          <w:color w:val="auto"/>
        </w:rPr>
        <w:t>A requirement of the Higher Education Act, commonly referred to as the “90/10 Rule,” that is applicable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for-profit, postsecondary educational institutions like us, provides that an institution loses its eligibility to participate in the Title IV programs, if, under a complex regulatory formula that requires cash basis accounting and other adjustments to the calculation of revenue, the institution derives more than 90% of its revenues for each of two consecutive fiscal years from Title IV program funds. This rule provides that an institution that violates this revenue limit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period of ineligibility, the institution will be required to return those funds to the applicable lender or the Department of Education. If an institution’s rate exceeds 90% for any single fiscal year, it will be placed on provisional certification for at least two fiscal years. The August 2008 reauthorization of the Higher Education Act included significant revisions to the “90/10 Rule” that became effective upon the date of the law’s enactment.</w:t>
      </w:r>
    </w:p>
    <w:p>
      <w:pPr>
        <w:spacing w:after="0" w:line="100"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Recent changes in federal law that increased Title IV grant and loan limits, and any additional increases in the future, may result in an increase in the revenues we receive from the Title IV programs, which could make it more difficult for us to satisfy the “90/10 Rule.” In addition, economic downturns that adversely affect the employment circumstances of our students or their parents, or that reduce the availability of private loans for our students, could also increase their reliance on Title IV programs. However, such effects may be mitigated by other provisions of the 2008 Higher Education Act reauthorization that allow institutions, when calculating their compliance with this revenue test, to exclude from their Title IV revenues for a three-year period the additional federal student loan amounts that became available through the Unsubsidized Stafford Loan Program starting in July 2008, and to include more non-Title IV revenues, such as revenues from institutional loans under certain circumstances. Using the Department of Education’s formula under the</w:t>
      </w:r>
    </w:p>
    <w:p>
      <w:pPr>
        <w:spacing w:after="0" w:line="1" w:lineRule="exact"/>
        <w:rPr>
          <w:sz w:val="20"/>
          <w:szCs w:val="20"/>
          <w:color w:val="auto"/>
        </w:rPr>
      </w:pPr>
    </w:p>
    <w:p>
      <w:pPr>
        <w:ind w:left="700" w:right="60"/>
        <w:spacing w:after="0" w:line="251" w:lineRule="auto"/>
        <w:rPr>
          <w:sz w:val="20"/>
          <w:szCs w:val="20"/>
          <w:color w:val="auto"/>
        </w:rPr>
      </w:pPr>
      <w:r>
        <w:rPr>
          <w:rFonts w:ascii="Times New Roman" w:cs="Times New Roman" w:eastAsia="Times New Roman" w:hAnsi="Times New Roman"/>
          <w:sz w:val="18"/>
          <w:szCs w:val="18"/>
          <w:color w:val="auto"/>
        </w:rPr>
        <w:t>“90/10 Rule” that was in effect prior to the August 2008 reauthorization of the Higher Education Act, for our 2007 and 2008 fiscal years, we derived approximately 74.0% and 78.6%, respectively, of our revenues (calculated on a cash basis) from Title IV program funds. These rates have been reviewed by our financial accounting firm as reflected in the notes to our audited financial statements for each fiscal year. We are reviewing the Department of Education’s proposed regulations and other factors bearing on the trends in our percentage under the 90/10 Rule for our 2009 fiscal year and future years. However, as a result of recent changes in federal law that increased Title IV grant and loan limits, as well as the current economic downturn, which has adversely affected the employment circumstances of our students and their parents and increased their reliance on Title IV programs, we expect the percentage of our revenue that we receive from the Title IV programs to continue to increase in the future, making it more difficult for us to satisfy this requirement.</w:t>
      </w:r>
    </w:p>
    <w:p>
      <w:pPr>
        <w:spacing w:after="0" w:line="3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82" w:lineRule="auto"/>
        <w:rPr>
          <w:sz w:val="20"/>
          <w:szCs w:val="20"/>
          <w:color w:val="auto"/>
        </w:rPr>
      </w:pPr>
      <w:r>
        <w:rPr>
          <w:rFonts w:ascii="Times New Roman" w:cs="Times New Roman" w:eastAsia="Times New Roman" w:hAnsi="Times New Roman"/>
          <w:sz w:val="18"/>
          <w:szCs w:val="18"/>
          <w:color w:val="auto"/>
        </w:rPr>
        <w:t>Exceeding the 90% threshold such that we lost our eligibility to participate in the Title IV programs would have a material adverse effect on our business, prospects, financial condition, and results of operations.</w:t>
      </w:r>
    </w:p>
    <w:p>
      <w:pPr>
        <w:spacing w:after="0" w:line="65"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Student loan defaults. </w:t>
      </w:r>
      <w:r>
        <w:rPr>
          <w:rFonts w:ascii="Times New Roman" w:cs="Times New Roman" w:eastAsia="Times New Roman" w:hAnsi="Times New Roman"/>
          <w:sz w:val="18"/>
          <w:szCs w:val="18"/>
          <w:color w:val="auto"/>
        </w:rPr>
        <w:t>Under the Higher Education Act, an educational institution may lose its eligibility to participate in some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the Title IV programs if defaults by its students on the repayment of their FFEL student loans or Federal Direct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which is expected to increase cohort default rates for most if not all institutions.</w:t>
      </w:r>
    </w:p>
    <w:p>
      <w:pPr>
        <w:spacing w:after="0" w:line="97" w:lineRule="exact"/>
        <w:rPr>
          <w:sz w:val="20"/>
          <w:szCs w:val="20"/>
          <w:color w:val="auto"/>
        </w:rPr>
      </w:pPr>
    </w:p>
    <w:p>
      <w:pPr>
        <w:ind w:left="700" w:right="100" w:firstLine="397"/>
        <w:spacing w:after="0" w:line="255" w:lineRule="auto"/>
        <w:rPr>
          <w:sz w:val="20"/>
          <w:szCs w:val="20"/>
          <w:color w:val="auto"/>
        </w:rPr>
      </w:pPr>
      <w:r>
        <w:rPr>
          <w:rFonts w:ascii="Times New Roman" w:cs="Times New Roman" w:eastAsia="Times New Roman" w:hAnsi="Times New Roman"/>
          <w:sz w:val="18"/>
          <w:szCs w:val="18"/>
          <w:color w:val="auto"/>
        </w:rPr>
        <w:t>The Department of Education has proposed a regulation indicating that it will begin to implement this extended measurement period for the cohort default rates that will be calculated for loans that enter repayment in federal fiscal year 2009, which is the year that ends on September 30, 2009. The Department of Education has proposed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The cohort default rates for federal fiscal year 2009, 2010 and 2011, as calculated under the new three-year method, are not expected to be published until calendar years 2012, 2013 and 2014.</w:t>
      </w:r>
    </w:p>
    <w:p>
      <w:pPr>
        <w:spacing w:after="0" w:line="9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the three most recent federal fiscal years, the institution’s participation in the FFEL program, the FDL program and the Pell program ends 30 days after that notification, unless the institution appeals that determination in a timely manner on specified grounds and according to specified procedures. In addition, an institution’s participation in the FFEL program and the FDL program ends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and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96" w:lineRule="exact"/>
        <w:rPr>
          <w:sz w:val="20"/>
          <w:szCs w:val="20"/>
          <w:color w:val="auto"/>
        </w:rPr>
      </w:pPr>
    </w:p>
    <w:p>
      <w:pPr>
        <w:ind w:left="700" w:right="140" w:firstLine="397"/>
        <w:spacing w:after="0" w:line="258" w:lineRule="auto"/>
        <w:rPr>
          <w:sz w:val="20"/>
          <w:szCs w:val="20"/>
          <w:color w:val="auto"/>
        </w:rPr>
      </w:pPr>
      <w:r>
        <w:rPr>
          <w:rFonts w:ascii="Times New Roman" w:cs="Times New Roman" w:eastAsia="Times New Roman" w:hAnsi="Times New Roman"/>
          <w:sz w:val="18"/>
          <w:szCs w:val="18"/>
          <w:color w:val="auto"/>
        </w:rPr>
        <w:t>Our cohort default rates on FFEL program loans for the 2004, 2005 and 2006 federal fiscal years, the three most recent years for which such rates have been calculated, were 1.4%, 1.8% and 1.6%, respectively. Our draft cohort default rate for the 2007 federal fiscal year is 1.4%. We expect our cohort default rate for the 2008 federal fiscal year to increase due primarily to the impact of current economic conditions on our students and former students, although we expect such rate to remain well below the Department of Education’s thresholds.</w:t>
      </w:r>
    </w:p>
    <w:p>
      <w:pPr>
        <w:spacing w:after="0" w:line="89" w:lineRule="exact"/>
        <w:rPr>
          <w:sz w:val="20"/>
          <w:szCs w:val="20"/>
          <w:color w:val="auto"/>
        </w:rPr>
      </w:pPr>
    </w:p>
    <w:p>
      <w:pPr>
        <w:ind w:left="700" w:right="160" w:firstLine="397"/>
        <w:spacing w:after="0" w:line="266" w:lineRule="auto"/>
        <w:rPr>
          <w:sz w:val="20"/>
          <w:szCs w:val="20"/>
          <w:color w:val="auto"/>
        </w:rPr>
      </w:pPr>
      <w:r>
        <w:rPr>
          <w:rFonts w:ascii="Times New Roman" w:cs="Times New Roman" w:eastAsia="Times New Roman" w:hAnsi="Times New Roman"/>
          <w:sz w:val="18"/>
          <w:szCs w:val="18"/>
          <w:color w:val="auto"/>
        </w:rPr>
        <w:t>Our students have begun the process of applying for loans under the FDL program for the fall of 2009. When these loans are disbursed, they will be combined with our students’ FFEL loans in calculating our annual student loan cohort default rate. In such case, the potential sanctions discussed in this section would be based on the combined cohort default rate.</w:t>
      </w:r>
    </w:p>
    <w:p>
      <w:pPr>
        <w:spacing w:after="0" w:line="80"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Incentive compensation rule. </w:t>
      </w:r>
      <w:r>
        <w:rPr>
          <w:rFonts w:ascii="Times New Roman" w:cs="Times New Roman" w:eastAsia="Times New Roman" w:hAnsi="Times New Roman"/>
          <w:sz w:val="18"/>
          <w:szCs w:val="18"/>
          <w:color w:val="auto"/>
        </w:rPr>
        <w:t>An institution that participates in the Title IV programs may not provide any commission, bonus,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incentive payment based directly or indirectly on success in securing enrollments or financial aid to any person or entity engaged in any student recruitment, admissions, or financial aid awarding activity. The Department of Education’s regulations set forth 12 “safe harbors” which</w:t>
      </w:r>
    </w:p>
    <w:p>
      <w:pPr>
        <w:spacing w:after="0" w:line="37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55" w:lineRule="auto"/>
        <w:rPr>
          <w:sz w:val="20"/>
          <w:szCs w:val="20"/>
          <w:color w:val="auto"/>
        </w:rPr>
      </w:pPr>
      <w:r>
        <w:rPr>
          <w:rFonts w:ascii="Times New Roman" w:cs="Times New Roman" w:eastAsia="Times New Roman" w:hAnsi="Times New Roman"/>
          <w:sz w:val="18"/>
          <w:szCs w:val="18"/>
          <w:color w:val="auto"/>
        </w:rPr>
        <w:t>describe payments and arrangements that do not violate the incentive compensation rule. The Department of Education’s regulations make clear that the safe harbors are not a complete list of permissible practices under this law. For example, one of these safe harbors permits adjustments to fixed salary for enrollment personnel provided that such adjustments are not made more than twice during any twelve month period, and that any adjustment is not based solely on the number of students recruited, admitted, enrolled, or awarded financial aid, but the regulations do not address other practices, such as the provision of non-cash awards to enrollment personnel. The restrictions of the incentive compensation rule also extend to any third-party companies that an educational institution contracts with for student recruitment, admissions, or financial aid awarding services. Since 2005, we have engaged Mind Streams, LLC to assist us with student recruitment activities.</w:t>
      </w:r>
    </w:p>
    <w:p>
      <w:pPr>
        <w:spacing w:after="0" w:line="91" w:lineRule="exact"/>
        <w:rPr>
          <w:sz w:val="20"/>
          <w:szCs w:val="20"/>
          <w:color w:val="auto"/>
        </w:rPr>
      </w:pPr>
    </w:p>
    <w:p>
      <w:pPr>
        <w:ind w:left="700" w:right="40" w:firstLine="397"/>
        <w:spacing w:after="0" w:line="273" w:lineRule="auto"/>
        <w:rPr>
          <w:sz w:val="20"/>
          <w:szCs w:val="20"/>
          <w:color w:val="auto"/>
        </w:rPr>
      </w:pPr>
      <w:r>
        <w:rPr>
          <w:rFonts w:ascii="Times New Roman" w:cs="Times New Roman" w:eastAsia="Times New Roman" w:hAnsi="Times New Roman"/>
          <w:sz w:val="17"/>
          <w:szCs w:val="17"/>
          <w:color w:val="auto"/>
        </w:rPr>
        <w:t xml:space="preserve">In recent years, several for-profit education companies have been faced with whistleblower lawsuits, known as “qui tam” cases, brought by current or former employees alleging that their institution had made impermissible incentive payments. A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case is a civil lawsuit brought by one or more individuals (a “relator”) on behalf of the federal government for an alleged submission to the government of a false claim for payment. The relator, often a current or former employee, is entitled to a share of the government’s recovery in the case. A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action is always filed under seal and remains under seal until the government decides whether to intervene in the case. If the government intervenes, it takes over primary control of the litigation. If the government declines to intervene in the case, the relator may nonetheless elect to continue to pursue the litigation at his or her own expense on behalf of the government.</w:t>
      </w:r>
    </w:p>
    <w:p>
      <w:pPr>
        <w:spacing w:after="0" w:line="76"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 xml:space="preserve">On September 11, 2008, we were served with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had been filed on August 11, 2008.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have improperly compensated certain of our enrollment counselors in violation of the 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our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our practices, including in respect of non-cash awards, have not been within the scope of any specific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We filed a motion to dismiss this case in November 2008, which was denied by the court in February 2009, and we have continued to vigorously contest this lawsuit.</w:t>
      </w:r>
    </w:p>
    <w:p>
      <w:pPr>
        <w:spacing w:after="0" w:line="103"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court’s mandatory scheduling order, we have entered into settlement discussions with respect to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matter with the relator. In connection with such discussions, we are negotiating for a comprehensive settlement that would include, among other things, the resolution by the Office of Inspector General of its investigation. Accordingly, any such settlement would need to be approved not only by the relator, but by the U.S. Department of Justice (which has authority to approve settlements of False Claims Act matters), and the Department of Education. Based on publicly available information, we believe that similar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lawsuits involving compensation practices of other post-secondary education institutions have settled (or have resulted in announced charges in anticipation of settlement) in the range of $4.9 million to $7.0 million. While we cannot assure you that this matter will be settled on terms acceptable to us or at all, we do not believe that any potential settlement, if in the amount (which is within the range of such other settlements) and on the terms currently under discussion, will materially adversely affect our business, operations, or liquidity, although any charge taken in connection with such a potential settlement would likely be material to our operating results and cash flow for the periods affected by the charge. If such settlement does not occur, we would continue to vigorously defend this lawsuit.</w:t>
      </w:r>
    </w:p>
    <w:p>
      <w:pPr>
        <w:spacing w:after="0" w:line="3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397"/>
        <w:spacing w:after="0" w:line="253" w:lineRule="auto"/>
        <w:rPr>
          <w:sz w:val="20"/>
          <w:szCs w:val="20"/>
          <w:color w:val="auto"/>
        </w:rPr>
      </w:pPr>
      <w:r>
        <w:rPr>
          <w:rFonts w:ascii="Times New Roman" w:cs="Times New Roman" w:eastAsia="Times New Roman" w:hAnsi="Times New Roman"/>
          <w:sz w:val="18"/>
          <w:szCs w:val="18"/>
          <w:color w:val="auto"/>
        </w:rPr>
        <w:t>The Office of Inspector General of the Department of Education is responsible for, among other things, promoting the effectiveness and integrity of the Department of Education’s programs and operations, including compliance with applicable statutes and regulations. The Office of Inspector General performs investigations of alleged violations of law, including cases of alleged fraud and abuse, or other identified vulnerabilities, in programs administered or financed by the Department of Education, including matters related to the incentive compensation rule. On August 14, 2008, the Office of Inspector General served an administrative subpoena on Grand Canyon University requiring us to provide certain records and information related to performance reviews and salary adjustments for all of our enrollment counselors and managers from January 1, 2004 to the present. The Office of Inspector General’s investigation is focused on whether we have compensated any of our enrollment counselors or managers in a manner that violated the Title IV statutory requirements or the related Department of Education regulations concerning the payment of incentive compensation based on success in securing enrollments or financial aid. We have been cooperating with the Office of Inspector General to facilitate its investigation and have completed production of all requested documents. See “Risk Factors — The Office of Inspector General of the Department of Education has commenced an investigation of Grand Canyon University, which is ongoing and which may result in fines, penalties, other sanctions, and damage to our reputation in the industry.”</w:t>
      </w:r>
    </w:p>
    <w:p>
      <w:pPr>
        <w:spacing w:after="0" w:line="94" w:lineRule="exact"/>
        <w:rPr>
          <w:sz w:val="20"/>
          <w:szCs w:val="20"/>
          <w:color w:val="auto"/>
        </w:rPr>
      </w:pPr>
    </w:p>
    <w:p>
      <w:pPr>
        <w:ind w:left="700" w:right="140" w:firstLine="397"/>
        <w:spacing w:after="0" w:line="261" w:lineRule="auto"/>
        <w:rPr>
          <w:sz w:val="20"/>
          <w:szCs w:val="20"/>
          <w:color w:val="auto"/>
        </w:rPr>
      </w:pPr>
      <w:r>
        <w:rPr>
          <w:rFonts w:ascii="Times New Roman" w:cs="Times New Roman" w:eastAsia="Times New Roman" w:hAnsi="Times New Roman"/>
          <w:sz w:val="18"/>
          <w:szCs w:val="18"/>
          <w:color w:val="auto"/>
        </w:rPr>
        <w:t xml:space="preserve">Any fine or other sanction resulting from the Office of Inspector General investigation or otherwise, or any monetary liability resulting from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 could damage our reputation and impose significant costs on us, which could have a material adverse effect on our business, prospects, financial condition, and results of operations. We cannot presently predict the ultimate outcome of the qui tam lawsuit or the Office of Inspector General investigation or any liability or other sanctions that might result.</w:t>
      </w:r>
    </w:p>
    <w:p>
      <w:pPr>
        <w:spacing w:after="0" w:line="86" w:lineRule="exact"/>
        <w:rPr>
          <w:sz w:val="20"/>
          <w:szCs w:val="20"/>
          <w:color w:val="auto"/>
        </w:rPr>
      </w:pPr>
    </w:p>
    <w:p>
      <w:pPr>
        <w:ind w:left="700" w:right="60" w:firstLine="397"/>
        <w:spacing w:after="0" w:line="254" w:lineRule="auto"/>
        <w:rPr>
          <w:sz w:val="20"/>
          <w:szCs w:val="20"/>
          <w:color w:val="auto"/>
        </w:rPr>
      </w:pPr>
      <w:r>
        <w:rPr>
          <w:rFonts w:ascii="Times New Roman" w:cs="Times New Roman" w:eastAsia="Times New Roman" w:hAnsi="Times New Roman"/>
          <w:sz w:val="18"/>
          <w:szCs w:val="18"/>
          <w:color w:val="auto"/>
        </w:rPr>
        <w:t>In May 2009, the Department of Education announced that it was initiating a process to revise its regulations in certain areas, including the regulations implementing the incentive compensation rule. The process will involve convening one or more “negotiated rulemaking” teams composed of various representatives of the postsecondary education community nationally, as well as Department of Education employees, to consider how the current regulations should be revised. The Department of Education has stated that it intends for the committees to be appointed and to begin their work in the fall of 2009. Following a committee’s review and drafting of possible revisions to the incentive compensation regulations, the Department of Education will develop and publish proposed revisions to the regulations, on which members of the public will be invited to provide comments. Following review of any public comments, the Department of Education will publish final new regulations. Under current law, any such revisions to the current incentive compensation regulations would not take effect any earlier than July 1, 2011.</w:t>
      </w:r>
    </w:p>
    <w:p>
      <w:pPr>
        <w:spacing w:after="0" w:line="93"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Compliance reviews. </w:t>
      </w:r>
      <w:r>
        <w:rPr>
          <w:rFonts w:ascii="Times New Roman" w:cs="Times New Roman" w:eastAsia="Times New Roman" w:hAnsi="Times New Roman"/>
          <w:sz w:val="18"/>
          <w:szCs w:val="18"/>
          <w:color w:val="auto"/>
        </w:rPr>
        <w:t>We are subject to announced and unannounced compliance reviews and audits by various external agencies,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Department of Education, its Office of Inspector General, state licensing agencies, agencies that guarantee FFEL loans,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91"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Privacy of student records. </w:t>
      </w:r>
      <w:r>
        <w:rPr>
          <w:rFonts w:ascii="Times New Roman" w:cs="Times New Roman" w:eastAsia="Times New Roman" w:hAnsi="Times New Roman"/>
          <w:sz w:val="18"/>
          <w:szCs w:val="18"/>
          <w:color w:val="auto"/>
        </w:rPr>
        <w:t>The Family Educational Rights and Privacy Act of 1974, or FERPA, and the Department of Education’s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FERPA regulations 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w:t>
      </w:r>
    </w:p>
    <w:p>
      <w:pPr>
        <w:spacing w:after="0" w:line="37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4" w:lineRule="auto"/>
        <w:rPr>
          <w:sz w:val="20"/>
          <w:szCs w:val="20"/>
          <w:color w:val="auto"/>
        </w:rPr>
      </w:pPr>
      <w:r>
        <w:rPr>
          <w:rFonts w:ascii="Times New Roman" w:cs="Times New Roman" w:eastAsia="Times New Roman" w:hAnsi="Times New Roman"/>
          <w:sz w:val="18"/>
          <w:szCs w:val="18"/>
          <w:color w:val="auto"/>
        </w:rPr>
        <w:t>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90"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Potential effect of regulatory violations. </w:t>
      </w:r>
      <w:r>
        <w:rPr>
          <w:rFonts w:ascii="Times New Roman" w:cs="Times New Roman" w:eastAsia="Times New Roman" w:hAnsi="Times New Roman"/>
          <w:sz w:val="18"/>
          <w:szCs w:val="18"/>
          <w:color w:val="auto"/>
        </w:rPr>
        <w:t>If we fail to comply with the regulatory standards governing the Title IV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Since we are provisionally certified to participate in the Title IV programs on a month-to-month basis, the Department of Education could allow our certification to expire at the end of any month without advance notice and without any formal procedure for review of such action. In addition, the agencies that guarantee FFEL loans for our students could initiate proceedings to limit, suspend, or terminate our eligibility to provide FFEL loans in the event of certain regulatory violations.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00" w:lineRule="exact"/>
        <w:rPr>
          <w:sz w:val="20"/>
          <w:szCs w:val="20"/>
          <w:color w:val="auto"/>
        </w:rPr>
      </w:pPr>
    </w:p>
    <w:p>
      <w:pPr>
        <w:ind w:left="700" w:right="100" w:firstLine="397"/>
        <w:spacing w:after="0" w:line="254" w:lineRule="auto"/>
        <w:rPr>
          <w:sz w:val="20"/>
          <w:szCs w:val="20"/>
          <w:color w:val="auto"/>
        </w:rPr>
      </w:pPr>
      <w:r>
        <w:rPr>
          <w:rFonts w:ascii="Times New Roman" w:cs="Times New Roman" w:eastAsia="Times New Roman" w:hAnsi="Times New Roman"/>
          <w:sz w:val="18"/>
          <w:szCs w:val="18"/>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95"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80"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Uncertainties, increased oversight, and changes in student loan environment. </w:t>
      </w:r>
      <w:r>
        <w:rPr>
          <w:rFonts w:ascii="Times New Roman" w:cs="Times New Roman" w:eastAsia="Times New Roman" w:hAnsi="Times New Roman"/>
          <w:sz w:val="18"/>
          <w:szCs w:val="18"/>
          <w:color w:val="auto"/>
        </w:rPr>
        <w:t>Since 2007, student loan programs,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IV programs, have come under increased scrutiny by the Department of Education, Congress, state attorneys general, and other parties. Issues that have received extensive attention include allegations of conflicts of interest between some institutions and lenders that provide Title IV loans, questionable incentives given by lenders to some schools and school employees, allegations of deceptive practices in the marketing of student loans, and schools leading students to use certain lenders. Several institutions and lenders have been cited for these problems and have paid several million dollars in the aggregate to settle those claims. The practices of numerous other schools and lenders are being examined by government agencies at the federal and state level.</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180" w:firstLine="397"/>
        <w:spacing w:after="0" w:line="255" w:lineRule="auto"/>
        <w:rPr>
          <w:sz w:val="20"/>
          <w:szCs w:val="20"/>
          <w:color w:val="auto"/>
        </w:rPr>
      </w:pPr>
      <w:r>
        <w:rPr>
          <w:rFonts w:ascii="Times New Roman" w:cs="Times New Roman" w:eastAsia="Times New Roman" w:hAnsi="Times New Roman"/>
          <w:sz w:val="18"/>
          <w:szCs w:val="18"/>
          <w:color w:val="auto"/>
        </w:rPr>
        <w:t>As a result of the increased scrutiny of student loan programs, Congress has passed new laws, the Department of Education has enacted stricter regulations, and several states have adopted codes of conduct or enacted state laws that further regulate the conduct of lenders, schools, and school personnel. These new laws and regulations, among other things, limit schools’ relationships with lenders, restrict the types of services that schools may receive from lenders, prohibit lenders from providing other types of funding to schools in exchange for Title IV loan volume, require schools to provide additional information to students concerning institutionally preferred lenders, and significantly reduce the amount of federal payments to lenders who participate in the Title IV loan programs. In addition, recent adverse market conditions for consumer loans in general have adversely affected the student lending marketplace.</w:t>
      </w:r>
    </w:p>
    <w:p>
      <w:pPr>
        <w:spacing w:after="0" w:line="95"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cumulative impact of these developments and conditions has caused some lenders to cease providing Title IV loans to students, including some lenders that previously provided Title IV loans to our students. Other lenders have reduced the benefits and increased the fees associated with the Title IV loans they do provide. We and other schools have had to modify student loan practices in ways that result in higher administrative costs. If the costs of their Title IV loans increase, some students may decide not to take out loans and not enroll in a postsecondary institution. In May 2008, new federal legislation was enacted to attempt to ensure that all eligible students would be able to obtain Title IV loans in the future and that a sufficient number of lenders would continue to provide Title IV loans. Among other things, that legislation:</w:t>
      </w:r>
    </w:p>
    <w:p>
      <w:pPr>
        <w:spacing w:after="0" w:line="95" w:lineRule="exact"/>
        <w:rPr>
          <w:sz w:val="20"/>
          <w:szCs w:val="20"/>
          <w:color w:val="auto"/>
        </w:rPr>
      </w:pPr>
    </w:p>
    <w:p>
      <w:pPr>
        <w:ind w:left="1700" w:right="80" w:hanging="211"/>
        <w:spacing w:after="0" w:line="282"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Department of Education to purchase Title IV loans from lenders, thereby providing capital to the lenders to enable them to continue making Title IV loans to students; and</w:t>
      </w:r>
    </w:p>
    <w:p>
      <w:pPr>
        <w:spacing w:after="0" w:line="53" w:lineRule="exact"/>
        <w:rPr>
          <w:rFonts w:ascii="Times New Roman" w:cs="Times New Roman" w:eastAsia="Times New Roman" w:hAnsi="Times New Roman"/>
          <w:sz w:val="18"/>
          <w:szCs w:val="18"/>
          <w:color w:val="auto"/>
        </w:rPr>
      </w:pPr>
    </w:p>
    <w:p>
      <w:pPr>
        <w:ind w:left="1700" w:right="80" w:hanging="211"/>
        <w:spacing w:after="0" w:line="266" w:lineRule="auto"/>
        <w:tabs>
          <w:tab w:leader="none" w:pos="17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the Department of Education to designate institutions eligible to participate in a “lender of last resort” program, under which federally recognized student loan guaranty agencies would be required to make Title IV loans to all otherwise eligible students at those institutions.</w:t>
      </w:r>
    </w:p>
    <w:p>
      <w:pPr>
        <w:spacing w:after="0" w:line="82" w:lineRule="exact"/>
        <w:rPr>
          <w:sz w:val="20"/>
          <w:szCs w:val="20"/>
          <w:color w:val="auto"/>
        </w:rPr>
      </w:pPr>
    </w:p>
    <w:p>
      <w:pPr>
        <w:ind w:left="700" w:right="20"/>
        <w:spacing w:after="0" w:line="269" w:lineRule="auto"/>
        <w:rPr>
          <w:sz w:val="20"/>
          <w:szCs w:val="20"/>
          <w:color w:val="auto"/>
        </w:rPr>
      </w:pPr>
      <w:r>
        <w:rPr>
          <w:rFonts w:ascii="Times New Roman" w:cs="Times New Roman" w:eastAsia="Times New Roman" w:hAnsi="Times New Roman"/>
          <w:sz w:val="17"/>
          <w:szCs w:val="17"/>
          <w:color w:val="auto"/>
        </w:rPr>
        <w:t>While this legislation appears to have provided some stability to the marketplace for Title IV loans, it is not yet clear if it ultimately will be effective in ensuring students’ access to Title IV loans. The environment surrounding access to and cost of student loans remains in a state of flux. The Department of Education proposed new regulations regarding student loans in July 2009, which could go into effect on July 1, 2010, and Congress is considering legislation to eliminate the FFEL loan program and move all federal student lending into the FDL program. The uncertainty surrounding these issues, and any resolution of these issues that increases loan costs or reduces students’ access to Title IV loans, may adversely affect our student enrollments. Although we are approved to participate in the FDL program,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 each of which could have a material adverse effect on us. In addition, a transition to the FDL program could cause disruptions in the administration of Title IV program loans to our students if we or the Department of Education encounter difficulties with the systems or processes necessary for increased FDL program loans.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Regulatory Standards that May Restrict Institutional Expansion or Other Changes</w:t>
      </w:r>
    </w:p>
    <w:p>
      <w:pPr>
        <w:spacing w:after="0" w:line="135"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Many actions that we may wish to take in connection with expanding our operations or other changes are subject to review or approval by the applicable regulatory agencies.</w:t>
      </w:r>
    </w:p>
    <w:p>
      <w:pPr>
        <w:spacing w:after="0" w:line="6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Adding teaching locations, implementing new educational programs, and increasing enrollment. </w:t>
      </w:r>
      <w:r>
        <w:rPr>
          <w:rFonts w:ascii="Times New Roman" w:cs="Times New Roman" w:eastAsia="Times New Roman" w:hAnsi="Times New Roman"/>
          <w:sz w:val="18"/>
          <w:szCs w:val="18"/>
          <w:color w:val="auto"/>
        </w:rPr>
        <w:t>The requirements and standards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education 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1" w:lineRule="auto"/>
        <w:rPr>
          <w:sz w:val="20"/>
          <w:szCs w:val="20"/>
          <w:color w:val="auto"/>
        </w:rPr>
      </w:pPr>
      <w:r>
        <w:rPr>
          <w:rFonts w:ascii="Times New Roman" w:cs="Times New Roman" w:eastAsia="Times New Roman" w:hAnsi="Times New Roman"/>
          <w:sz w:val="18"/>
          <w:szCs w:val="18"/>
          <w:color w:val="auto"/>
        </w:rPr>
        <w:t>generally require institutions to notify them in advance of adding new locations or implementing new programs, and upon notification may undertake a review of the quality of the facility or the program and the financial, academic, and other qualifications of the institution. For instance, following applications we filed in December 2006, we received approval from the Higher Learning Commission and the Arizona State Board for Private Postsecondary Education in March 2008 to add our first doctoral level program.</w:t>
      </w:r>
    </w:p>
    <w:p>
      <w:pPr>
        <w:spacing w:after="0" w:line="86" w:lineRule="exact"/>
        <w:rPr>
          <w:sz w:val="20"/>
          <w:szCs w:val="20"/>
          <w:color w:val="auto"/>
        </w:rPr>
      </w:pPr>
    </w:p>
    <w:p>
      <w:pPr>
        <w:ind w:left="700" w:right="80" w:firstLine="397"/>
        <w:spacing w:after="0" w:line="253" w:lineRule="auto"/>
        <w:rPr>
          <w:sz w:val="20"/>
          <w:szCs w:val="20"/>
          <w:color w:val="auto"/>
        </w:rPr>
      </w:pPr>
      <w:r>
        <w:rPr>
          <w:rFonts w:ascii="Times New Roman" w:cs="Times New Roman" w:eastAsia="Times New Roman" w:hAnsi="Times New Roman"/>
          <w:sz w:val="18"/>
          <w:szCs w:val="18"/>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such as us is not required to obtain the Department of Education’s approval of additional programs that lead to an associate, bachelor’s, professional, or graduate degree at the same degree level as programs previously approved by the Department of Education. Similarly, an institution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to participate in the Title IV programs on a provisional basis, the Department of Education can require prior approval of such programs or otherwise restrict the number of programs an institution may add or the extent to which an institution can modify existing educational programs. If an institution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w:t>
      </w:r>
    </w:p>
    <w:p>
      <w:pPr>
        <w:spacing w:after="0" w:line="92"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Acquiring other schools. </w:t>
      </w:r>
      <w:r>
        <w:rPr>
          <w:rFonts w:ascii="Times New Roman" w:cs="Times New Roman" w:eastAsia="Times New Roman" w:hAnsi="Times New Roman"/>
          <w:sz w:val="18"/>
          <w:szCs w:val="18"/>
          <w:color w:val="auto"/>
        </w:rPr>
        <w:t>While we have not acquired any other schools in the past, we may seek to do so in the future.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Education 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while others only consider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92" w:lineRule="exact"/>
        <w:rPr>
          <w:sz w:val="20"/>
          <w:szCs w:val="20"/>
          <w:color w:val="auto"/>
        </w:rPr>
      </w:pPr>
    </w:p>
    <w:p>
      <w:pPr>
        <w:ind w:left="700" w:right="2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Provisional certification. </w:t>
      </w:r>
      <w:r>
        <w:rPr>
          <w:rFonts w:ascii="Times New Roman" w:cs="Times New Roman" w:eastAsia="Times New Roman" w:hAnsi="Times New Roman"/>
          <w:sz w:val="18"/>
          <w:szCs w:val="18"/>
          <w:color w:val="auto"/>
        </w:rPr>
        <w:t>Each institution must apply to the Department of Education for continued certification to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Title IV 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88"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the acquired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3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We are currently provisionally certified to participate in the Title IV programs on a month-to-month basis. The Department of Education issued our current program participation agreement in May 2005, after an extended review following the change in control that occurred in February 2004. The Department of Education’s 2005 recertification imposed certain conditions on us, including a requirement that we post a letter of credit, accept restrictions on the growth of our program offerings and enrollment, and receive Title IV funds under the heightened cash monitoring system of payment rather than by advance payment. In October 2006, the Department of Education eliminated the letter of credit requirement and allowed the growth restrictions to expire, and in August 2007, it eliminated the heightened cash monitoring restrictions and returned us to the advance payment method. We submitted our application for recertification in March 2008 in anticipation of the expiration of our provisional certification on June 30, 2008. The Department of Education did not make a decision on our recertification application by June 30, 2008 and therefore our provisional certification to participate in the</w:t>
      </w:r>
    </w:p>
    <w:p>
      <w:pPr>
        <w:spacing w:after="0" w:line="7" w:lineRule="exact"/>
        <w:rPr>
          <w:sz w:val="20"/>
          <w:szCs w:val="20"/>
          <w:color w:val="auto"/>
        </w:rPr>
      </w:pPr>
    </w:p>
    <w:p>
      <w:pPr>
        <w:ind w:left="700" w:right="20"/>
        <w:spacing w:after="0" w:line="252" w:lineRule="auto"/>
        <w:rPr>
          <w:sz w:val="20"/>
          <w:szCs w:val="20"/>
          <w:color w:val="auto"/>
        </w:rPr>
      </w:pPr>
      <w:r>
        <w:rPr>
          <w:rFonts w:ascii="Times New Roman" w:cs="Times New Roman" w:eastAsia="Times New Roman" w:hAnsi="Times New Roman"/>
          <w:sz w:val="18"/>
          <w:szCs w:val="18"/>
          <w:color w:val="auto"/>
        </w:rPr>
        <w:t>Title IV programs has been automatically extended on a month-to-month basis until the Department of Education makes its decision. Since June 2008, we have filed updates with the Department of Education and communicated with Department of Education personnel in order to update our pending recertification application with relevant information, such as our status as a publicly-traded corporation after the initial public offering and the identity of the members of our Board of Directors. There can be no assurance that the Department of Education will recertify us while the investigation by the Office of Inspector General of the Department of Education is being conducted, while the qui tam lawsuit is pending, or at all, or that it will not impose restrictions as a condition of approving our pending recertification application or with respect to any future recertification.</w:t>
      </w:r>
    </w:p>
    <w:p>
      <w:pPr>
        <w:spacing w:after="0" w:line="92" w:lineRule="exact"/>
        <w:rPr>
          <w:sz w:val="20"/>
          <w:szCs w:val="20"/>
          <w:color w:val="auto"/>
        </w:rPr>
      </w:pPr>
    </w:p>
    <w:p>
      <w:pPr>
        <w:ind w:left="700" w:right="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ownership resulting in a change in control. </w:t>
      </w:r>
      <w:r>
        <w:rPr>
          <w:rFonts w:ascii="Times New Roman" w:cs="Times New Roman" w:eastAsia="Times New Roman" w:hAnsi="Times New Roman"/>
          <w:sz w:val="18"/>
          <w:szCs w:val="18"/>
          <w:color w:val="auto"/>
        </w:rPr>
        <w:t>The Department of Education and the Higher Learning Commission,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many accrediting commissions and states require institutions of higher education to report or obtain approval of certain changes in control and changes in other aspects of institutional organization or control. The types of and thresholds for such reporting and approval vary among the various regulatory bodies.</w:t>
      </w:r>
    </w:p>
    <w:p>
      <w:pPr>
        <w:spacing w:after="0" w:line="88" w:lineRule="exact"/>
        <w:rPr>
          <w:sz w:val="20"/>
          <w:szCs w:val="20"/>
          <w:color w:val="auto"/>
        </w:rPr>
      </w:pPr>
    </w:p>
    <w:p>
      <w:pPr>
        <w:ind w:left="700" w:right="20" w:firstLine="397"/>
        <w:spacing w:after="0" w:line="252" w:lineRule="auto"/>
        <w:rPr>
          <w:sz w:val="20"/>
          <w:szCs w:val="20"/>
          <w:color w:val="auto"/>
        </w:rPr>
      </w:pPr>
      <w:r>
        <w:rPr>
          <w:rFonts w:ascii="Times New Roman" w:cs="Times New Roman" w:eastAsia="Times New Roman" w:hAnsi="Times New Roman"/>
          <w:sz w:val="18"/>
          <w:szCs w:val="18"/>
          <w:color w:val="auto"/>
        </w:rPr>
        <w:t>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 In connection with our initial public offering in November 2008, we submitted a description of the offering to the Department of Education, including a description of the voting agreement that forms the basis for the Richardson Voting Group. Based on this description, the Department of Education concluded that our initial public offering did not result in a change in control under the Department of Education’s regulations that were applicable to us before we became a publicly-traded corporation. With respect to publicly-traded corporations, like us, Department of Education regulations provide that a change in control occurs if either: (i) there is an event that would obligate the corporation to file a Current Report on Form 8-K with the SEC disclosing a change in control, or (ii)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Department of Education’s regulations. See “Beneficial Ownership of Common Stock.” We have notified the Department of Education of this offering and we plan to initiate further communications with the Department of Education to seek its confirmation that the offering will not constitute a change in control under its standards.</w:t>
      </w:r>
    </w:p>
    <w:p>
      <w:pPr>
        <w:spacing w:after="0" w:line="100" w:lineRule="exact"/>
        <w:rPr>
          <w:sz w:val="20"/>
          <w:szCs w:val="20"/>
          <w:color w:val="auto"/>
        </w:rPr>
      </w:pPr>
    </w:p>
    <w:p>
      <w:pPr>
        <w:ind w:left="700" w:right="280" w:firstLine="397"/>
        <w:spacing w:after="0" w:line="258" w:lineRule="auto"/>
        <w:rPr>
          <w:sz w:val="20"/>
          <w:szCs w:val="20"/>
          <w:color w:val="auto"/>
        </w:rPr>
      </w:pPr>
      <w:r>
        <w:rPr>
          <w:rFonts w:ascii="Times New Roman" w:cs="Times New Roman" w:eastAsia="Times New Roman" w:hAnsi="Times New Roman"/>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2" w:lineRule="auto"/>
        <w:rPr>
          <w:sz w:val="20"/>
          <w:szCs w:val="20"/>
          <w:color w:val="auto"/>
        </w:rPr>
      </w:pPr>
      <w:r>
        <w:rPr>
          <w:rFonts w:ascii="Times New Roman" w:cs="Times New Roman" w:eastAsia="Times New Roman" w:hAnsi="Times New Roman"/>
          <w:sz w:val="18"/>
          <w:szCs w:val="18"/>
          <w:color w:val="auto"/>
        </w:rPr>
        <w:t>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 The Higher Learning Commission did consider our initial public offering in November 2008 to be a change in control under its policies and, while it approved our consummation of the offering, it informed us that it would conduct a site visit to confirm the appropriateness of the approval and to evaluate whether we continue to meet the Higher Learning Commission’s eligibility criteria. The Higher Learning Commission, after conducting its site visit in March 2009, determined, among other things, that the initial public offering was conducted in a manner that did not disrupt our ongoing operations and that no further action would be required as a result of the change in control, and formally approved the change in control in June 2009. Based on the number of shares of common stock expected to be sold by us and the selling stockholders in this offering, we believe that the Richardson Voting Group will continue to hold voting power with respect to 25% or more of our total outstanding voting stock after the completion of the offering and that this offering will not constitute a change in control under the Higher Learning Commission’s policies. See “Beneficial Ownership of Common Stock.” We have submitted a description of this offering to the Higher Learning Commission and have been advised by the Higher Learning Commission that the offering will not constitute a change in control under its policies and standards.</w:t>
      </w:r>
    </w:p>
    <w:p>
      <w:pPr>
        <w:spacing w:after="0" w:line="103" w:lineRule="exact"/>
        <w:rPr>
          <w:sz w:val="20"/>
          <w:szCs w:val="20"/>
          <w:color w:val="auto"/>
        </w:rPr>
      </w:pPr>
    </w:p>
    <w:p>
      <w:pPr>
        <w:ind w:left="700" w:firstLine="397"/>
        <w:spacing w:after="0" w:line="251" w:lineRule="auto"/>
        <w:rPr>
          <w:sz w:val="20"/>
          <w:szCs w:val="20"/>
          <w:color w:val="auto"/>
        </w:rPr>
      </w:pPr>
      <w:r>
        <w:rPr>
          <w:rFonts w:ascii="Times New Roman" w:cs="Times New Roman" w:eastAsia="Times New Roman" w:hAnsi="Times New Roman"/>
          <w:sz w:val="18"/>
          <w:szCs w:val="18"/>
          <w:color w:val="auto"/>
        </w:rPr>
        <w:t>Even if this offering will not constitute a change of control under the Department of Education’s regulations or the Higher Learning Commission’s policies, under the terms of the voting agreement with the Richardson Voting Group, if any person party to the voting agreement transfers shares covered by the proxy in registered or open-market sales, the proxy is no longer effective as to such shares. Accordingly, the number of shares over which the Richardson Voting Group will continue to hold voting power will decrease over time as shares held by other parties to the voting agreement are sold, and we may not be aware of these sales since many of the shares subject to the voting agreement are held in “street name.” If at any time in the future, as a result of such future registered or open-market sales, the number of shares over which the Richardson Voting Group holds voting power falls below 25%, a change in control will occur. At that point, with respect to the Department of Education, if we file a timely and materially complete application, the Department of Education may temporarily certify us on a provisional basis following the change in control, so that our students would retain access to Title IV program funds until the Department of Education completes its full review. In addition, the Department of Education will extend our temporary provisional certification if we timely file other required materials, including any approval of the change of control by the Higher Learning Commission and the Arizona State Board for Private Postsecondary Education, as required, and certain required financial information (consisting of our recent SEC filings) showing our financial condition. As a general matter, an institution is required to file the materially complete application within ten business days after the change in control, as measured from the date of the event that constitutes the change in control. The deadline for an institution to timely file the other materials, including the financial documentation, that are required following a change in control is the last day of the month following the month in which the change of control occurs. For an institution that is owned by a publicly traded corporation, like us, a related Department of Education regulation provides that the deadline to notify the Department of Education of a significant change in the distribution of the ownership of the institution is ten days, as measured from the date on which management of the corporation learns of such significant change or, alternatively, the date that the institution notifies its accrediting agency of such change. If the Department of Education were to determine that we failed to meet any of these application and other deadlines, our certification would expire and our students would not be eligible to receive Title IV program funds until the Department of Education completes its full review, which commonly takes several months and may take longer. If the Department of Education approves the application after a change in control, it would normally certify us on a provisional basis for a period of up to approximately three years. The precise conditions and duration of our provisional certification in this circumstance and what restrictions, if any, may be imposed, are difficult to predict because we have been certified on a month-to-month basis for an extended period and are subject to the ongoing investigation</w:t>
      </w:r>
    </w:p>
    <w:p>
      <w:pPr>
        <w:spacing w:after="0" w:line="39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right="700"/>
        <w:spacing w:after="0" w:line="284" w:lineRule="auto"/>
        <w:rPr>
          <w:sz w:val="20"/>
          <w:szCs w:val="20"/>
          <w:color w:val="auto"/>
        </w:rPr>
      </w:pPr>
      <w:r>
        <w:rPr>
          <w:rFonts w:ascii="Times New Roman" w:cs="Times New Roman" w:eastAsia="Times New Roman" w:hAnsi="Times New Roman"/>
          <w:sz w:val="18"/>
          <w:szCs w:val="18"/>
          <w:color w:val="auto"/>
        </w:rPr>
        <w:t xml:space="preserve">by the Office of Inspector General of the Department of Education and the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which may affect the Department of Education’s decision regarding the terms to attach when it next renews our certification.</w:t>
      </w:r>
    </w:p>
    <w:p>
      <w:pPr>
        <w:spacing w:after="0" w:line="66"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color w:val="auto"/>
        </w:rPr>
        <w:t>With respect to the Higher Learning Commission, if we anticipate that the number of shares over which the Richardson Voting Group holds voting power will fall below 25% at any time in the future, we would be required to obtain the approval of the Higher Learning Commission before such event occurs. However, because we may be unaware when such event occurs, we would seek the cooperation of the Higher Learning Commission to allow us to arrange an appropriate review procedure at that time since there may not be an opportunity to obtain the Higher Learning Commission’s advance review and approval, as is typically required by its policies. Another policy of the Higher Learning Commission provides that an institution is obligated to provide notice of certain transactions, such as the transfer of stock by an investor, promptly after the institution becomes reasonably knowledgeable of such transaction. This policy suggests that, in certain circumstances, the Higher Learning Commission can adapt its procedures to allow an institution, like us, to provide notice and seek the necessary approval after the institution gains knowledge of an investor transaction such as the sale of shares by other parties to the voting agreement, but there can be no assurance that would be the case with respect to this offering or any such sales of stock that may occur following the completion of this offering. In such a circumstance, we cannot predict whether the Higher Learning Commission would impose any limitations or conditions on us, or identify any compliance issues related to us in the context of the change in control process, that could result in our loss of accreditation by the Higher Learning Commission. Any such loss would result in our loss of eligibility to participate in the Title IV programs and cause a significant decline in our student enrollments.</w:t>
      </w:r>
    </w:p>
    <w:p>
      <w:pPr>
        <w:spacing w:after="0" w:line="104" w:lineRule="exact"/>
        <w:rPr>
          <w:sz w:val="20"/>
          <w:szCs w:val="20"/>
          <w:color w:val="auto"/>
        </w:rPr>
      </w:pPr>
    </w:p>
    <w:p>
      <w:pPr>
        <w:ind w:left="700" w:right="80" w:firstLine="397"/>
        <w:spacing w:after="0" w:line="255" w:lineRule="auto"/>
        <w:rPr>
          <w:sz w:val="20"/>
          <w:szCs w:val="20"/>
          <w:color w:val="auto"/>
        </w:rPr>
      </w:pPr>
      <w:r>
        <w:rPr>
          <w:rFonts w:ascii="Times New Roman" w:cs="Times New Roman" w:eastAsia="Times New Roman" w:hAnsi="Times New Roman"/>
          <w:sz w:val="18"/>
          <w:szCs w:val="18"/>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the change in control in order to maintain our authorization to operate in that state, and in some cases such states could require us to obtain advance approval of the change in control.</w:t>
      </w:r>
    </w:p>
    <w:p>
      <w:pPr>
        <w:spacing w:after="0" w:line="91"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We notified the Arizona State Board for Private Postsecondary Education of our initial public offering and, based on our communications with that agency before and after the consummation of the initial public offering, we do not believe that our initial public offering constituted a change in control under Arizona law that was applicable to us before we were a publicly traded corporation. We notified the Arizona State Board for Private Postsecondary Education of this offering and the Arizona State Board for Private Postsecondary Education has confirmed in writing that this offering does not constitute a change of ownership or control under its standards.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and cause a significant decline in our student enrollments.</w:t>
      </w:r>
    </w:p>
    <w:p>
      <w:pPr>
        <w:spacing w:after="0" w:line="98" w:lineRule="exact"/>
        <w:rPr>
          <w:sz w:val="20"/>
          <w:szCs w:val="20"/>
          <w:color w:val="auto"/>
        </w:rPr>
      </w:pPr>
    </w:p>
    <w:p>
      <w:pPr>
        <w:ind w:left="700" w:right="180" w:firstLine="397"/>
        <w:spacing w:after="0" w:line="258" w:lineRule="auto"/>
        <w:rPr>
          <w:sz w:val="20"/>
          <w:szCs w:val="20"/>
          <w:color w:val="auto"/>
        </w:rPr>
      </w:pPr>
      <w:r>
        <w:rPr>
          <w:rFonts w:ascii="Times New Roman" w:cs="Times New Roman" w:eastAsia="Times New Roman" w:hAnsi="Times New Roman"/>
          <w:sz w:val="18"/>
          <w:szCs w:val="18"/>
          <w:color w:val="auto"/>
        </w:rPr>
        <w:t>We also notified other accrediting commissions and state agencies, as we believed necessary, of our initial public offering and the reasons why we believed that offering did not constitute a change in control under their respective standards, or to determine what was required if any such commission or agency did consider the offering to constitute a change in control. None of the other accrediting commissions and state agencies that we notified of our initial public offering advised us that it concluded that the offering constituted a change in control under its policies or that it required us to take any further action. We have provided each of these</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8" w:lineRule="auto"/>
        <w:rPr>
          <w:sz w:val="20"/>
          <w:szCs w:val="20"/>
          <w:color w:val="auto"/>
        </w:rPr>
      </w:pPr>
      <w:r>
        <w:rPr>
          <w:rFonts w:ascii="Times New Roman" w:cs="Times New Roman" w:eastAsia="Times New Roman" w:hAnsi="Times New Roman"/>
          <w:sz w:val="18"/>
          <w:szCs w:val="18"/>
          <w:color w:val="auto"/>
        </w:rPr>
        <w:t>other accrediting commissions and state agencies, as we believed necessary, with a notice and description of this offering before the consummation of the offering. We do not believe that any of them will require us to obtain their approval in connection with this offering, but we cannot be certain of that. If this offering were considered a change of control under the standards of any of these commissions or agencies, and we failed to obtain the approval of that commission or agency, we could lose accreditation, state licensure, or be subject to other limitations or penalties.</w:t>
      </w:r>
    </w:p>
    <w:p>
      <w:pPr>
        <w:spacing w:after="0" w:line="87" w:lineRule="exact"/>
        <w:rPr>
          <w:sz w:val="20"/>
          <w:szCs w:val="20"/>
          <w:color w:val="auto"/>
        </w:rPr>
      </w:pPr>
    </w:p>
    <w:p>
      <w:pPr>
        <w:ind w:left="700" w:firstLine="39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Additional state regulation. </w:t>
      </w:r>
      <w:r>
        <w:rPr>
          <w:rFonts w:ascii="Times New Roman" w:cs="Times New Roman" w:eastAsia="Times New Roman" w:hAnsi="Times New Roman"/>
          <w:sz w:val="18"/>
          <w:szCs w:val="18"/>
          <w:color w:val="auto"/>
        </w:rPr>
        <w:t>Most state education agencies impose regulatory requirements on educational institutions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their boundaries. Some states have sought to assert jurisdiction over out-of-state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State regulatory requirements for online education vary among the states, are not well developed in many states, are imprecise or unclear in some states, and can change frequently. In addition to Arizona, we have determined that our activities in certain states constitute a presence requiring licensure or authorization under the requirements of the state education agency in those states, and in other states we have obtained approvals as we have determined necessary in connection with our marketing and recruiting activities. We review the licensure requirements of other states when appropriate to determine whether our activities in those states require licensure or authorization by the respective state education agencies. Because state regulatory requirements, including agency interpretations, can change frequently, and because we enroll students from all 50 states and the District of Columbia, we expect we will have to seek licensure or authorization in additional states in the future. If we fail to comply with state licensing or authorization requirements for any state, we may be subject to the loss of state licensure or authorization by that state, or be subject to other sanctions, including restrictions on our activities in that state, fines, and penalties. While we do not believe that any of the states in which we are currently licensed or authorized, other than Arizona, are individually material to our operations, the loss of licensure or authorization in a state other than Arizona could prohibit us from recruiting prospective students or offering services to current students in that state, which could significantly reduce our enrollments.</w:t>
      </w:r>
    </w:p>
    <w:p>
      <w:pPr>
        <w:spacing w:after="0" w:line="38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35"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color w:val="auto"/>
        </w:rPr>
        <w:t>We have a written related party transactions policy, pursuant to which our executive officers, directors and principal stockholders, including their immediate family members, are not permitted to enter into a related person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person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person transactions that have not been pre-approved, the audit committee will be notified and will determine the appropriate action, including ratification, rescission or amendment of the transaction.</w:t>
      </w:r>
    </w:p>
    <w:p>
      <w:pPr>
        <w:spacing w:after="0" w:line="92"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82" w:lineRule="exact"/>
        <w:rPr>
          <w:sz w:val="20"/>
          <w:szCs w:val="20"/>
          <w:color w:val="auto"/>
        </w:rPr>
      </w:pPr>
    </w:p>
    <w:p>
      <w:pPr>
        <w:ind w:left="700" w:right="120" w:firstLine="397"/>
        <w:spacing w:after="0" w:line="266" w:lineRule="auto"/>
        <w:rPr>
          <w:sz w:val="20"/>
          <w:szCs w:val="20"/>
          <w:color w:val="auto"/>
        </w:rPr>
      </w:pPr>
      <w:r>
        <w:rPr>
          <w:rFonts w:ascii="Times New Roman" w:cs="Times New Roman" w:eastAsia="Times New Roman" w:hAnsi="Times New Roman"/>
          <w:sz w:val="18"/>
          <w:szCs w:val="18"/>
          <w:color w:val="auto"/>
        </w:rPr>
        <w:t>Set forth below is a summary of certain transactions since January 1, 2006, in which the Company was or is to be a participant and involving our directors, our executive officers, beneficial owners of more than 5% of our common stock, and some of the entities with which the foregoing persons are affiliated or associated, and in which the amount involved exceeds or will exceed $120,000.</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Investor Rights Agreement and Financing Transactions</w:t>
      </w:r>
    </w:p>
    <w:p>
      <w:pPr>
        <w:spacing w:after="0" w:line="135" w:lineRule="exact"/>
        <w:rPr>
          <w:sz w:val="20"/>
          <w:szCs w:val="20"/>
          <w:color w:val="auto"/>
        </w:rPr>
      </w:pPr>
    </w:p>
    <w:p>
      <w:pPr>
        <w:ind w:left="700" w:right="20" w:firstLine="397"/>
        <w:spacing w:after="0" w:line="254" w:lineRule="auto"/>
        <w:rPr>
          <w:sz w:val="20"/>
          <w:szCs w:val="20"/>
          <w:color w:val="auto"/>
        </w:rPr>
      </w:pPr>
      <w:r>
        <w:rPr>
          <w:rFonts w:ascii="Times New Roman" w:cs="Times New Roman" w:eastAsia="Times New Roman" w:hAnsi="Times New Roman"/>
          <w:sz w:val="18"/>
          <w:szCs w:val="18"/>
          <w:color w:val="auto"/>
        </w:rPr>
        <w:t>In connection with our conversion from a limited liability company to a corporation and the related investment in us by Endeavour Capital and its affiliates (the “Endeavour Entities”), and certain other investors on August 24, 2005, we entered into an investor rights agreement. The investor rights agreement, as currently in effect, contains agreements among the parties with respect to registration rights. See “Description of Capital Stock — Registration Rights.” On December 18, 2007, we sold an aggregate of 3,829 shares of Series C preferred stock at a purchase price of $3,500.00 per share, or approximately $13.4 million in total gross proceeds, of which 1,675 shares were sold to the Endeavour Entities, and 834 shares were sold to an investment entity controlled by Brent D. Richardson, our Executive Chairman, and Christopher C. Richardson, our General Counsel and a director (which shares were paid for, in part, by the exchange of 865 outstanding shares of Series B preferred stock purchased in 2006). All outstanding shares of the Series C preferred stock were automatically converted into common stock in connection with our initial public offering.</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35"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The Department of Education, the Higher Learning Commission, and other accrediting commissions and states require institutions of higher education to report or obtain approval of certain changes in control and changes in other aspects of institutional organization or control. Certain of our stockholders, including the Endeavor Entities, have entered into a proxy and voting agreement, pursuant to which such persons have granted to Brent D. Richardson, our Executive Chairman, and Christopher C. Richardson, our General Counsel and a director, on behalf of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91" w:lineRule="exact"/>
        <w:rPr>
          <w:sz w:val="20"/>
          <w:szCs w:val="20"/>
          <w:color w:val="auto"/>
        </w:rPr>
      </w:pPr>
    </w:p>
    <w:p>
      <w:pPr>
        <w:ind w:left="700" w:right="40" w:firstLine="397"/>
        <w:spacing w:after="0" w:line="282" w:lineRule="auto"/>
        <w:rPr>
          <w:sz w:val="20"/>
          <w:szCs w:val="20"/>
          <w:color w:val="auto"/>
        </w:rPr>
      </w:pPr>
      <w:r>
        <w:rPr>
          <w:rFonts w:ascii="Times New Roman" w:cs="Times New Roman" w:eastAsia="Times New Roman" w:hAnsi="Times New Roman"/>
          <w:sz w:val="18"/>
          <w:szCs w:val="18"/>
          <w:color w:val="auto"/>
        </w:rPr>
        <w:t>Under the terms of the voting agreement, if any person party to the voting agreement transfers shares covered by the proxy in open-market or other transactions, the proxy is no longer effective as to such shares.</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860"/>
        <w:spacing w:after="0" w:line="256" w:lineRule="auto"/>
        <w:rPr>
          <w:sz w:val="20"/>
          <w:szCs w:val="20"/>
          <w:color w:val="auto"/>
        </w:rPr>
      </w:pPr>
      <w:r>
        <w:rPr>
          <w:rFonts w:ascii="Times New Roman" w:cs="Times New Roman" w:eastAsia="Times New Roman" w:hAnsi="Times New Roman"/>
          <w:sz w:val="18"/>
          <w:szCs w:val="18"/>
          <w:color w:val="auto"/>
        </w:rPr>
        <w:t>Accordingly, the number of shares over which the Richardson Voting Group will continue to hold voting power will decrease over time as shares held by other parties to the voting agreement are sold, which sales we may be not be aware of since many of the shares held by such other parties are held in “street name.” After giving effect to this offering, and based on the number of shares expected to be sold by us and the selling stockholders participating in this offering, we believe that the Richardson Voting Group will continue to have the power to exercise voting authority with respect to more than 25% of our common stock. See “Regulation” and “Beneficial Ownership of Common Stock.”</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Special Distribution</w:t>
      </w:r>
    </w:p>
    <w:p>
      <w:pPr>
        <w:spacing w:after="0" w:line="135" w:lineRule="exact"/>
        <w:rPr>
          <w:sz w:val="20"/>
          <w:szCs w:val="20"/>
          <w:color w:val="auto"/>
        </w:rPr>
      </w:pPr>
    </w:p>
    <w:p>
      <w:pPr>
        <w:ind w:left="700" w:right="800" w:firstLine="397"/>
        <w:spacing w:after="0" w:line="258" w:lineRule="auto"/>
        <w:rPr>
          <w:sz w:val="20"/>
          <w:szCs w:val="20"/>
          <w:color w:val="auto"/>
        </w:rPr>
      </w:pPr>
      <w:r>
        <w:rPr>
          <w:rFonts w:ascii="Times New Roman" w:cs="Times New Roman" w:eastAsia="Times New Roman" w:hAnsi="Times New Roman"/>
          <w:sz w:val="18"/>
          <w:szCs w:val="18"/>
          <w:color w:val="auto"/>
        </w:rPr>
        <w:t>We declared a special distribution that was paid promptly after the completion of our initial public offering in November 2008 to our stockholders who owned shares of record immediately prior to the consummation of our initial public offering. The aggregate amount of the special distribution was equal to 75% of the gross proceeds from the sale of common stock in our initial public offering, including 75% of the gross proceeds received by us from the underwriters’ exercise of their over-allotment option. The aggregate amount of the special distribution was $108.7 million, or approximately $3.27 per common share on an as if converted basis.</w:t>
      </w:r>
    </w:p>
    <w:p>
      <w:pPr>
        <w:spacing w:after="0" w:line="89" w:lineRule="exact"/>
        <w:rPr>
          <w:sz w:val="20"/>
          <w:szCs w:val="20"/>
          <w:color w:val="auto"/>
        </w:rPr>
      </w:pPr>
    </w:p>
    <w:p>
      <w:pPr>
        <w:ind w:left="700" w:right="840" w:firstLine="397"/>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amount of cash paid as a result of the special distribution in respect of outstanding shares of our capital stock as to which each of our executive officers and directors, as well as persons who were holders of 5% or more of our common stock at the time, was deemed to have sole or shared voting or investment power as of the date of the special distribution.</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2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Acquisition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Original Acquisition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and</w:t>
            </w: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Cost of Shares to Which</w:t>
            </w:r>
          </w:p>
        </w:tc>
        <w:tc>
          <w:tcPr>
            <w:tcW w:w="180" w:type="dxa"/>
            <w:vAlign w:val="bottom"/>
          </w:tcPr>
          <w:p>
            <w:pPr>
              <w:spacing w:after="0"/>
              <w:rPr>
                <w:sz w:val="12"/>
                <w:szCs w:val="12"/>
                <w:color w:val="auto"/>
              </w:rPr>
            </w:pPr>
          </w:p>
        </w:tc>
        <w:tc>
          <w:tcPr>
            <w:tcW w:w="13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 for Shares</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18,</w:t>
            </w: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Special Distribution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80" w:type="dxa"/>
            <w:vAlign w:val="bottom"/>
            <w:gridSpan w:val="2"/>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2008</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Related</w:t>
            </w:r>
            <w:r>
              <w:rPr>
                <w:rFonts w:ascii="Times New Roman" w:cs="Times New Roman" w:eastAsia="Times New Roman" w:hAnsi="Times New Roman"/>
                <w:sz w:val="12"/>
                <w:szCs w:val="12"/>
                <w:b w:val="1"/>
                <w:bCs w:val="1"/>
                <w:color w:val="auto"/>
              </w:rPr>
              <w:t>(2)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60" w:type="dxa"/>
            <w:vAlign w:val="bottom"/>
            <w:gridSpan w:val="3"/>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0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Fund IV and affiliates</w:t>
            </w:r>
            <w:r>
              <w:rPr>
                <w:rFonts w:ascii="Times New Roman" w:cs="Times New Roman" w:eastAsia="Times New Roman" w:hAnsi="Times New Roman"/>
                <w:sz w:val="15"/>
                <w:szCs w:val="15"/>
                <w:color w:val="auto"/>
              </w:rPr>
              <w:t>(3)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9,035,048</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2005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977,090</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10,012,138</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220 GCU, L.P. and affiliates</w:t>
            </w:r>
            <w:r>
              <w:rPr>
                <w:rFonts w:ascii="Times New Roman" w:cs="Times New Roman" w:eastAsia="Times New Roman" w:hAnsi="Times New Roman"/>
                <w:sz w:val="15"/>
                <w:szCs w:val="15"/>
                <w:color w:val="auto"/>
              </w:rPr>
              <w:t>(4)</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4,756,328</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1,835,130</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545,218</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7,136,676</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23,338</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Staci L. Buse</w:t>
            </w:r>
            <w:r>
              <w:rPr>
                <w:rFonts w:ascii="Times New Roman" w:cs="Times New Roman" w:eastAsia="Times New Roman" w:hAnsi="Times New Roman"/>
                <w:sz w:val="15"/>
                <w:szCs w:val="15"/>
                <w:color w:val="auto"/>
              </w:rPr>
              <w:t>(5)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3,347,452</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155,719</w:t>
            </w: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3,503,171</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Ventures, LLC</w:t>
            </w:r>
            <w:r>
              <w:rPr>
                <w:rFonts w:ascii="Times New Roman" w:cs="Times New Roman" w:eastAsia="Times New Roman" w:hAnsi="Times New Roman"/>
                <w:sz w:val="15"/>
                <w:szCs w:val="15"/>
                <w:color w:val="auto"/>
              </w:rPr>
              <w:t>(6)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2,767,321</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203,823</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2,971,144</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Chad N. Heath</w:t>
            </w:r>
            <w:r>
              <w:rPr>
                <w:rFonts w:ascii="Times New Roman" w:cs="Times New Roman" w:eastAsia="Times New Roman" w:hAnsi="Times New Roman"/>
                <w:sz w:val="15"/>
                <w:szCs w:val="15"/>
                <w:color w:val="auto"/>
              </w:rPr>
              <w:t>(3)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9,035,048</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977,090</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10,012,138</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Mark Dorman</w:t>
            </w:r>
            <w:r>
              <w:rPr>
                <w:rFonts w:ascii="Times New Roman" w:cs="Times New Roman" w:eastAsia="Times New Roman" w:hAnsi="Times New Roman"/>
                <w:sz w:val="15"/>
                <w:szCs w:val="15"/>
                <w:color w:val="auto"/>
              </w:rPr>
              <w:t>(3)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9,035,048</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24, 2005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977,090</w:t>
            </w: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10,012,138</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r>
              <w:rPr>
                <w:rFonts w:ascii="Times New Roman" w:cs="Times New Roman" w:eastAsia="Times New Roman" w:hAnsi="Times New Roman"/>
                <w:sz w:val="15"/>
                <w:szCs w:val="15"/>
                <w:color w:val="auto"/>
              </w:rPr>
              <w:t>(5)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3,347,452</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155,719</w:t>
            </w: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3,503,171</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80" w:type="dxa"/>
            <w:vAlign w:val="bottom"/>
            <w:gridSpan w:val="2"/>
          </w:tcPr>
          <w:p>
            <w:pPr>
              <w:jc w:val="right"/>
              <w:ind w:right="1454"/>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-4237990</wp:posOffset>
            </wp:positionV>
            <wp:extent cx="17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220" w:type="dxa"/>
            <w:vAlign w:val="bottom"/>
          </w:tcPr>
          <w:p>
            <w:pPr>
              <w:spacing w:after="0"/>
              <w:rPr>
                <w:sz w:val="13"/>
                <w:szCs w:val="13"/>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Acquisition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Original Acquisition</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and</w:t>
            </w: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Cost of Shares to Which</w:t>
            </w:r>
          </w:p>
        </w:tc>
        <w:tc>
          <w:tcPr>
            <w:tcW w:w="180" w:type="dxa"/>
            <w:vAlign w:val="bottom"/>
          </w:tcPr>
          <w:p>
            <w:pPr>
              <w:spacing w:after="0"/>
              <w:rPr>
                <w:sz w:val="12"/>
                <w:szCs w:val="12"/>
                <w:color w:val="auto"/>
              </w:rPr>
            </w:pPr>
          </w:p>
        </w:tc>
        <w:tc>
          <w:tcPr>
            <w:tcW w:w="13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 for Shares</w:t>
            </w:r>
          </w:p>
        </w:tc>
        <w:tc>
          <w:tcPr>
            <w:tcW w:w="0" w:type="dxa"/>
            <w:vAlign w:val="bottom"/>
          </w:tcPr>
          <w:p>
            <w:pPr>
              <w:spacing w:after="0"/>
              <w:rPr>
                <w:sz w:val="1"/>
                <w:szCs w:val="1"/>
                <w:color w:val="auto"/>
              </w:rPr>
            </w:pPr>
          </w:p>
        </w:tc>
      </w:tr>
      <w:tr>
        <w:trPr>
          <w:trHeight w:val="162"/>
        </w:trPr>
        <w:tc>
          <w:tcPr>
            <w:tcW w:w="3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November 18,</w:t>
            </w:r>
          </w:p>
        </w:tc>
        <w:tc>
          <w:tcPr>
            <w:tcW w:w="2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Special Distribution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3380" w:type="dxa"/>
            <w:vAlign w:val="bottom"/>
            <w:gridSpan w:val="2"/>
            <w:vMerge w:val="continue"/>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2008</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Related</w:t>
            </w:r>
            <w:r>
              <w:rPr>
                <w:rFonts w:ascii="Times New Roman" w:cs="Times New Roman" w:eastAsia="Times New Roman" w:hAnsi="Times New Roman"/>
                <w:sz w:val="12"/>
                <w:szCs w:val="12"/>
                <w:b w:val="1"/>
                <w:bCs w:val="1"/>
                <w:color w:val="auto"/>
              </w:rPr>
              <w:t>(2)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146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E. Crowley</w:t>
            </w:r>
            <w:r>
              <w:rPr>
                <w:rFonts w:ascii="Times New Roman" w:cs="Times New Roman" w:eastAsia="Times New Roman" w:hAnsi="Times New Roman"/>
                <w:sz w:val="15"/>
                <w:szCs w:val="15"/>
                <w:color w:val="auto"/>
              </w:rPr>
              <w:t>(7)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382,435</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19,465</w:t>
            </w: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401,900</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C. Richardson</w:t>
            </w:r>
            <w:r>
              <w:rPr>
                <w:rFonts w:ascii="Times New Roman" w:cs="Times New Roman" w:eastAsia="Times New Roman" w:hAnsi="Times New Roman"/>
                <w:sz w:val="15"/>
                <w:szCs w:val="15"/>
                <w:color w:val="auto"/>
              </w:rPr>
              <w:t>(5)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3,348,317</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155,719</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3,504,036</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All directors and executive officers as a</w:t>
            </w: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group</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7,078,204</w:t>
            </w:r>
          </w:p>
        </w:tc>
        <w:tc>
          <w:tcPr>
            <w:tcW w:w="220" w:type="dxa"/>
            <w:vAlign w:val="bottom"/>
            <w:shd w:val="clear" w:color="auto" w:fill="CCEEFF"/>
          </w:tcPr>
          <w:p>
            <w:pPr>
              <w:spacing w:after="0"/>
              <w:rPr>
                <w:sz w:val="20"/>
                <w:szCs w:val="20"/>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 2004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9,035,048</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24, 2005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1,307,993</w:t>
            </w: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18, 2007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17,421,245</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26,898</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2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-1826260</wp:posOffset>
            </wp:positionV>
            <wp:extent cx="17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9" w:lineRule="exact"/>
        <w:rPr>
          <w:sz w:val="20"/>
          <w:szCs w:val="20"/>
          <w:color w:val="auto"/>
        </w:rPr>
      </w:pPr>
    </w:p>
    <w:p>
      <w:pPr>
        <w:ind w:left="1000" w:right="80" w:hanging="301"/>
        <w:spacing w:after="0" w:line="25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calculating shares beneficially owned and outstanding as of November 18, 2008, which was the date immediately prior to our initial public offering and the record date for purposes of determining the stockholders entitled to receive the special distribution, the number of shares of common stock deemed outstanding included all shares of common stock issuable upon the conversion of all outstanding shares of our Series A and Series C preferred stock. Beneficial ownership is determined in accordance with the rules of the SEC that generally attribute beneficial ownership of securities to persons that possess sole or shared voting power and/or investment power with respect to those securities. The persons identified in this table have sole voting and investment power with respect to all shares shown as beneficially owned by them, except as set forth in the footnotes to the table included in “Beneficial Ownership of Common Stock.”</w:t>
      </w:r>
    </w:p>
    <w:p>
      <w:pPr>
        <w:spacing w:after="0" w:line="23" w:lineRule="exact"/>
        <w:rPr>
          <w:rFonts w:ascii="Times New Roman" w:cs="Times New Roman" w:eastAsia="Times New Roman" w:hAnsi="Times New Roman"/>
          <w:sz w:val="18"/>
          <w:szCs w:val="18"/>
          <w:color w:val="auto"/>
        </w:rPr>
      </w:pPr>
    </w:p>
    <w:p>
      <w:pPr>
        <w:ind w:left="1000" w:right="100" w:hanging="301"/>
        <w:spacing w:after="0" w:line="26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2005, we converted from a limited liability company to a taxable corporation. The reported acquisition cost of shares of common stock represents the value of the capital contributions originally made to acquire the limited liability company interests that were converted into common stock upon such conversion plus capital contributions for which no additional interests were issued, less capital distributions.</w:t>
      </w:r>
    </w:p>
    <w:p>
      <w:pPr>
        <w:spacing w:after="0" w:line="17" w:lineRule="exact"/>
        <w:rPr>
          <w:rFonts w:ascii="Times New Roman" w:cs="Times New Roman" w:eastAsia="Times New Roman" w:hAnsi="Times New Roman"/>
          <w:sz w:val="18"/>
          <w:szCs w:val="18"/>
          <w:color w:val="auto"/>
        </w:rPr>
      </w:pPr>
    </w:p>
    <w:p>
      <w:pPr>
        <w:ind w:left="1000" w:right="20" w:hanging="301"/>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of record by the Endeavour Entities. Messrs. Chad N. Heath and D. Mark Dorman, each of whom is a managing director of Endeavour Capital IV, LLC, the general partner of each of the Endeavour Entities, are members of our Board of Directors.</w:t>
      </w:r>
    </w:p>
    <w:p>
      <w:pPr>
        <w:spacing w:after="0" w:line="14" w:lineRule="exact"/>
        <w:rPr>
          <w:rFonts w:ascii="Times New Roman" w:cs="Times New Roman" w:eastAsia="Times New Roman" w:hAnsi="Times New Roman"/>
          <w:sz w:val="18"/>
          <w:szCs w:val="18"/>
          <w:color w:val="auto"/>
        </w:rPr>
      </w:pPr>
    </w:p>
    <w:p>
      <w:pPr>
        <w:ind w:left="1000" w:right="100" w:hanging="301"/>
        <w:spacing w:after="0" w:line="28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previously held of record by 220 GCU, L.P., 220 Education, L.P., 220-SigEd, L.P., and SV One, L.P., which, prior to our initial public offering, were collectively the beneficial owners of more than 5% of our common stock.</w:t>
      </w:r>
    </w:p>
    <w:p>
      <w:pPr>
        <w:spacing w:after="0" w:line="1" w:lineRule="exact"/>
        <w:rPr>
          <w:rFonts w:ascii="Times New Roman" w:cs="Times New Roman" w:eastAsia="Times New Roman" w:hAnsi="Times New Roman"/>
          <w:sz w:val="18"/>
          <w:szCs w:val="18"/>
          <w:color w:val="auto"/>
        </w:rPr>
      </w:pPr>
    </w:p>
    <w:p>
      <w:pPr>
        <w:ind w:left="1000" w:right="740" w:hanging="301"/>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previously held of record by Rich Crow Enterprises, LLC, and Masters Online, LLC, of which Brent D. Richardson, Christopher C. Richardson, and Staci L. Buse were members and, in each case, which were attributable to, and beneficially owned by, Brent D. Richardson, Christopher C. Richardson, or Staci L. Buse, as applicable.</w:t>
      </w:r>
    </w:p>
    <w:p>
      <w:pPr>
        <w:spacing w:after="0" w:line="27" w:lineRule="exact"/>
        <w:rPr>
          <w:rFonts w:ascii="Times New Roman" w:cs="Times New Roman" w:eastAsia="Times New Roman" w:hAnsi="Times New Roman"/>
          <w:sz w:val="18"/>
          <w:szCs w:val="18"/>
          <w:color w:val="auto"/>
        </w:rPr>
      </w:pPr>
    </w:p>
    <w:p>
      <w:pPr>
        <w:ind w:left="1000" w:right="80" w:hanging="301"/>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previously held of record by Significant Ventures, LLC which, prior to our initial public offering, was a beneficial owner of more than 5% of our common stock.</w:t>
      </w:r>
    </w:p>
    <w:p>
      <w:pPr>
        <w:spacing w:after="0" w:line="13" w:lineRule="exact"/>
        <w:rPr>
          <w:rFonts w:ascii="Times New Roman" w:cs="Times New Roman" w:eastAsia="Times New Roman" w:hAnsi="Times New Roman"/>
          <w:sz w:val="18"/>
          <w:szCs w:val="18"/>
          <w:color w:val="auto"/>
        </w:rPr>
      </w:pPr>
    </w:p>
    <w:p>
      <w:pPr>
        <w:ind w:left="1000" w:right="40" w:hanging="301"/>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previously held of record by Rich Crow Enterprises, LLC, of which John E. Crowley, our former chief operating officer, was a member, which were attributable to, and beneficially owned by, John E. Crowley. Mr. Crowley resigned his position as chief operating officer on February 17, 2009.</w:t>
      </w:r>
    </w:p>
    <w:p>
      <w:pPr>
        <w:spacing w:after="0" w:line="8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For additional information regarding share ownership, see “Beneficial Ownership of Common Stock.”</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Arrangement with Mind Streams</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We are a party to an agreement with Mind Streams, LLC, which is owned and operated, in part, by Gail Richardson, father to Brent D. Richardson, our Executive Chairman, and Christopher C. Richardson, our General Counsel and director. Pursuant to this agreement, Mind Streams identifies qualified applicants for admission to Grand Canyon University in return for which it is a paid a stated percentage of the net revenue (calculated as tuition actually received, less scholarships, refunds, and allowances) derived by us from those identified applicants that matriculate at Grand Canyon University. The term of the agreement runs through December 31, 2010, and can be terminated by either party upon 45 days’ prior written notice. For the years ended December 31, 2006, 2007, and 2008, and for the six months ended June 30, 2009, we expensed $3.7 million, $4.3 million, $5.9 million, and $1.8 million, respectively, to Mind Streams pursuant to this arrangement for students enrolled and expenses reimbursed.</w:t>
      </w:r>
    </w:p>
    <w:p>
      <w:pPr>
        <w:spacing w:after="0" w:line="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Arrangement with Vergo Marketing</w:t>
      </w:r>
    </w:p>
    <w:p>
      <w:pPr>
        <w:spacing w:after="0" w:line="135" w:lineRule="exact"/>
        <w:rPr>
          <w:sz w:val="20"/>
          <w:szCs w:val="20"/>
          <w:color w:val="auto"/>
        </w:rPr>
      </w:pPr>
    </w:p>
    <w:p>
      <w:pPr>
        <w:ind w:left="700" w:right="60" w:firstLine="397"/>
        <w:spacing w:after="0" w:line="261" w:lineRule="auto"/>
        <w:rPr>
          <w:sz w:val="20"/>
          <w:szCs w:val="20"/>
          <w:color w:val="auto"/>
        </w:rPr>
      </w:pPr>
      <w:r>
        <w:rPr>
          <w:rFonts w:ascii="Times New Roman" w:cs="Times New Roman" w:eastAsia="Times New Roman" w:hAnsi="Times New Roman"/>
          <w:sz w:val="18"/>
          <w:szCs w:val="18"/>
          <w:color w:val="auto"/>
        </w:rPr>
        <w:t>From time to time we obtain marketing services from Vergo Marketing, Inc., of which the sister-in-law of Brent D. Richardson, our Executive Chairman, is a significant stockholder and chief executive officer. For the years ended December 31, 2007 and 2008, and for the six months ended June 30, 2009, we paid Vergo Marketing, Inc. $0.5 million, $0.4 million, and $0.2 million, respectively, for such services.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Endeavour Professional Services Agreement</w:t>
      </w:r>
    </w:p>
    <w:p>
      <w:pPr>
        <w:spacing w:after="0" w:line="135"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In connection with the investment by the Endeavour Entities, among others, on August 24, 2005, we entered into a professional services agreement with Endeavour Capital IV, LLC. Under the agreement, we engaged Endeavour Capital IV, LLC as a consultant to our Board of Directors on business and financial matters, including, without limitation, corporate strategy, budgeting, acquisition and divestiture strategies, and debt and equity financings. Under the agreement, we paid Endeavour Capital IV, LLC a one time fee of $340,667 upon execution of the agreement and agreed to pay Endeavour Capital IV, LLC a consulting fee of $250,000 per year thereafter, subject to annual increases as determined by the Board of Directors (not including those directors appointed by Endeavour) based on performance. In addition, we agreed to reimburse Endeavour Capital IV, LLC for reasonable legal, due diligence, travel and other out-of-pocket expenses, and to indemnify Endeavour Capital IV, LLC and its affiliates for any action or inaction related to the agreement, except as a result of their gross negligence or intentional misconduct. For the years ended December 31, 2006, 2007, and 2008, we paid fees to Endeavour Capital IV, LLC in the amount of $0.3 million, $0.3 million, and $0.4 million, respectively, which amounts, in each year, constituted less than 5% of Endeavour Capital IV, LLC’s consolidated gross revenues for such year. The professional services agreement terminated by its terms upon the closing of our initial public offering.</w:t>
      </w:r>
    </w:p>
    <w:p>
      <w:pPr>
        <w:spacing w:after="0" w:line="2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Center for Educational Excellence</w:t>
      </w:r>
    </w:p>
    <w:p>
      <w:pPr>
        <w:spacing w:after="0" w:line="135"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 Center for Educational Excellence, LLC was created to explore opportunities to promote and enhance the academic experience we offer. John Crowley, our former Chief Operating Officer, is a member of The Center for Educational Excellence, LLC. For the year ended December 31, 2007, we paid approximately $0.6 million of expenses incurred by The Center for Educational Excellence, LLC, of which $0.3 million was reimbursed to us, and $0.3 million was owed to us and included in due from related parties as of December 31, 2007. No amounts were paid by us to The Center for Educational Excellence, LLC in 2008 or in the six months ended June 30, 2009. The Center for Educational Excellence, LLC was dissolved on April 29, 2009.</w:t>
      </w:r>
    </w:p>
    <w:p>
      <w:pPr>
        <w:spacing w:after="0" w:line="1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Consulting Agreements</w:t>
      </w:r>
    </w:p>
    <w:p>
      <w:pPr>
        <w:spacing w:after="0" w:line="135"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On January 8, 2004, we entered into consulting agreements with Significant Ventures, Inc., predecessor to Significant Ventures, LLC, which is one of our significant stockholders, and with 220 Partners, LLC, which is affiliated with Charles M. Preston III, one of our former directors. For the year ended December 31, 2006, we paid $0.4 million and $0.3 million to Significant Ventures and 220 Partners, respectively, for services rendered and expenses reimbursed pursuant to these agreements. These consulting agreements terminated by their terms on December 31, 2006.</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BENEFICIAL OWNERSHIP OF COMMON STOCK</w:t>
      </w:r>
    </w:p>
    <w:p>
      <w:pPr>
        <w:spacing w:after="0" w:line="13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June 30, 2009 for:</w:t>
      </w:r>
    </w:p>
    <w:p>
      <w:pPr>
        <w:spacing w:after="0" w:line="131" w:lineRule="exact"/>
        <w:rPr>
          <w:sz w:val="20"/>
          <w:szCs w:val="20"/>
          <w:color w:val="auto"/>
        </w:rPr>
      </w:pPr>
    </w:p>
    <w:p>
      <w:pPr>
        <w:ind w:left="1700" w:hanging="211"/>
        <w:spacing w:after="0"/>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to us to own beneficially 5% or more of our outstanding common stock;</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named executive officers as a group.</w:t>
      </w:r>
    </w:p>
    <w:p>
      <w:pPr>
        <w:spacing w:after="0" w:line="131" w:lineRule="exact"/>
        <w:rPr>
          <w:sz w:val="20"/>
          <w:szCs w:val="20"/>
          <w:color w:val="auto"/>
        </w:rPr>
      </w:pPr>
    </w:p>
    <w:p>
      <w:pPr>
        <w:ind w:left="700" w:right="180" w:firstLine="397"/>
        <w:spacing w:after="0" w:line="254" w:lineRule="auto"/>
        <w:rPr>
          <w:sz w:val="20"/>
          <w:szCs w:val="20"/>
          <w:color w:val="auto"/>
        </w:rPr>
      </w:pPr>
      <w:r>
        <w:rPr>
          <w:rFonts w:ascii="Times New Roman" w:cs="Times New Roman" w:eastAsia="Times New Roman" w:hAnsi="Times New Roman"/>
          <w:sz w:val="18"/>
          <w:szCs w:val="18"/>
          <w:color w:val="auto"/>
        </w:rPr>
        <w:t>The information in the following table and related footnotes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9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calculations of beneficial ownership in this table are based on 44,576,417 shares outstanding at June 30, 2009.</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3140" w:type="dxa"/>
            <w:vAlign w:val="bottom"/>
            <w:tcBorders>
              <w:bottom w:val="single" w:sz="8" w:color="auto"/>
            </w:tcBorders>
            <w:gridSpan w:val="3"/>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0" w:type="dxa"/>
            <w:vAlign w:val="bottom"/>
          </w:tcPr>
          <w:p>
            <w:pPr>
              <w:spacing w:after="0"/>
              <w:rPr>
                <w:sz w:val="10"/>
                <w:szCs w:val="10"/>
                <w:color w:val="auto"/>
              </w:rPr>
            </w:pPr>
          </w:p>
        </w:tc>
        <w:tc>
          <w:tcPr>
            <w:tcW w:w="158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Amount and Nature of</w:t>
            </w:r>
          </w:p>
        </w:tc>
        <w:tc>
          <w:tcPr>
            <w:tcW w:w="380" w:type="dxa"/>
            <w:vAlign w:val="bottom"/>
          </w:tcPr>
          <w:p>
            <w:pPr>
              <w:spacing w:after="0"/>
              <w:rPr>
                <w:sz w:val="10"/>
                <w:szCs w:val="10"/>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Percent of Class</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5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60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Endeavour Capital Fund IV, L.P. and affiliates</w:t>
            </w:r>
            <w:r>
              <w:rPr>
                <w:rFonts w:ascii="Times New Roman" w:cs="Times New Roman" w:eastAsia="Times New Roman" w:hAnsi="Times New Roman"/>
                <w:sz w:val="15"/>
                <w:szCs w:val="15"/>
                <w:color w:val="auto"/>
              </w:rPr>
              <w:t>(2)(7)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10,012,138</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Luke M. Buse and Staci Lin Buse Revocable Trust</w:t>
            </w:r>
            <w:r>
              <w:rPr>
                <w:rFonts w:ascii="Times New Roman" w:cs="Times New Roman" w:eastAsia="Times New Roman" w:hAnsi="Times New Roman"/>
                <w:sz w:val="15"/>
                <w:szCs w:val="15"/>
                <w:color w:val="auto"/>
              </w:rPr>
              <w:t>(3)(7)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3,503,171</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Brent D. Richardson</w:t>
            </w:r>
            <w:r>
              <w:rPr>
                <w:rFonts w:ascii="Times New Roman" w:cs="Times New Roman" w:eastAsia="Times New Roman" w:hAnsi="Times New Roman"/>
                <w:sz w:val="15"/>
                <w:szCs w:val="15"/>
                <w:color w:val="auto"/>
              </w:rPr>
              <w:t>(4)(7)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16,847,516</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Brian E. Mueller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109,329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 Richardson</w:t>
            </w:r>
            <w:r>
              <w:rPr>
                <w:rFonts w:ascii="Times New Roman" w:cs="Times New Roman" w:eastAsia="Times New Roman" w:hAnsi="Times New Roman"/>
                <w:sz w:val="15"/>
                <w:szCs w:val="15"/>
                <w:color w:val="auto"/>
              </w:rPr>
              <w:t>(4)(7)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16,847,516</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Daniel E. Bachus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W. Stan Meyer</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Michael S. Lacrosse</w:t>
            </w:r>
            <w:r>
              <w:rPr>
                <w:rFonts w:ascii="Times New Roman" w:cs="Times New Roman" w:eastAsia="Times New Roman" w:hAnsi="Times New Roman"/>
                <w:sz w:val="15"/>
                <w:szCs w:val="15"/>
                <w:color w:val="auto"/>
              </w:rPr>
              <w:t>(5)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Kathy Player</w:t>
            </w:r>
            <w:r>
              <w:rPr>
                <w:rFonts w:ascii="Times New Roman" w:cs="Times New Roman" w:eastAsia="Times New Roman" w:hAnsi="Times New Roman"/>
                <w:sz w:val="15"/>
                <w:szCs w:val="15"/>
                <w:color w:val="auto"/>
              </w:rPr>
              <w:t>(5)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30,463</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Chad N. Heath</w:t>
            </w:r>
            <w:r>
              <w:rPr>
                <w:rFonts w:ascii="Times New Roman" w:cs="Times New Roman" w:eastAsia="Times New Roman" w:hAnsi="Times New Roman"/>
                <w:sz w:val="15"/>
                <w:szCs w:val="15"/>
                <w:color w:val="auto"/>
              </w:rPr>
              <w:t>(6)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10,012,138</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 Mark Dorman</w:t>
            </w:r>
            <w:r>
              <w:rPr>
                <w:rFonts w:ascii="Times New Roman" w:cs="Times New Roman" w:eastAsia="Times New Roman" w:hAnsi="Times New Roman"/>
                <w:sz w:val="15"/>
                <w:szCs w:val="15"/>
                <w:color w:val="auto"/>
              </w:rPr>
              <w:t>(6)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10,012,138</w:t>
            </w: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David J. Johnson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A. Henry</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(11 persons)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20,056,790</w:t>
            </w: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71755</wp:posOffset>
            </wp:positionV>
            <wp:extent cx="8147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Represents beneficial ownership of less than 1%</w:t>
      </w:r>
    </w:p>
    <w:p>
      <w:pPr>
        <w:spacing w:after="0" w:line="63" w:lineRule="exact"/>
        <w:rPr>
          <w:sz w:val="20"/>
          <w:szCs w:val="20"/>
          <w:color w:val="auto"/>
        </w:rPr>
      </w:pPr>
    </w:p>
    <w:p>
      <w:pPr>
        <w:ind w:left="1000" w:right="120" w:hanging="301"/>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w:t>
      </w:r>
    </w:p>
    <w:p>
      <w:pPr>
        <w:spacing w:after="0" w:line="3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00" w:right="600"/>
        <w:spacing w:after="0" w:line="281" w:lineRule="auto"/>
        <w:rPr>
          <w:sz w:val="20"/>
          <w:szCs w:val="20"/>
          <w:color w:val="auto"/>
        </w:rPr>
      </w:pPr>
      <w:r>
        <w:rPr>
          <w:rFonts w:ascii="Times New Roman" w:cs="Times New Roman" w:eastAsia="Times New Roman" w:hAnsi="Times New Roman"/>
          <w:sz w:val="18"/>
          <w:szCs w:val="18"/>
          <w:color w:val="auto"/>
        </w:rPr>
        <w:t>the right to acquire voting or investment power within 60 days after such date. Consequently, the denominator for calculating beneficial ownership percentages may be different for each beneficial owner.</w:t>
      </w:r>
    </w:p>
    <w:p>
      <w:pPr>
        <w:spacing w:after="0" w:line="2" w:lineRule="exact"/>
        <w:rPr>
          <w:sz w:val="20"/>
          <w:szCs w:val="20"/>
          <w:color w:val="auto"/>
        </w:rPr>
      </w:pPr>
    </w:p>
    <w:p>
      <w:pPr>
        <w:ind w:left="1000" w:right="140" w:hanging="301"/>
        <w:spacing w:after="0" w:line="255"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Endeavour Capital IV, LLC is the general partner of the Endeavour Entities, and, other than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The address for these entities is 920 SW Sixth Avenue, Suite 1400, Portland, Oregon 97204. Pursuant to a proxy and voting agreement, Messrs. Brent D. Richardson and Christopher C. Richardson have voting power over 6,337,138 shares owned by the Endeavour Entities. Each of Messrs. Brent D. Richardson and Christopher C. Richardson disclaims beneficial ownership of such shares, except to the extent of such voting interest.</w:t>
      </w:r>
    </w:p>
    <w:p>
      <w:pPr>
        <w:spacing w:after="0" w:line="27" w:lineRule="exact"/>
        <w:rPr>
          <w:rFonts w:ascii="Times New Roman" w:cs="Times New Roman" w:eastAsia="Times New Roman" w:hAnsi="Times New Roman"/>
          <w:sz w:val="18"/>
          <w:szCs w:val="18"/>
          <w:color w:val="auto"/>
        </w:rPr>
      </w:pPr>
    </w:p>
    <w:p>
      <w:pPr>
        <w:ind w:left="1000" w:right="40" w:hanging="301"/>
        <w:spacing w:after="0" w:line="25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Luke M. Buse and Staci Lin Buse, as co-trustees, share dispositive power with respect to the shares owned by of the Luke M. Buse and Staci Lin Buse Revocable Trust. Staci Lin Buse is the sister of Brent D. Richardson, our Executive Chairman, and Christopher C. Richardson, our General Counsel and director. The address for this trust is 6236 E. Montecito Avenue, Scottsdale, Arizona 85251. Pursuant to a proxy and voting agreement, Messrs. Brent D. Richardson and Christopher C. Richardson have voting power over the shares owned by the trust. Each of Messrs. Brent D. Richardson and Christopher C. Richardson disclaims beneficial ownership of such shares, except to the extent of such voting interest.</w:t>
      </w:r>
    </w:p>
    <w:p>
      <w:pPr>
        <w:spacing w:after="0" w:line="12" w:lineRule="exact"/>
        <w:rPr>
          <w:rFonts w:ascii="Times New Roman" w:cs="Times New Roman" w:eastAsia="Times New Roman" w:hAnsi="Times New Roman"/>
          <w:sz w:val="18"/>
          <w:szCs w:val="18"/>
          <w:color w:val="auto"/>
        </w:rPr>
      </w:pPr>
    </w:p>
    <w:p>
      <w:pPr>
        <w:ind w:left="1000" w:hanging="301"/>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totals for Brent D. Richardson and Christopher C. Richardson consist of:</w:t>
      </w:r>
    </w:p>
    <w:p>
      <w:pPr>
        <w:spacing w:after="0" w:line="104" w:lineRule="exact"/>
        <w:rPr>
          <w:sz w:val="20"/>
          <w:szCs w:val="20"/>
          <w:color w:val="auto"/>
        </w:rPr>
      </w:pPr>
    </w:p>
    <w:p>
      <w:pPr>
        <w:ind w:left="1300" w:right="380" w:hanging="202"/>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3,503,171 shares of common stock held of record by Exeter Capital, LLC, a limited liability company of which Brent D. Richardson, our Executive Chairman and a member of our Board of Directors, is the manager, which are attributable to, and beneficially owned by, Mr. Brent D. Richardson;</w:t>
      </w:r>
    </w:p>
    <w:p>
      <w:pPr>
        <w:spacing w:after="0" w:line="41" w:lineRule="exact"/>
        <w:rPr>
          <w:rFonts w:ascii="Times New Roman" w:cs="Times New Roman" w:eastAsia="Times New Roman" w:hAnsi="Times New Roman"/>
          <w:sz w:val="18"/>
          <w:szCs w:val="18"/>
          <w:color w:val="auto"/>
        </w:rPr>
      </w:pPr>
    </w:p>
    <w:p>
      <w:pPr>
        <w:ind w:left="1300" w:right="220" w:hanging="202"/>
        <w:spacing w:after="0" w:line="266"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3,504,036 shares of common stock held of record by Calle Camelia Investments, LLC, a limited liability company of which Christopher C. Richardson, our General Counsel and a member of our Board of Directors, is a manager, which are attributable to, and beneficially owned by, Mr. Christopher C. Richardson;</w:t>
      </w:r>
    </w:p>
    <w:p>
      <w:pPr>
        <w:spacing w:after="0" w:line="41"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6,337,138 shares of common stock held by the Endeavour Entities, as described in note (2) above; and</w:t>
      </w:r>
    </w:p>
    <w:p>
      <w:pPr>
        <w:spacing w:after="0" w:line="103" w:lineRule="exact"/>
        <w:rPr>
          <w:rFonts w:ascii="Times New Roman" w:cs="Times New Roman" w:eastAsia="Times New Roman" w:hAnsi="Times New Roman"/>
          <w:sz w:val="18"/>
          <w:szCs w:val="18"/>
          <w:color w:val="auto"/>
        </w:rPr>
      </w:pPr>
    </w:p>
    <w:p>
      <w:pPr>
        <w:ind w:left="1300" w:hanging="202"/>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3,503,171 shares of common stock held of record by the Luke M. Buse and Staci Lin Buse Revocable Trust, as described in note</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above.</w:t>
      </w:r>
    </w:p>
    <w:p>
      <w:pPr>
        <w:spacing w:after="0" w:line="72"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Pursuant to a proxy and voting agreement, Messrs. Brent D. Richardson and Christopher C. Richardson have voting power over the shares beneficially owned by each other, the Luke M. Buse and Staci Lin Buse Revocable Trust and the Endeavour Entities, in the amounts described above. Each of Messrs. Brent D. Richardson and Christopher C. Richardson disclaims beneficial ownership of such shares, except to the extent of such voting interest. The totals for Brent D. Richardson and Christopher C. Richardson do not include other shares that may remain subject to the proxy and voting agreement described in Note (7) below.</w:t>
      </w:r>
    </w:p>
    <w:p>
      <w:pPr>
        <w:spacing w:after="0" w:line="22" w:lineRule="exact"/>
        <w:rPr>
          <w:sz w:val="20"/>
          <w:szCs w:val="20"/>
          <w:color w:val="auto"/>
        </w:rPr>
      </w:pPr>
    </w:p>
    <w:p>
      <w:pPr>
        <w:ind w:left="1000" w:hanging="301"/>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29,463 shares of common stock issuable upon exercise of vested stock options.</w:t>
      </w:r>
    </w:p>
    <w:p>
      <w:pPr>
        <w:spacing w:after="0" w:line="49" w:lineRule="exact"/>
        <w:rPr>
          <w:rFonts w:ascii="Times New Roman" w:cs="Times New Roman" w:eastAsia="Times New Roman" w:hAnsi="Times New Roman"/>
          <w:sz w:val="18"/>
          <w:szCs w:val="18"/>
          <w:color w:val="auto"/>
        </w:rPr>
      </w:pPr>
    </w:p>
    <w:p>
      <w:pPr>
        <w:ind w:left="1000" w:right="120" w:hanging="301"/>
        <w:spacing w:after="0" w:line="261"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10,012,138 shares of common stock held of record by the Endeavour Entities (see note (2) above). Messrs. Chad N. Heath and D. Mark Dorman, each of whom is a managing member of Endeavour Capital IV, LLC, the general partner of the Endeavour Entities, and serves on our Board of Directors, disclaim beneficial ownership of these shares except to the extent of their respective pecuniary interests.</w:t>
      </w:r>
    </w:p>
    <w:p>
      <w:pPr>
        <w:spacing w:after="0" w:line="17" w:lineRule="exact"/>
        <w:rPr>
          <w:rFonts w:ascii="Times New Roman" w:cs="Times New Roman" w:eastAsia="Times New Roman" w:hAnsi="Times New Roman"/>
          <w:sz w:val="18"/>
          <w:szCs w:val="18"/>
          <w:color w:val="auto"/>
        </w:rPr>
      </w:pPr>
    </w:p>
    <w:p>
      <w:pPr>
        <w:ind w:left="1000" w:hanging="301"/>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including the stockholders described in notes (2) through (4) above, have entered into a proxy and voting agreement, pursuant to which such persons have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 Under the terms of the voting agreement, if any person party to the voting agreement transfers shares covered by the proxy in open-market or other transactions, the proxy is no longer effective as to such shares. Accordingly, the number of shares as to</w:t>
      </w:r>
    </w:p>
    <w:p>
      <w:pPr>
        <w:spacing w:after="0" w:line="36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00"/>
        <w:spacing w:after="0" w:line="256" w:lineRule="auto"/>
        <w:rPr>
          <w:sz w:val="20"/>
          <w:szCs w:val="20"/>
          <w:color w:val="auto"/>
        </w:rPr>
      </w:pPr>
      <w:r>
        <w:rPr>
          <w:rFonts w:ascii="Times New Roman" w:cs="Times New Roman" w:eastAsia="Times New Roman" w:hAnsi="Times New Roman"/>
          <w:sz w:val="18"/>
          <w:szCs w:val="18"/>
          <w:color w:val="auto"/>
        </w:rPr>
        <w:t>which the Richardson Voting Group has the shared power to vote or direct the vote will decrease over time as shares held by other parties to the voting agreement are sold, which sales we may not be aware of since many of the shares held by such other parties are held in “street name.” After giving effect to this offering, and based on the number of shares expected to be sold by us and the selling stockholders participating in this offering, and the addition of the Endeavour Entities as parties to the proxy and voting agreement, we believe that the Richardson Voting Group will continue to have the power to exercise voting authority with respect to more than 25% of our common stock. See “Certain Relationships and Related Transactions — Voting Agreement.”</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08"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number of shares of common stock beneficially owned by the selling stockholders named below and as adjusted to give effect to the sale of the shares offered hereby. The following table is prepared based on information supplied to us by the selling stockholders. 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w:t>
      </w:r>
    </w:p>
    <w:p>
      <w:pPr>
        <w:spacing w:after="0" w:line="48"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Over-</w:t>
            </w: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Beneficially</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allotment</w:t>
            </w: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40" w:type="dxa"/>
            <w:vAlign w:val="bottom"/>
            <w:gridSpan w:val="4"/>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Shares Beneficially Owned</w:t>
            </w: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66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Owned After the</w:t>
            </w: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40" w:type="dxa"/>
            <w:vAlign w:val="bottom"/>
            <w:gridSpan w:val="4"/>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Prior to the Offering</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Being</w:t>
            </w:r>
          </w:p>
        </w:tc>
        <w:tc>
          <w:tcPr>
            <w:tcW w:w="16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Being</w:t>
            </w:r>
          </w:p>
        </w:tc>
        <w:tc>
          <w:tcPr>
            <w:tcW w:w="3160" w:type="dxa"/>
            <w:vAlign w:val="bottom"/>
            <w:gridSpan w:val="5"/>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Shares Beneficially Owned After the Over-allotment</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Borders>
              <w:top w:val="single" w:sz="8" w:color="auto"/>
            </w:tcBorders>
          </w:tcPr>
          <w:p>
            <w:pPr>
              <w:jc w:val="right"/>
              <w:ind w:right="166"/>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Percent</w:t>
            </w:r>
            <w:r>
              <w:rPr>
                <w:rFonts w:ascii="Times New Roman" w:cs="Times New Roman" w:eastAsia="Times New Roman" w:hAnsi="Times New Roman"/>
                <w:sz w:val="10"/>
                <w:szCs w:val="10"/>
                <w:b w:val="1"/>
                <w:bCs w:val="1"/>
                <w:color w:val="auto"/>
              </w:rPr>
              <w:t>(1)</w:t>
            </w:r>
          </w:p>
        </w:tc>
        <w:tc>
          <w:tcPr>
            <w:tcW w:w="200" w:type="dxa"/>
            <w:vAlign w:val="bottom"/>
          </w:tcPr>
          <w:p>
            <w:pPr>
              <w:spacing w:after="0"/>
              <w:rPr>
                <w:sz w:val="11"/>
                <w:szCs w:val="11"/>
                <w:color w:val="auto"/>
              </w:rPr>
            </w:pPr>
          </w:p>
        </w:tc>
        <w:tc>
          <w:tcPr>
            <w:tcW w:w="860" w:type="dxa"/>
            <w:vAlign w:val="bottom"/>
            <w:gridSpan w:val="2"/>
          </w:tcPr>
          <w:p>
            <w:pPr>
              <w:jc w:val="center"/>
              <w:ind w:right="1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Offered</w:t>
            </w:r>
          </w:p>
        </w:tc>
        <w:tc>
          <w:tcPr>
            <w:tcW w:w="800" w:type="dxa"/>
            <w:vAlign w:val="bottom"/>
            <w:tcBorders>
              <w:top w:val="single" w:sz="8" w:color="auto"/>
            </w:tcBorders>
          </w:tcPr>
          <w:p>
            <w:pPr>
              <w:jc w:val="right"/>
              <w:ind w:right="14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3"/>
                <w:szCs w:val="13"/>
                <w:b w:val="1"/>
                <w:bCs w:val="1"/>
                <w:color w:val="auto"/>
                <w:w w:val="95"/>
              </w:rPr>
              <w:t>Percent</w:t>
            </w:r>
            <w:r>
              <w:rPr>
                <w:rFonts w:ascii="Times New Roman" w:cs="Times New Roman" w:eastAsia="Times New Roman" w:hAnsi="Times New Roman"/>
                <w:sz w:val="10"/>
                <w:szCs w:val="10"/>
                <w:b w:val="1"/>
                <w:bCs w:val="1"/>
                <w:color w:val="auto"/>
                <w:w w:val="95"/>
              </w:rPr>
              <w:t>(2)</w:t>
            </w:r>
          </w:p>
        </w:tc>
        <w:tc>
          <w:tcPr>
            <w:tcW w:w="20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8"/>
              </w:rPr>
              <w:t>Offered</w:t>
            </w:r>
            <w:r>
              <w:rPr>
                <w:rFonts w:ascii="Times New Roman" w:cs="Times New Roman" w:eastAsia="Times New Roman" w:hAnsi="Times New Roman"/>
                <w:sz w:val="10"/>
                <w:szCs w:val="10"/>
                <w:b w:val="1"/>
                <w:bCs w:val="1"/>
                <w:color w:val="auto"/>
                <w:w w:val="98"/>
              </w:rPr>
              <w:t>(3)</w:t>
            </w:r>
          </w:p>
        </w:tc>
        <w:tc>
          <w:tcPr>
            <w:tcW w:w="140" w:type="dxa"/>
            <w:vAlign w:val="bottom"/>
          </w:tcPr>
          <w:p>
            <w:pPr>
              <w:spacing w:after="0"/>
              <w:rPr>
                <w:sz w:val="11"/>
                <w:szCs w:val="11"/>
                <w:color w:val="auto"/>
              </w:rPr>
            </w:pPr>
          </w:p>
        </w:tc>
        <w:tc>
          <w:tcPr>
            <w:tcW w:w="1260" w:type="dxa"/>
            <w:vAlign w:val="bottom"/>
            <w:tcBorders>
              <w:top w:val="single" w:sz="8" w:color="auto"/>
            </w:tcBorders>
          </w:tcPr>
          <w:p>
            <w:pPr>
              <w:jc w:val="right"/>
              <w:ind w:right="368"/>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180"/>
              <w:spacing w:after="0" w:line="129" w:lineRule="exact"/>
              <w:rPr>
                <w:sz w:val="20"/>
                <w:szCs w:val="20"/>
                <w:color w:val="auto"/>
              </w:rPr>
            </w:pPr>
            <w:r>
              <w:rPr>
                <w:rFonts w:ascii="Times New Roman" w:cs="Times New Roman" w:eastAsia="Times New Roman" w:hAnsi="Times New Roman"/>
                <w:sz w:val="13"/>
                <w:szCs w:val="13"/>
                <w:b w:val="1"/>
                <w:bCs w:val="1"/>
                <w:color w:val="auto"/>
              </w:rPr>
              <w:t>Percent</w:t>
            </w:r>
            <w:r>
              <w:rPr>
                <w:rFonts w:ascii="Times New Roman" w:cs="Times New Roman" w:eastAsia="Times New Roman" w:hAnsi="Times New Roman"/>
                <w:sz w:val="10"/>
                <w:szCs w:val="10"/>
                <w:b w:val="1"/>
                <w:bCs w:val="1"/>
                <w:color w:val="auto"/>
              </w:rPr>
              <w:t>(2)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Endeavor Associates</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 IV, L.P. and</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gridSpan w:val="2"/>
          </w:tcPr>
          <w:p>
            <w:pPr>
              <w:ind w:left="140"/>
              <w:spacing w:after="0" w:line="217" w:lineRule="exact"/>
              <w:rPr>
                <w:sz w:val="20"/>
                <w:szCs w:val="20"/>
                <w:color w:val="auto"/>
              </w:rPr>
            </w:pPr>
            <w:r>
              <w:rPr>
                <w:rFonts w:ascii="Times New Roman" w:cs="Times New Roman" w:eastAsia="Times New Roman" w:hAnsi="Times New Roman"/>
                <w:sz w:val="15"/>
                <w:szCs w:val="15"/>
                <w:color w:val="auto"/>
              </w:rPr>
              <w:t>affiliates</w:t>
            </w:r>
            <w:r>
              <w:rPr>
                <w:rFonts w:ascii="Times New Roman" w:cs="Times New Roman" w:eastAsia="Times New Roman" w:hAnsi="Times New Roman"/>
                <w:sz w:val="25"/>
                <w:szCs w:val="25"/>
                <w:color w:val="auto"/>
                <w:vertAlign w:val="superscript"/>
              </w:rPr>
              <w:t>(4)(7)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10,012,138</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22.5%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7,012,138</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6,337,138</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8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3"/>
                <w:szCs w:val="13"/>
                <w:color w:val="auto"/>
              </w:rPr>
              <w:t>Brent D. Richardson</w:t>
            </w:r>
            <w:r>
              <w:rPr>
                <w:rFonts w:ascii="Times New Roman" w:cs="Times New Roman" w:eastAsia="Times New Roman" w:hAnsi="Times New Roman"/>
                <w:sz w:val="21"/>
                <w:szCs w:val="21"/>
                <w:color w:val="auto"/>
                <w:vertAlign w:val="superscript"/>
              </w:rPr>
              <w:t>(5)</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16,847,516</w:t>
            </w:r>
          </w:p>
        </w:tc>
        <w:tc>
          <w:tcPr>
            <w:tcW w:w="11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37.8%</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666,667</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14,847,516</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32.6%</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14,622,516</w:t>
            </w:r>
          </w:p>
        </w:tc>
        <w:tc>
          <w:tcPr>
            <w:tcW w:w="1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(7)</w:t>
            </w:r>
          </w:p>
        </w:tc>
        <w:tc>
          <w:tcPr>
            <w:tcW w:w="4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120" w:type="dxa"/>
            <w:vAlign w:val="bottom"/>
            <w:gridSpan w:val="3"/>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0" w:type="dxa"/>
            <w:vAlign w:val="bottom"/>
            <w:gridSpan w:val="2"/>
            <w:vMerge w:val="continue"/>
            <w:shd w:val="clear" w:color="auto" w:fill="CCEEFF"/>
          </w:tcPr>
          <w:p>
            <w:pPr>
              <w:spacing w:after="0"/>
              <w:rPr>
                <w:sz w:val="14"/>
                <w:szCs w:val="14"/>
                <w:color w:val="auto"/>
              </w:rPr>
            </w:pPr>
          </w:p>
        </w:tc>
        <w:tc>
          <w:tcPr>
            <w:tcW w:w="17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C.</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gridSpan w:val="2"/>
          </w:tcPr>
          <w:p>
            <w:pPr>
              <w:ind w:left="140"/>
              <w:spacing w:after="0" w:line="217" w:lineRule="exact"/>
              <w:rPr>
                <w:sz w:val="20"/>
                <w:szCs w:val="20"/>
                <w:color w:val="auto"/>
              </w:rPr>
            </w:pPr>
            <w:r>
              <w:rPr>
                <w:rFonts w:ascii="Times New Roman" w:cs="Times New Roman" w:eastAsia="Times New Roman" w:hAnsi="Times New Roman"/>
                <w:sz w:val="15"/>
                <w:szCs w:val="15"/>
                <w:color w:val="auto"/>
              </w:rPr>
              <w:t>Richardson</w:t>
            </w:r>
            <w:r>
              <w:rPr>
                <w:rFonts w:ascii="Times New Roman" w:cs="Times New Roman" w:eastAsia="Times New Roman" w:hAnsi="Times New Roman"/>
                <w:sz w:val="25"/>
                <w:szCs w:val="25"/>
                <w:color w:val="auto"/>
                <w:vertAlign w:val="superscript"/>
              </w:rPr>
              <w:t>(5)(7)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16,847,516</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666,666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14,847,516</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32.6%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14,622,516</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Luke M. Buse and Staci</w:t>
            </w: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Lin Buse Revocable</w:t>
            </w: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13"/>
                <w:szCs w:val="13"/>
                <w:color w:val="auto"/>
              </w:rPr>
              <w:t>(6)(7)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3,503,171</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666,667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2,836,504</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2,761,504</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700" w:type="dxa"/>
            <w:vAlign w:val="bottom"/>
            <w:gridSpan w:val="3"/>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20,522,516</w:t>
            </w:r>
          </w:p>
        </w:tc>
        <w:tc>
          <w:tcPr>
            <w:tcW w:w="380" w:type="dxa"/>
            <w:vAlign w:val="bottom"/>
            <w:vMerge w:val="continue"/>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15,522,516</w:t>
            </w:r>
          </w:p>
        </w:tc>
        <w:tc>
          <w:tcPr>
            <w:tcW w:w="120" w:type="dxa"/>
            <w:vAlign w:val="bottom"/>
            <w:vMerge w:val="continue"/>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40" w:type="dxa"/>
            <w:vAlign w:val="bottom"/>
            <w:vMerge w:val="continue"/>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14,622,516</w:t>
            </w:r>
          </w:p>
        </w:tc>
        <w:tc>
          <w:tcPr>
            <w:tcW w:w="720" w:type="dxa"/>
            <w:vAlign w:val="bottom"/>
            <w:vMerge w:val="continue"/>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00" w:hanging="301"/>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44,576,417 shares outstanding at June 30, 2009.</w:t>
      </w:r>
    </w:p>
    <w:p>
      <w:pPr>
        <w:spacing w:after="0" w:line="76" w:lineRule="exact"/>
        <w:rPr>
          <w:rFonts w:ascii="Times New Roman" w:cs="Times New Roman" w:eastAsia="Times New Roman" w:hAnsi="Times New Roman"/>
          <w:sz w:val="18"/>
          <w:szCs w:val="18"/>
          <w:color w:val="auto"/>
        </w:rPr>
      </w:pPr>
    </w:p>
    <w:p>
      <w:pPr>
        <w:ind w:left="1000" w:right="420" w:hanging="301"/>
        <w:spacing w:after="0" w:line="28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45,576,417 shares outstanding, which reflects shares outstanding at June 30, 2009 plus 1,000,000 shares issued by the Company in connection with this offering.</w:t>
      </w:r>
    </w:p>
    <w:p>
      <w:pPr>
        <w:spacing w:after="0" w:line="1" w:lineRule="exact"/>
        <w:rPr>
          <w:rFonts w:ascii="Times New Roman" w:cs="Times New Roman" w:eastAsia="Times New Roman" w:hAnsi="Times New Roman"/>
          <w:sz w:val="18"/>
          <w:szCs w:val="18"/>
          <w:color w:val="auto"/>
        </w:rPr>
      </w:pPr>
    </w:p>
    <w:p>
      <w:pPr>
        <w:ind w:left="1000" w:hanging="301"/>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assume that the over-allotment option is exercised in full.</w:t>
      </w:r>
    </w:p>
    <w:p>
      <w:pPr>
        <w:spacing w:after="0" w:line="76" w:lineRule="exact"/>
        <w:rPr>
          <w:rFonts w:ascii="Times New Roman" w:cs="Times New Roman" w:eastAsia="Times New Roman" w:hAnsi="Times New Roman"/>
          <w:sz w:val="18"/>
          <w:szCs w:val="18"/>
          <w:color w:val="auto"/>
        </w:rPr>
      </w:pPr>
    </w:p>
    <w:p>
      <w:pPr>
        <w:ind w:left="1000" w:right="20" w:hanging="301"/>
        <w:spacing w:after="0" w:line="255"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Endeavour Capital IV, LLC is the general partner of the Endeavour Entities, and, except as noted below, has voting and dispositive power with respect to the shares held by the Endeavour Entities. Messrs. Chad N. Heath and D. Mark Dorman, each of whom is a managing director of Endeavour Capital IV, LLC and serves on our Board of Directors, disclaim beneficial ownership of these shares except to the extent of their respective pecuniary interests. Pursuant to a proxy and voting agreement, Messrs. Brent D. Richardson and Christopher C. Richardson have voting power over 6,337,138 shares owned by the Endeavour Entities. Each of Messrs. Brent D. Richardson and Christopher C. Richardson disclaims beneficial ownership of such shares, except to the extent of such voting interest.</w:t>
      </w:r>
    </w:p>
    <w:p>
      <w:pPr>
        <w:spacing w:after="0" w:line="40" w:lineRule="exact"/>
        <w:rPr>
          <w:rFonts w:ascii="Times New Roman" w:cs="Times New Roman" w:eastAsia="Times New Roman" w:hAnsi="Times New Roman"/>
          <w:sz w:val="18"/>
          <w:szCs w:val="18"/>
          <w:color w:val="auto"/>
        </w:rPr>
      </w:pPr>
    </w:p>
    <w:p>
      <w:pPr>
        <w:ind w:left="1000" w:hanging="301"/>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totals for Brent D. Richardson and Christopher C. Richardson consist of:</w:t>
      </w:r>
    </w:p>
    <w:p>
      <w:pPr>
        <w:spacing w:after="0" w:line="76" w:lineRule="exact"/>
        <w:rPr>
          <w:rFonts w:ascii="Times New Roman" w:cs="Times New Roman" w:eastAsia="Times New Roman" w:hAnsi="Times New Roman"/>
          <w:sz w:val="18"/>
          <w:szCs w:val="18"/>
          <w:color w:val="auto"/>
        </w:rPr>
      </w:pPr>
    </w:p>
    <w:p>
      <w:pPr>
        <w:ind w:left="1160" w:right="520" w:hanging="157"/>
        <w:spacing w:after="0" w:line="266" w:lineRule="auto"/>
        <w:tabs>
          <w:tab w:leader="none" w:pos="11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3,503,171 shares of common stock held of record by Exeter Capital, LLC, a limited liability company of which Brent D. Richardson, our Executive Chairman and a member of our Board of Directors, is the manager, which are attributable to, and beneficially owned by, Mr. Brent D. Richardson;</w:t>
      </w:r>
    </w:p>
    <w:p>
      <w:pPr>
        <w:spacing w:after="0" w:line="27" w:lineRule="exact"/>
        <w:rPr>
          <w:rFonts w:ascii="Times New Roman" w:cs="Times New Roman" w:eastAsia="Times New Roman" w:hAnsi="Times New Roman"/>
          <w:sz w:val="18"/>
          <w:szCs w:val="18"/>
          <w:color w:val="auto"/>
        </w:rPr>
      </w:pPr>
    </w:p>
    <w:p>
      <w:pPr>
        <w:ind w:left="1160" w:right="120" w:hanging="157"/>
        <w:spacing w:after="0" w:line="266" w:lineRule="auto"/>
        <w:tabs>
          <w:tab w:leader="none" w:pos="110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3,504,036 shares of common stock held of record by Calle Camelia Investments, LLC, a limited liability company of which Christopher C. Richardson, our General Counsel and a member of our Board of Directors, is a manager, which are attributable to, and beneficially owned by, Mr. Christopher C. Richardson;</w:t>
      </w:r>
    </w:p>
    <w:p>
      <w:pPr>
        <w:spacing w:after="0" w:line="27" w:lineRule="exact"/>
        <w:rPr>
          <w:rFonts w:ascii="Times New Roman" w:cs="Times New Roman" w:eastAsia="Times New Roman" w:hAnsi="Times New Roman"/>
          <w:sz w:val="18"/>
          <w:szCs w:val="18"/>
          <w:color w:val="auto"/>
        </w:rPr>
      </w:pPr>
    </w:p>
    <w:p>
      <w:pPr>
        <w:ind w:left="1120" w:hanging="117"/>
        <w:spacing w:after="0"/>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6,337,138 shares of common stock held by the Endeavour Entities, as described in note (4) above; and</w:t>
      </w:r>
    </w:p>
    <w:p>
      <w:pPr>
        <w:spacing w:after="0" w:line="76" w:lineRule="exact"/>
        <w:rPr>
          <w:rFonts w:ascii="Times New Roman" w:cs="Times New Roman" w:eastAsia="Times New Roman" w:hAnsi="Times New Roman"/>
          <w:sz w:val="18"/>
          <w:szCs w:val="18"/>
          <w:color w:val="auto"/>
        </w:rPr>
      </w:pPr>
    </w:p>
    <w:p>
      <w:pPr>
        <w:ind w:left="1120" w:hanging="117"/>
        <w:spacing w:after="0"/>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3,503,171 shares of common stock held of record by the Luke M. Buse and Staci Lin Buse Revocable Trust, as described in note</w:t>
      </w:r>
    </w:p>
    <w:p>
      <w:pPr>
        <w:spacing w:after="0" w:line="27" w:lineRule="exact"/>
        <w:rPr>
          <w:rFonts w:ascii="Times New Roman" w:cs="Times New Roman" w:eastAsia="Times New Roman" w:hAnsi="Times New Roman"/>
          <w:sz w:val="18"/>
          <w:szCs w:val="18"/>
          <w:color w:val="auto"/>
        </w:rPr>
      </w:pPr>
    </w:p>
    <w:p>
      <w:pPr>
        <w:ind w:left="1420" w:hanging="255"/>
        <w:spacing w:after="0"/>
        <w:tabs>
          <w:tab w:leader="none" w:pos="14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3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1000" w:right="120"/>
        <w:spacing w:after="0" w:line="258" w:lineRule="auto"/>
        <w:rPr>
          <w:sz w:val="20"/>
          <w:szCs w:val="20"/>
          <w:color w:val="auto"/>
        </w:rPr>
      </w:pPr>
      <w:r>
        <w:rPr>
          <w:rFonts w:ascii="Times New Roman" w:cs="Times New Roman" w:eastAsia="Times New Roman" w:hAnsi="Times New Roman"/>
          <w:sz w:val="18"/>
          <w:szCs w:val="18"/>
          <w:color w:val="auto"/>
        </w:rPr>
        <w:t>Pursuant to a proxy and voting agreement, Messrs. Brent D. Richardson and Christopher C. Richardson have voting power over the shares beneficially owned by each other, the Luke M. Buse and Staci Lin Buse Revocable Trust and the Endeavour Entities, in the amounts described above. Each of Messrs. Brent D. Richardson and Christopher C. Richardson disclaims beneficial ownership of such shares, except to the extent of such voting interest. The totals for Brent D. Richardson and Christopher C. Richardson do not include other shares that may remain subject to the proxy and voting agreement described in Note (7) below.</w:t>
      </w:r>
    </w:p>
    <w:p>
      <w:pPr>
        <w:spacing w:after="0" w:line="35" w:lineRule="exact"/>
        <w:rPr>
          <w:sz w:val="20"/>
          <w:szCs w:val="20"/>
          <w:color w:val="auto"/>
        </w:rPr>
      </w:pPr>
    </w:p>
    <w:p>
      <w:pPr>
        <w:ind w:left="1000" w:right="60" w:hanging="301"/>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Luke M. Buse and Staci Lin Buse, as co-trustees, share dispositive power with respect to the shares owned by the Luke M. Buse and Staci Lin Buse Revocable Trust. Staci Lin Buse is the sister of Brent D. Richardson, our Executive Chairman, and Christopher C. Richardson, our General Counsel and director. Pursuant to a proxy and voting agreement, Messrs. Brent D. Richardson and Christopher C. Richardson have voting power over the shares owned by the trust. Each of Messrs. Brent D. Richardson and Christopher C. Richardson disclaims beneficial ownership of such shares, except to the extent of such voting interest.</w:t>
      </w:r>
    </w:p>
    <w:p>
      <w:pPr>
        <w:spacing w:after="0" w:line="35" w:lineRule="exact"/>
        <w:rPr>
          <w:rFonts w:ascii="Times New Roman" w:cs="Times New Roman" w:eastAsia="Times New Roman" w:hAnsi="Times New Roman"/>
          <w:sz w:val="18"/>
          <w:szCs w:val="18"/>
          <w:color w:val="auto"/>
        </w:rPr>
      </w:pPr>
    </w:p>
    <w:p>
      <w:pPr>
        <w:ind w:left="1000" w:right="20" w:hanging="301"/>
        <w:spacing w:after="0" w:line="25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stockholders including the stockholders described in notes (4) through (6) above, have entered into a proxy and voting agreement, pursuant to which such persons have granted to the Richardson Voting Group a five-year irrevocable proxy to exercise voting authority with respect to certain shares of our common stock held by such persons, for so long as such shares are held by such persons. Upon the completion of our initial public offering, as a result of the proxy and voting agreement, the Richardson Voting Group had the power to exercise voting authority with respect to 19,516,242 shares of our common stock, or 42.9% of our common stock at such time.</w:t>
      </w:r>
    </w:p>
    <w:p>
      <w:pPr>
        <w:spacing w:after="0" w:line="39" w:lineRule="exact"/>
        <w:rPr>
          <w:rFonts w:ascii="Times New Roman" w:cs="Times New Roman" w:eastAsia="Times New Roman" w:hAnsi="Times New Roman"/>
          <w:sz w:val="18"/>
          <w:szCs w:val="18"/>
          <w:color w:val="auto"/>
        </w:rPr>
      </w:pPr>
    </w:p>
    <w:p>
      <w:pPr>
        <w:ind w:left="10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voting agreement, if any person party to the voting agreement transfers shares covered by the proxy in open-market or other transactions, the proxy is no longer effective as to such shares. Accordingly, the number of shares as to which the Richardson Voting Group has the shared power to vote or direct the vote will decrease over time as shares held by other parties to the voting agreement are sold, which sales we may not be aware of since many of the shares held by such other parties are held in “street name.” After giving effect to this offering, and based on the number of shares expected to be sold by us and the selling stockholders participating in this offering, and the addition of the Endeavour Entities as parties to the proxy and voting agreement, we believe that the Richardson Voting Group will continue to have the power to exercise voting authority with respect to more than 25% of our common stock. See “Certain Relationships and Related Transactions — Voting Agreement.”</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35" w:lineRule="exact"/>
        <w:rPr>
          <w:sz w:val="20"/>
          <w:szCs w:val="20"/>
          <w:color w:val="auto"/>
        </w:rPr>
      </w:pPr>
    </w:p>
    <w:p>
      <w:pPr>
        <w:ind w:left="700" w:right="100" w:firstLine="397"/>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summarizes provisions of our amended and restated certificate of incorporation and amended and restated bylaws. As of the date of this prospectus, our authorized capital stock consists of 100,000,000 shares of common stock, $0.01 par value per share, and 10,000,000 shares of undesignated preferred stock, $0.01 par value per share. Immediately after completion of the offering, 45,613,794 shares of common stock (inclusive of 37,377 shares of common stock issued upon exercise of options since June 30, 2009) and no shares of preferred stock will be outstanding.</w:t>
      </w:r>
    </w:p>
    <w:p>
      <w:pPr>
        <w:spacing w:after="0" w:line="89" w:lineRule="exact"/>
        <w:rPr>
          <w:sz w:val="20"/>
          <w:szCs w:val="20"/>
          <w:color w:val="auto"/>
        </w:rPr>
      </w:pPr>
    </w:p>
    <w:p>
      <w:pPr>
        <w:ind w:left="700" w:right="100" w:firstLine="397"/>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material provisions of our capital stock and amended and restated certificate of incorporation and amended and restated bylaws is only a summary, does not purport to be complete and is qualified by applicable law and the full provisions of our amended and restated certificate of incorporation and amended and restated bylaws.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3" w:lineRule="exact"/>
        <w:rPr>
          <w:sz w:val="20"/>
          <w:szCs w:val="20"/>
          <w:color w:val="auto"/>
        </w:rPr>
      </w:pPr>
    </w:p>
    <w:p>
      <w:pPr>
        <w:ind w:left="700" w:right="12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per share on any matter to be voted upon by stockholders.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86" w:lineRule="exact"/>
        <w:rPr>
          <w:sz w:val="20"/>
          <w:szCs w:val="20"/>
          <w:color w:val="auto"/>
        </w:rPr>
      </w:pPr>
    </w:p>
    <w:p>
      <w:pPr>
        <w:ind w:left="700" w:firstLine="397"/>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Dividend Rights. </w:t>
      </w:r>
      <w:r>
        <w:rPr>
          <w:rFonts w:ascii="Times New Roman" w:cs="Times New Roman" w:eastAsia="Times New Roman" w:hAnsi="Times New Roman"/>
          <w:sz w:val="17"/>
          <w:szCs w:val="17"/>
          <w:color w:val="auto"/>
        </w:rPr>
        <w:t>Subject to the prior rights of holders of preferred stock, for as long as such stock is outstanding, the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are entitled to receive ratably any dividends when and as declared from time to time by our Board of Directors out of funds legally available for dividends. We have never declared or paid cash dividends. We currently intend to retain all future earnings for the operation and expansion of our business and do not anticipate paying cash dividends on the common stock in the foreseeable future.</w:t>
      </w:r>
    </w:p>
    <w:p>
      <w:pPr>
        <w:spacing w:after="0" w:line="67" w:lineRule="exact"/>
        <w:rPr>
          <w:sz w:val="20"/>
          <w:szCs w:val="20"/>
          <w:color w:val="auto"/>
        </w:rPr>
      </w:pPr>
    </w:p>
    <w:p>
      <w:pPr>
        <w:jc w:val="both"/>
        <w:ind w:left="700" w:right="180" w:firstLine="39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w:t>
      </w:r>
      <w:r>
        <w:rPr>
          <w:rFonts w:ascii="Times New Roman" w:cs="Times New Roman" w:eastAsia="Times New Roman" w:hAnsi="Times New Roman"/>
          <w:sz w:val="18"/>
          <w:szCs w:val="18"/>
          <w:color w:val="auto"/>
        </w:rPr>
        <w:t>Upon a liquidation or dissolution of our company, whether voluntary or involuntary, creditors and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preferred stock with preferential liquidation rights will be paid before any distribution to holders of our common stock. After such distribution, holders of common stock are entitled to receive a pro rata distribution per share of any excess amount.</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135"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Board of Directors has authority to issue undesignated preferred stock without stockholder approval. Our Board of Directors may also determine or alter for each class of preferred stock the voting powers, designations, preferences, and special rights, qualifications, limitations, or restrictions as permitted by law. Our Board of Directors may authorize the issuance of preferred stock with voting or conversion rights that could adversely affect the voting power or other rights of the holders of the common stock. Issuing preferred stock provides flexibility in connection with possible acquisitions and other corporate purposes, but could also, among other things, have the effect of delaying, deferring or preventing a change in control of our company and may adversely affect the market price of our common stock and the voting and other rights of the holders of common stock.</w:t>
      </w:r>
    </w:p>
    <w:p>
      <w:pPr>
        <w:spacing w:after="0" w:line="1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Times New Roman" w:cs="Times New Roman" w:eastAsia="Times New Roman" w:hAnsi="Times New Roman"/>
          <w:sz w:val="18"/>
          <w:szCs w:val="18"/>
          <w:color w:val="auto"/>
        </w:rPr>
        <w:t>We are a party to an amended investor rights agreement with the Endeavour Entities and certain other parties pursuant to which we agreed, under certain circumstances, to register shares of common stock held by each of the parties to the agreement under the Securities Act. The registration rights provisions of the investor rights agreement grant to the Endeavour Entities the right, beginning 90 days following the completion of our initial public offering, to cause us, at our expense, to use our reasonable commercial efforts to register such securities held by the Endeavour Entities for public resale, subject to certain limitations. The exercise of this right will be limited to two requests. In the event that we register any of our common stock, the Endeavour Entities and certain other holders are entitled to “piggyback” registration rights in which they may require us to include their securities in future registration statements that we may file, either for our own account or for</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73" w:lineRule="auto"/>
        <w:rPr>
          <w:sz w:val="20"/>
          <w:szCs w:val="20"/>
          <w:color w:val="auto"/>
        </w:rPr>
      </w:pPr>
      <w:r>
        <w:rPr>
          <w:rFonts w:ascii="Times New Roman" w:cs="Times New Roman" w:eastAsia="Times New Roman" w:hAnsi="Times New Roman"/>
          <w:sz w:val="17"/>
          <w:szCs w:val="17"/>
          <w:color w:val="auto"/>
        </w:rPr>
        <w:t>the account of other security holders exercising registration rights. In addition, such holders have the right to request that their shares of common stock be registered on a Registration Statement on Form S-3 so long as the anticipated aggregate sales price of such registered securities as of the date of filing of the Registration Statement on Form S-3 is at least $1 million. These registration rights are subject to various conditions and limitations, including the right of the underwriters of an offering to limit the number of registrable securities that may be included in the offering. We are generally required to bear all of the expenses of these registrations, except underwriting discounts and selling commissions and transfer taxes, if any. Registration of any securities pursuant to these registration rights will result in shares becoming freely tradable without restriction under the Securities Act immediately upon effectiveness of such registration.</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Provisions of Delaware Law and our Charter and Bylaws with Anti-Takeover Implications</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Charter and Bylaw Provisions</w:t>
      </w:r>
    </w:p>
    <w:p>
      <w:pPr>
        <w:spacing w:after="0" w:line="135" w:lineRule="exact"/>
        <w:rPr>
          <w:sz w:val="20"/>
          <w:szCs w:val="20"/>
          <w:color w:val="auto"/>
        </w:rPr>
      </w:pPr>
    </w:p>
    <w:p>
      <w:pPr>
        <w:jc w:val="both"/>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80" w:lineRule="exact"/>
        <w:rPr>
          <w:sz w:val="20"/>
          <w:szCs w:val="20"/>
          <w:color w:val="auto"/>
        </w:rPr>
      </w:pPr>
    </w:p>
    <w:p>
      <w:pPr>
        <w:ind w:left="700" w:right="20" w:firstLine="397"/>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Board Composition and Filling Vacancies. </w:t>
      </w:r>
      <w:r>
        <w:rPr>
          <w:rFonts w:ascii="Times New Roman" w:cs="Times New Roman" w:eastAsia="Times New Roman" w:hAnsi="Times New Roman"/>
          <w:sz w:val="18"/>
          <w:szCs w:val="18"/>
          <w:color w:val="auto"/>
        </w:rPr>
        <w:t>Our bylaws provide that directors may be removed only for cause by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the holders of a majority of the voting 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85" w:lineRule="exact"/>
        <w:rPr>
          <w:sz w:val="20"/>
          <w:szCs w:val="20"/>
          <w:color w:val="auto"/>
        </w:rPr>
      </w:pPr>
    </w:p>
    <w:p>
      <w:pPr>
        <w:jc w:val="both"/>
        <w:ind w:left="700" w:right="420" w:firstLine="397"/>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Written Consent of Stockholders. </w:t>
      </w:r>
      <w:r>
        <w:rPr>
          <w:rFonts w:ascii="Times New Roman" w:cs="Times New Roman" w:eastAsia="Times New Roman" w:hAnsi="Times New Roman"/>
          <w:sz w:val="18"/>
          <w:szCs w:val="18"/>
          <w:color w:val="auto"/>
        </w:rPr>
        <w:t>Our charter provides that all stockholder actions are required to be taken by a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at an annual or special meeting, and that stockholders may not take any action by written consent in lieu of a meeting.</w:t>
      </w:r>
    </w:p>
    <w:p>
      <w:pPr>
        <w:spacing w:after="0" w:line="64" w:lineRule="exact"/>
        <w:rPr>
          <w:sz w:val="20"/>
          <w:szCs w:val="20"/>
          <w:color w:val="auto"/>
        </w:rPr>
      </w:pPr>
    </w:p>
    <w:p>
      <w:pPr>
        <w:ind w:left="700" w:right="160" w:firstLine="397"/>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Meetings of Stockholders. </w:t>
      </w:r>
      <w:r>
        <w:rPr>
          <w:rFonts w:ascii="Times New Roman" w:cs="Times New Roman" w:eastAsia="Times New Roman" w:hAnsi="Times New Roman"/>
          <w:sz w:val="18"/>
          <w:szCs w:val="18"/>
          <w:color w:val="auto"/>
        </w:rPr>
        <w:t>Our bylaws provide that only a majority of the members of our Board of Directors then in office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85" w:lineRule="exact"/>
        <w:rPr>
          <w:sz w:val="20"/>
          <w:szCs w:val="20"/>
          <w:color w:val="auto"/>
        </w:rPr>
      </w:pPr>
    </w:p>
    <w:p>
      <w:pPr>
        <w:ind w:left="700" w:right="20" w:firstLine="397"/>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w:t>
      </w:r>
      <w:r>
        <w:rPr>
          <w:rFonts w:ascii="Times New Roman" w:cs="Times New Roman" w:eastAsia="Times New Roman" w:hAnsi="Times New Roman"/>
          <w:sz w:val="18"/>
          <w:szCs w:val="18"/>
          <w:color w:val="auto"/>
        </w:rPr>
        <w:t>Our bylaws establish advance notice procedures with regard to stockholder proposals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earlier than the close of business on the 120th day, nor later than the close of business on the 90th day, prior to the first anniversary date of the annual meeting for the preceding year. The notice must contain certain information specified in the bylaws.</w:t>
      </w:r>
    </w:p>
    <w:p>
      <w:pPr>
        <w:spacing w:after="0" w:line="88" w:lineRule="exact"/>
        <w:rPr>
          <w:sz w:val="20"/>
          <w:szCs w:val="20"/>
          <w:color w:val="auto"/>
        </w:rPr>
      </w:pPr>
    </w:p>
    <w:p>
      <w:pPr>
        <w:ind w:left="700" w:firstLine="397"/>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Amendment to Bylaws and Charter. </w:t>
      </w:r>
      <w:r>
        <w:rPr>
          <w:rFonts w:ascii="Times New Roman" w:cs="Times New Roman" w:eastAsia="Times New Roman" w:hAnsi="Times New Roman"/>
          <w:sz w:val="18"/>
          <w:szCs w:val="18"/>
          <w:color w:val="auto"/>
        </w:rPr>
        <w:t>As required by the DGCL, any amendment of our charter must first be approved by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Board of Directors and, if required by law or 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certificate of incorporation must be approved by no less than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xml:space="preserve"> percent of the voting power of all of the shares of capital stock issued and outstanding and entitled to vote generally in any election of directors, voting together as a single class.</w:t>
      </w:r>
    </w:p>
    <w:p>
      <w:pPr>
        <w:spacing w:after="0" w:line="38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5" w:right="10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firstLine="39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Blank Check Preferred Stock. </w:t>
      </w:r>
      <w:r>
        <w:rPr>
          <w:rFonts w:ascii="Times New Roman" w:cs="Times New Roman" w:eastAsia="Times New Roman" w:hAnsi="Times New Roman"/>
          <w:sz w:val="18"/>
          <w:szCs w:val="18"/>
          <w:color w:val="auto"/>
        </w:rPr>
        <w:t>Our charter provides for 10,000,000 authorized shares of preferred stock. The existence of authorized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Corporate Law</w:t>
      </w:r>
    </w:p>
    <w:p>
      <w:pPr>
        <w:spacing w:after="0" w:line="135"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95" w:lineRule="exact"/>
        <w:rPr>
          <w:sz w:val="20"/>
          <w:szCs w:val="20"/>
          <w:color w:val="auto"/>
        </w:rPr>
      </w:pPr>
    </w:p>
    <w:p>
      <w:pPr>
        <w:ind w:left="1700" w:right="20" w:hanging="211"/>
        <w:spacing w:after="0" w:line="282" w:lineRule="auto"/>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700" w:right="80" w:hanging="211"/>
        <w:spacing w:after="0" w:line="261" w:lineRule="auto"/>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71" w:lineRule="exact"/>
        <w:rPr>
          <w:rFonts w:ascii="Times New Roman" w:cs="Times New Roman" w:eastAsia="Times New Roman" w:hAnsi="Times New Roman"/>
          <w:sz w:val="18"/>
          <w:szCs w:val="18"/>
          <w:color w:val="auto"/>
        </w:rPr>
      </w:pPr>
    </w:p>
    <w:p>
      <w:pPr>
        <w:ind w:left="1700" w:right="160" w:hanging="211"/>
        <w:spacing w:after="0" w:line="266" w:lineRule="auto"/>
        <w:tabs>
          <w:tab w:leader="none" w:pos="1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Limitations of Director Liability and Indemnification Directors, Officers and Employees</w:t>
      </w:r>
    </w:p>
    <w:p>
      <w:pPr>
        <w:spacing w:after="0" w:line="135" w:lineRule="exact"/>
        <w:rPr>
          <w:sz w:val="20"/>
          <w:szCs w:val="20"/>
          <w:color w:val="auto"/>
        </w:rPr>
      </w:pPr>
    </w:p>
    <w:p>
      <w:pPr>
        <w:ind w:left="700" w:right="400" w:firstLine="397"/>
        <w:spacing w:after="0" w:line="266" w:lineRule="auto"/>
        <w:rPr>
          <w:sz w:val="20"/>
          <w:szCs w:val="20"/>
          <w:color w:val="auto"/>
        </w:rPr>
      </w:pPr>
      <w:r>
        <w:rPr>
          <w:rFonts w:ascii="Times New Roman" w:cs="Times New Roman" w:eastAsia="Times New Roman" w:hAnsi="Times New Roman"/>
          <w:sz w:val="18"/>
          <w:szCs w:val="18"/>
          <w:color w:val="auto"/>
        </w:rPr>
        <w:t>As permitted by the DGCL, provisions in our charter and bylaws limit or eliminate the personal liability of our directors. Consequently, directors will not be personally liable to us or our stockholders for monetary damages or breach of fiduciary duty as a director, except for liability for:</w:t>
      </w:r>
    </w:p>
    <w:p>
      <w:pPr>
        <w:spacing w:after="0" w:line="82" w:lineRule="exact"/>
        <w:rPr>
          <w:sz w:val="20"/>
          <w:szCs w:val="20"/>
          <w:color w:val="auto"/>
        </w:rPr>
      </w:pPr>
    </w:p>
    <w:p>
      <w:pPr>
        <w:ind w:left="1700" w:hanging="211"/>
        <w:spacing w:after="0"/>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unlawful payments related to dividends or unlawful stock repurchases, redemptions or other distributions; or</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480" w:firstLine="397"/>
        <w:spacing w:after="0" w:line="282" w:lineRule="auto"/>
        <w:rPr>
          <w:sz w:val="20"/>
          <w:szCs w:val="20"/>
          <w:color w:val="auto"/>
        </w:rPr>
      </w:pPr>
      <w:r>
        <w:rPr>
          <w:rFonts w:ascii="Times New Roman" w:cs="Times New Roman" w:eastAsia="Times New Roman" w:hAnsi="Times New Roman"/>
          <w:sz w:val="18"/>
          <w:szCs w:val="18"/>
          <w:color w:val="auto"/>
        </w:rPr>
        <w:t>These limitations of liability do not alter director liability under the federal securities laws and do not affect the availability of equitable remedies, such as an injunction or rescission.</w:t>
      </w:r>
    </w:p>
    <w:p>
      <w:pPr>
        <w:spacing w:after="0" w:line="6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In addition, our bylaws provide that:</w:t>
      </w:r>
    </w:p>
    <w:p>
      <w:pPr>
        <w:spacing w:after="0" w:line="131" w:lineRule="exact"/>
        <w:rPr>
          <w:sz w:val="20"/>
          <w:szCs w:val="20"/>
          <w:color w:val="auto"/>
        </w:rPr>
      </w:pPr>
    </w:p>
    <w:p>
      <w:pPr>
        <w:ind w:left="1700" w:right="20" w:hanging="211"/>
        <w:spacing w:after="0" w:line="266" w:lineRule="auto"/>
        <w:tabs>
          <w:tab w:leader="none" w:pos="1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and</w:t>
      </w:r>
    </w:p>
    <w:p>
      <w:pPr>
        <w:spacing w:after="0" w:line="68" w:lineRule="exact"/>
        <w:rPr>
          <w:rFonts w:ascii="Times New Roman" w:cs="Times New Roman" w:eastAsia="Times New Roman" w:hAnsi="Times New Roman"/>
          <w:sz w:val="18"/>
          <w:szCs w:val="18"/>
          <w:color w:val="auto"/>
        </w:rPr>
      </w:pPr>
    </w:p>
    <w:p>
      <w:pPr>
        <w:ind w:left="1700" w:right="540" w:hanging="211"/>
        <w:spacing w:after="0" w:line="282" w:lineRule="auto"/>
        <w:tabs>
          <w:tab w:leader="none" w:pos="17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advance expenses, including attorneys’ fees, to our directors and, in the discretion of our Board of Directors, certain officers and employees, in connection with legal proceedings, subject to limited exceptions.</w:t>
      </w:r>
    </w:p>
    <w:p>
      <w:pPr>
        <w:spacing w:after="0" w:line="67"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86" w:lineRule="exact"/>
        <w:rPr>
          <w:sz w:val="20"/>
          <w:szCs w:val="20"/>
          <w:color w:val="auto"/>
        </w:rPr>
      </w:pPr>
    </w:p>
    <w:p>
      <w:pPr>
        <w:ind w:left="700" w:right="60" w:firstLine="397"/>
        <w:spacing w:after="0" w:line="258" w:lineRule="auto"/>
        <w:rPr>
          <w:sz w:val="20"/>
          <w:szCs w:val="20"/>
          <w:color w:val="auto"/>
        </w:rPr>
      </w:pPr>
      <w:r>
        <w:rPr>
          <w:rFonts w:ascii="Times New Roman" w:cs="Times New Roman" w:eastAsia="Times New Roman" w:hAnsi="Times New Roman"/>
          <w:sz w:val="18"/>
          <w:szCs w:val="18"/>
          <w:color w:val="auto"/>
        </w:rPr>
        <w:t>We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Grand Canyon Education, we have been informed that in the opinion of the SEC such indemnification is against public policy as expressed in the Securities Act and is therefore unenforceable.</w:t>
      </w:r>
    </w:p>
    <w:p>
      <w:pPr>
        <w:spacing w:after="0" w:line="89"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the indemnification agreements and the insurance are necessary to attract and retain talented and experienced directors and officers.</w:t>
      </w:r>
    </w:p>
    <w:p>
      <w:pPr>
        <w:spacing w:after="0" w:line="93" w:lineRule="exact"/>
        <w:rPr>
          <w:sz w:val="20"/>
          <w:szCs w:val="20"/>
          <w:color w:val="auto"/>
        </w:rPr>
      </w:pPr>
    </w:p>
    <w:p>
      <w:pPr>
        <w:ind w:left="700" w:right="200" w:firstLine="397"/>
        <w:spacing w:after="0" w:line="313" w:lineRule="auto"/>
        <w:rPr>
          <w:sz w:val="20"/>
          <w:szCs w:val="20"/>
          <w:color w:val="auto"/>
        </w:rPr>
      </w:pPr>
      <w:r>
        <w:rPr>
          <w:rFonts w:ascii="Times New Roman" w:cs="Times New Roman" w:eastAsia="Times New Roman" w:hAnsi="Times New Roman"/>
          <w:sz w:val="17"/>
          <w:szCs w:val="17"/>
          <w:color w:val="auto"/>
        </w:rPr>
        <w:t>At present, there is no pending litigation or proceeding involving any of our directors or officers where indemnification will be required or permitted. We are not aware of any threatened litigation or proceeding that might result in a claim for such indemnification.</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“LOPE.”</w:t>
      </w:r>
    </w:p>
    <w:p>
      <w:pPr>
        <w:spacing w:after="0" w:line="2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MATERIAL U.S. FEDERAL INCOME AND ESTATE TAX CONSIDERATIONS</w:t>
      </w:r>
    </w:p>
    <w:p>
      <w:pPr>
        <w:spacing w:after="0" w:line="31"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FOR NON-U.S. HOLDERS</w:t>
      </w:r>
    </w:p>
    <w:p>
      <w:pPr>
        <w:spacing w:after="0" w:line="112" w:lineRule="exact"/>
        <w:rPr>
          <w:sz w:val="20"/>
          <w:szCs w:val="20"/>
          <w:color w:val="auto"/>
        </w:rPr>
      </w:pPr>
    </w:p>
    <w:p>
      <w:pPr>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and estate tax consequences to non-U.S. Holders with respect to the acquisition, ownership and disposition of our common stock. In general, a “Non-U.S. Holder” is any holder of our common stock other than the following:</w:t>
      </w:r>
    </w:p>
    <w:p>
      <w:pPr>
        <w:spacing w:after="0" w:line="82" w:lineRule="exact"/>
        <w:rPr>
          <w:sz w:val="20"/>
          <w:szCs w:val="20"/>
          <w:color w:val="auto"/>
        </w:rPr>
      </w:pPr>
    </w:p>
    <w:p>
      <w:pPr>
        <w:ind w:left="1700" w:right="60" w:hanging="211"/>
        <w:spacing w:after="0" w:line="266" w:lineRule="auto"/>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 including an alien individual who is a lawful permanent resident of the United States or meets the “substantial presence” test under section 7701(b)(3) of the Internal Revenue Code of 1986, as amended, or the Code;</w:t>
      </w:r>
    </w:p>
    <w:p>
      <w:pPr>
        <w:spacing w:after="0" w:line="68" w:lineRule="exact"/>
        <w:rPr>
          <w:rFonts w:ascii="Times New Roman" w:cs="Times New Roman" w:eastAsia="Times New Roman" w:hAnsi="Times New Roman"/>
          <w:sz w:val="18"/>
          <w:szCs w:val="18"/>
          <w:color w:val="auto"/>
        </w:rPr>
      </w:pPr>
    </w:p>
    <w:p>
      <w:pPr>
        <w:ind w:left="1700" w:hanging="211"/>
        <w:spacing w:after="0" w:line="282" w:lineRule="auto"/>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created or organized in the United States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700" w:right="20" w:hanging="211"/>
        <w:spacing w:after="0" w:line="282" w:lineRule="auto"/>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can exercise primary supervision over the administration of the trust and one or more U.S. persons can control all substantial decisions of the trust, or (ii) it has a valid election to be treated as a U.S. person in effect.</w:t>
      </w:r>
    </w:p>
    <w:p>
      <w:pPr>
        <w:spacing w:after="0" w:line="67" w:lineRule="exact"/>
        <w:rPr>
          <w:sz w:val="20"/>
          <w:szCs w:val="20"/>
          <w:color w:val="auto"/>
        </w:rPr>
      </w:pPr>
    </w:p>
    <w:p>
      <w:pPr>
        <w:ind w:left="700" w:right="120" w:firstLine="397"/>
        <w:spacing w:after="0" w:line="272" w:lineRule="auto"/>
        <w:rPr>
          <w:sz w:val="20"/>
          <w:szCs w:val="20"/>
          <w:color w:val="auto"/>
        </w:rPr>
      </w:pPr>
      <w:r>
        <w:rPr>
          <w:rFonts w:ascii="Times New Roman" w:cs="Times New Roman" w:eastAsia="Times New Roman" w:hAnsi="Times New Roman"/>
          <w:sz w:val="17"/>
          <w:szCs w:val="17"/>
          <w:color w:val="auto"/>
        </w:rPr>
        <w:t>This discussion is based on current provisions of the Code, Treasury Regulations promulgated under the Code, judicial opinions, published positions of the Internal Revenue Service, or IRS, and all other applicable authorities, all of which are subject to change, possibly with retroactive effect. This discussion does not address all aspects of U.S. federal income and estate taxation or any aspects of state, local, or non-U.S. taxation, nor does it consider any specific facts or circumstances that may apply to particular Non-U.S. Holders that may be subject to special treatment under the U.S. federal income tax laws, such as insurance companies, tax-exempt organizations, financial institutions, brokers, dealers in securities, and U.S. expatriates. If a partnership is a beneficial owner of our common stock, the treatment of a partner in the partnership will generally depend upon the status of the partner and the activities of the partnership. This discussion assumes that the Non-U.S. Holder will hold our common stock as a capital asset, generally property held for investment.</w:t>
      </w:r>
    </w:p>
    <w:p>
      <w:pPr>
        <w:spacing w:after="0" w:line="7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PROSPECTIVE INVESTORS ARE URGED TO CONSULT THEIR TAX ADVISORS REGARDING THE</w:t>
      </w:r>
    </w:p>
    <w:p>
      <w:pPr>
        <w:spacing w:after="0" w:line="31" w:lineRule="exact"/>
        <w:rPr>
          <w:sz w:val="20"/>
          <w:szCs w:val="20"/>
          <w:color w:val="auto"/>
        </w:rPr>
      </w:pPr>
    </w:p>
    <w:p>
      <w:pPr>
        <w:ind w:left="700" w:right="540"/>
        <w:spacing w:after="0" w:line="261" w:lineRule="auto"/>
        <w:rPr>
          <w:sz w:val="20"/>
          <w:szCs w:val="20"/>
          <w:color w:val="auto"/>
        </w:rPr>
      </w:pPr>
      <w:r>
        <w:rPr>
          <w:rFonts w:ascii="Times New Roman" w:cs="Times New Roman" w:eastAsia="Times New Roman" w:hAnsi="Times New Roman"/>
          <w:sz w:val="18"/>
          <w:szCs w:val="18"/>
          <w:b w:val="1"/>
          <w:bCs w:val="1"/>
          <w:color w:val="auto"/>
        </w:rPr>
        <w:t>U.S. FEDERAL, STATE, LOCAL, AND NON-U.S. INCOME AND OTHER TAX CONSIDERATIONS OF ACQUIRING, HOLDING, AND DISPOSING OF SHARES OF COMMON STOCK.</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ind w:left="700" w:right="60" w:firstLine="397"/>
        <w:spacing w:after="0" w:line="256" w:lineRule="auto"/>
        <w:rPr>
          <w:sz w:val="20"/>
          <w:szCs w:val="20"/>
          <w:color w:val="auto"/>
        </w:rPr>
      </w:pPr>
      <w:r>
        <w:rPr>
          <w:rFonts w:ascii="Times New Roman" w:cs="Times New Roman" w:eastAsia="Times New Roman" w:hAnsi="Times New Roman"/>
          <w:sz w:val="18"/>
          <w:szCs w:val="18"/>
          <w:color w:val="auto"/>
        </w:rPr>
        <w:t>As described above under “Dividend Policy,” we do not anticipate declaring or paying any cash dividends on our common stock in the foreseeable future. However, if we do make distributions on our common stock, those payments will constitute dividends for U.S. tax purposes to the extent paid from our current and accumulated earnings and profits, as determined under U.S. federal income tax principles. To the extent those distributions exceed our current and accumulated earnings and profits, they will constitute a return of capital and will first reduce the recipient’s basis in our common stock, but not below zero, and then will be treated as gain from the sale of stock as described below under “— Gain on Sale or Other Disposition of Common Stock.”</w:t>
      </w:r>
    </w:p>
    <w:p>
      <w:pPr>
        <w:spacing w:after="0" w:line="93" w:lineRule="exact"/>
        <w:rPr>
          <w:sz w:val="20"/>
          <w:szCs w:val="20"/>
          <w:color w:val="auto"/>
        </w:rPr>
      </w:pPr>
    </w:p>
    <w:p>
      <w:pPr>
        <w:ind w:left="700" w:right="40" w:firstLine="397"/>
        <w:spacing w:after="0" w:line="255" w:lineRule="auto"/>
        <w:rPr>
          <w:sz w:val="20"/>
          <w:szCs w:val="20"/>
          <w:color w:val="auto"/>
        </w:rPr>
      </w:pPr>
      <w:r>
        <w:rPr>
          <w:rFonts w:ascii="Times New Roman" w:cs="Times New Roman" w:eastAsia="Times New Roman" w:hAnsi="Times New Roman"/>
          <w:sz w:val="18"/>
          <w:szCs w:val="18"/>
          <w:color w:val="auto"/>
        </w:rPr>
        <w:t>In general, dividends paid to a Non-U.S. Holder will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Under applicable Treasury Regulations, a Non-U.S. Holder will be required to satisfy certain certification requirements, generally on IRS Form W-8BEN, directly or through an intermediary, in order to claim a reduced rate of withholding under an applicable income tax treaty. If tax is withheld in an amount in excess of the amount prescribed by an applicable income tax treaty, a refund of the excess amount may generally be obtained by filing an appropriate claim for refund with the IRS.</w:t>
      </w:r>
    </w:p>
    <w:p>
      <w:pPr>
        <w:spacing w:after="0" w:line="37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Dividends that are effectively connected with such a U.S. trade or business (and where a tax treaty applies, are attributable to a U.S. permanent establishment maintained by the recipient) generally will not be subject to U.S. withholding tax if the Non-U.S. Holder files the required forms, including IRS Form W-8ECI, or any successor form, with the payor of the dividend, but instead generally will be subject to U.S. federal income tax on a net income basis in the same manner as if the Non-U.S. Holder were a resident of the</w:t>
      </w:r>
    </w:p>
    <w:p>
      <w:pPr>
        <w:spacing w:after="0" w:line="3" w:lineRule="exact"/>
        <w:rPr>
          <w:sz w:val="20"/>
          <w:szCs w:val="20"/>
          <w:color w:val="auto"/>
        </w:rPr>
      </w:pPr>
    </w:p>
    <w:p>
      <w:pPr>
        <w:ind w:left="700" w:right="120"/>
        <w:spacing w:after="0" w:line="255" w:lineRule="auto"/>
        <w:rPr>
          <w:sz w:val="20"/>
          <w:szCs w:val="20"/>
          <w:color w:val="auto"/>
        </w:rPr>
      </w:pPr>
      <w:r>
        <w:rPr>
          <w:rFonts w:ascii="Times New Roman" w:cs="Times New Roman" w:eastAsia="Times New Roman" w:hAnsi="Times New Roman"/>
          <w:sz w:val="18"/>
          <w:szCs w:val="18"/>
          <w:color w:val="auto"/>
        </w:rPr>
        <w:t>United States. A corporate Non-U.S. Holder that receives effectively connected dividends may be subject to an additional branch profits tax at a rate of 30%, or a lower rate prescribed by an applicable income tax treaty, with respect to effectively connected dividends (subject to adjustment).</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135" w:lineRule="exact"/>
        <w:rPr>
          <w:sz w:val="20"/>
          <w:szCs w:val="20"/>
          <w:color w:val="auto"/>
        </w:rPr>
      </w:pPr>
    </w:p>
    <w:p>
      <w:pPr>
        <w:ind w:left="700" w:right="380" w:firstLine="397"/>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realized upon the sale or other taxable disposition of the Non-U.S. Holder’s shares of common stock unless:</w:t>
      </w:r>
    </w:p>
    <w:p>
      <w:pPr>
        <w:spacing w:after="0" w:line="67" w:lineRule="exact"/>
        <w:rPr>
          <w:sz w:val="20"/>
          <w:szCs w:val="20"/>
          <w:color w:val="auto"/>
        </w:rPr>
      </w:pPr>
    </w:p>
    <w:p>
      <w:pPr>
        <w:ind w:left="1700" w:hanging="211"/>
        <w:spacing w:after="0"/>
        <w:tabs>
          <w:tab w:leader="none" w:pos="1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w:t>
      </w:r>
    </w:p>
    <w:p>
      <w:pPr>
        <w:spacing w:after="0" w:line="117" w:lineRule="exact"/>
        <w:rPr>
          <w:rFonts w:ascii="Times New Roman" w:cs="Times New Roman" w:eastAsia="Times New Roman" w:hAnsi="Times New Roman"/>
          <w:sz w:val="18"/>
          <w:szCs w:val="18"/>
          <w:color w:val="auto"/>
        </w:rPr>
      </w:pPr>
    </w:p>
    <w:p>
      <w:pPr>
        <w:ind w:left="1700" w:right="20" w:hanging="211"/>
        <w:spacing w:after="0" w:line="282" w:lineRule="auto"/>
        <w:tabs>
          <w:tab w:leader="none" w:pos="1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holds shares of common stock as capital assets and is present in the United States for 183 days or more in the taxable year of disposition and various other conditions are met; or</w:t>
      </w:r>
    </w:p>
    <w:p>
      <w:pPr>
        <w:spacing w:after="0" w:line="53" w:lineRule="exact"/>
        <w:rPr>
          <w:rFonts w:ascii="Times New Roman" w:cs="Times New Roman" w:eastAsia="Times New Roman" w:hAnsi="Times New Roman"/>
          <w:sz w:val="18"/>
          <w:szCs w:val="18"/>
          <w:color w:val="auto"/>
        </w:rPr>
      </w:pPr>
    </w:p>
    <w:p>
      <w:pPr>
        <w:ind w:left="1700" w:right="100" w:hanging="211"/>
        <w:spacing w:after="0" w:line="266" w:lineRule="auto"/>
        <w:tabs>
          <w:tab w:leader="none" w:pos="1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w:t>
      </w:r>
    </w:p>
    <w:p>
      <w:pPr>
        <w:spacing w:after="0" w:line="82" w:lineRule="exact"/>
        <w:rPr>
          <w:sz w:val="20"/>
          <w:szCs w:val="20"/>
          <w:color w:val="auto"/>
        </w:rPr>
      </w:pPr>
    </w:p>
    <w:p>
      <w:pPr>
        <w:ind w:left="700" w:right="200" w:firstLine="397"/>
        <w:spacing w:after="0" w:line="277" w:lineRule="auto"/>
        <w:rPr>
          <w:sz w:val="20"/>
          <w:szCs w:val="20"/>
          <w:color w:val="auto"/>
        </w:rPr>
      </w:pPr>
      <w:r>
        <w:rPr>
          <w:rFonts w:ascii="Times New Roman" w:cs="Times New Roman" w:eastAsia="Times New Roman" w:hAnsi="Times New Roman"/>
          <w:sz w:val="17"/>
          <w:szCs w:val="17"/>
          <w:color w:val="auto"/>
        </w:rPr>
        <w:t>If the recipient is a non-United States holder described in the first bullet above, the recipient will be required to pay tax on the net gain derived from the sale under regular graduated U.S. federal income tax rates, and corporate non-United States holders described in the first bullet above may be subject to the branch profits tax at a 30% rate or such lower rate as may be specified by an applicable income tax treaty. If the recipient is an individual non-United States holder described in the second bullet above, the recipient will be required to pay a flat 30% tax on the gain derived from the sale, which tax may be offset by United States source capital losses.</w:t>
      </w:r>
    </w:p>
    <w:p>
      <w:pPr>
        <w:spacing w:after="0" w:line="74" w:lineRule="exact"/>
        <w:rPr>
          <w:sz w:val="20"/>
          <w:szCs w:val="20"/>
          <w:color w:val="auto"/>
        </w:rPr>
      </w:pPr>
    </w:p>
    <w:p>
      <w:pPr>
        <w:ind w:left="700" w:right="80" w:firstLine="397"/>
        <w:spacing w:after="0" w:line="258"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the Non-U.S. Holder actually or constructively held more than 5% of our common stock</w:t>
      </w: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35" w:lineRule="exact"/>
        <w:rPr>
          <w:sz w:val="20"/>
          <w:szCs w:val="20"/>
          <w:color w:val="auto"/>
        </w:rPr>
      </w:pPr>
    </w:p>
    <w:p>
      <w:pPr>
        <w:jc w:val="both"/>
        <w:ind w:left="700" w:right="60" w:firstLine="397"/>
        <w:spacing w:after="0" w:line="281" w:lineRule="auto"/>
        <w:rPr>
          <w:sz w:val="20"/>
          <w:szCs w:val="20"/>
          <w:color w:val="auto"/>
        </w:rPr>
      </w:pPr>
      <w:r>
        <w:rPr>
          <w:rFonts w:ascii="Times New Roman" w:cs="Times New Roman" w:eastAsia="Times New Roman" w:hAnsi="Times New Roman"/>
          <w:sz w:val="17"/>
          <w:szCs w:val="17"/>
          <w:color w:val="auto"/>
        </w:rPr>
        <w:t>Generally, we must report annually to the IRS the amount of dividends paid, the name and address of the recipient, and the amount, if any, of tax withheld. A similar report is sent to the recipient. These information reporting requirements apply even if withholding was not required because the dividends were effectively connected dividends or withholding was reduced by an applicable income tax treaty. Under tax treaties or other agreements, the IRS may make its reports available to tax authorities in the recipient’s country of residence.</w:t>
      </w:r>
    </w:p>
    <w:p>
      <w:pPr>
        <w:spacing w:after="0" w:line="70" w:lineRule="exact"/>
        <w:rPr>
          <w:sz w:val="20"/>
          <w:szCs w:val="20"/>
          <w:color w:val="auto"/>
        </w:rPr>
      </w:pPr>
    </w:p>
    <w:p>
      <w:pPr>
        <w:jc w:val="both"/>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Payments made to a Non-U.S. Holder that is not an exempt recipient generally will be subject to backup withholding, currently at a rate of 28%, unless a Non-U.S. Holder certifies as to its foreign status, which certification may be made on IRS Form W-8BEN.</w:t>
      </w:r>
    </w:p>
    <w:p>
      <w:pPr>
        <w:spacing w:after="0" w:line="67"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Proceeds from the disposition of common stock by a Non-U.S. Holder effected by or through a United States office of a broker will be subject to information reporting and backup withholding, currently at a rate of 28% of the gross proceeds, unless the Non-U.S. Holder certifies to the payor under penalties of perjury</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200"/>
        <w:spacing w:after="0" w:line="272" w:lineRule="auto"/>
        <w:rPr>
          <w:sz w:val="20"/>
          <w:szCs w:val="20"/>
          <w:color w:val="auto"/>
        </w:rPr>
      </w:pPr>
      <w:r>
        <w:rPr>
          <w:rFonts w:ascii="Times New Roman" w:cs="Times New Roman" w:eastAsia="Times New Roman" w:hAnsi="Times New Roman"/>
          <w:sz w:val="17"/>
          <w:szCs w:val="17"/>
          <w:color w:val="auto"/>
        </w:rPr>
        <w:t>as to, among other things, its address and status as a Non-U.S. Holder or otherwise establishes an exemption. Generally, United States information reporting and backup withholding will not apply to a payment of disposition proceeds if the transaction is effected outside the United States by or through a non-U.S. office of a broker. However, if the broker is, for U.S. federal income tax purposes, a</w:t>
      </w:r>
    </w:p>
    <w:p>
      <w:pPr>
        <w:spacing w:after="0" w:line="2" w:lineRule="exact"/>
        <w:rPr>
          <w:sz w:val="20"/>
          <w:szCs w:val="20"/>
          <w:color w:val="auto"/>
        </w:rPr>
      </w:pPr>
    </w:p>
    <w:p>
      <w:pPr>
        <w:jc w:val="both"/>
        <w:ind w:left="700" w:right="160"/>
        <w:spacing w:after="0" w:line="255" w:lineRule="auto"/>
        <w:rPr>
          <w:sz w:val="20"/>
          <w:szCs w:val="20"/>
          <w:color w:val="auto"/>
        </w:rPr>
      </w:pPr>
      <w:r>
        <w:rPr>
          <w:rFonts w:ascii="Times New Roman" w:cs="Times New Roman" w:eastAsia="Times New Roman" w:hAnsi="Times New Roman"/>
          <w:sz w:val="18"/>
          <w:szCs w:val="18"/>
          <w:color w:val="auto"/>
        </w:rPr>
        <w:t>U.S. person, a controlled foreign corporation, a foreign person who derives 50% or more of its gross income for specified periods from the conduct of a U.S. trade or business, specified U.S. branches of foreign banks or insurance companies or a foreign partnership with certain connections to the United States, information reporting but not backup withholding will apply unless:</w:t>
      </w:r>
    </w:p>
    <w:p>
      <w:pPr>
        <w:spacing w:after="0" w:line="92" w:lineRule="exact"/>
        <w:rPr>
          <w:sz w:val="20"/>
          <w:szCs w:val="20"/>
          <w:color w:val="auto"/>
        </w:rPr>
      </w:pPr>
    </w:p>
    <w:p>
      <w:pPr>
        <w:ind w:left="1700" w:hanging="211"/>
        <w:spacing w:after="0"/>
        <w:tabs>
          <w:tab w:leader="none" w:pos="1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broker has documentary evidence in its files that the holder is a Non-U.S. Holder and other conditions are met; or</w:t>
      </w:r>
    </w:p>
    <w:p>
      <w:pPr>
        <w:spacing w:after="0" w:line="117"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otherwise establishes an exemption.</w:t>
      </w:r>
    </w:p>
    <w:p>
      <w:pPr>
        <w:spacing w:after="0" w:line="131" w:lineRule="exact"/>
        <w:rPr>
          <w:sz w:val="20"/>
          <w:szCs w:val="20"/>
          <w:color w:val="auto"/>
        </w:rPr>
      </w:pPr>
    </w:p>
    <w:p>
      <w:pPr>
        <w:ind w:left="700" w:firstLine="397"/>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amount of tax withheld is applied to the U.S. federal income tax liability of persons subject to backup withholding. If backup withholding results in an overpayment of U.S. federal income taxes, a refund may be obtained, provided the required documents are filed with the IRS.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Estate Tax</w:t>
      </w:r>
    </w:p>
    <w:p>
      <w:pPr>
        <w:spacing w:after="0" w:line="135" w:lineRule="exact"/>
        <w:rPr>
          <w:sz w:val="20"/>
          <w:szCs w:val="20"/>
          <w:color w:val="auto"/>
        </w:rPr>
      </w:pPr>
    </w:p>
    <w:p>
      <w:pPr>
        <w:jc w:val="both"/>
        <w:ind w:left="700" w:right="60" w:firstLine="397"/>
        <w:spacing w:after="0" w:line="266" w:lineRule="auto"/>
        <w:rPr>
          <w:sz w:val="20"/>
          <w:szCs w:val="20"/>
          <w:color w:val="auto"/>
        </w:rPr>
      </w:pPr>
      <w:r>
        <w:rPr>
          <w:rFonts w:ascii="Times New Roman" w:cs="Times New Roman" w:eastAsia="Times New Roman" w:hAnsi="Times New Roman"/>
          <w:sz w:val="18"/>
          <w:szCs w:val="18"/>
          <w:color w:val="auto"/>
        </w:rPr>
        <w:t>Our common stock owned or treated as owned by an individual who is not a citizen or resident of the United States (as specifically defined for U.S. federal estate tax purposes) at the time of death will be includible in the individual’s gross estate for U.S. federal estate tax purposes, unless an applicable estate tax treaty provides otherwise.</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080" w:type="dxa"/>
            <w:vAlign w:val="bottom"/>
          </w:tcPr>
          <w:p>
            <w:pPr>
              <w:spacing w:after="0"/>
              <w:rPr>
                <w:sz w:val="17"/>
                <w:szCs w:val="17"/>
                <w:color w:val="auto"/>
              </w:rPr>
            </w:pPr>
          </w:p>
        </w:tc>
      </w:tr>
      <w:tr>
        <w:trPr>
          <w:trHeight w:val="574"/>
        </w:trPr>
        <w:tc>
          <w:tcPr>
            <w:tcW w:w="1360" w:type="dxa"/>
            <w:vAlign w:val="bottom"/>
            <w:tcBorders>
              <w:top w:val="single" w:sz="8" w:color="0000EE"/>
            </w:tcBorders>
          </w:tcPr>
          <w:p>
            <w:pPr>
              <w:spacing w:after="0"/>
              <w:rPr>
                <w:sz w:val="24"/>
                <w:szCs w:val="24"/>
                <w:color w:val="auto"/>
              </w:rPr>
            </w:pPr>
          </w:p>
        </w:tc>
        <w:tc>
          <w:tcPr>
            <w:tcW w:w="65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2080" w:type="dxa"/>
            <w:vAlign w:val="bottom"/>
          </w:tcPr>
          <w:p>
            <w:pPr>
              <w:spacing w:after="0"/>
              <w:rPr>
                <w:sz w:val="24"/>
                <w:szCs w:val="24"/>
                <w:color w:val="auto"/>
              </w:rPr>
            </w:pPr>
          </w:p>
        </w:tc>
      </w:tr>
      <w:tr>
        <w:trPr>
          <w:trHeight w:val="338"/>
        </w:trPr>
        <w:tc>
          <w:tcPr>
            <w:tcW w:w="79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p>
        </w:tc>
        <w:tc>
          <w:tcPr>
            <w:tcW w:w="20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 2009, we and the selling</w:t>
            </w:r>
          </w:p>
        </w:tc>
      </w:tr>
    </w:tbl>
    <w:p>
      <w:pPr>
        <w:ind w:left="700" w:right="360"/>
        <w:spacing w:after="0" w:line="290" w:lineRule="auto"/>
        <w:rPr>
          <w:sz w:val="20"/>
          <w:szCs w:val="20"/>
          <w:color w:val="auto"/>
        </w:rPr>
      </w:pPr>
      <w:r>
        <w:rPr>
          <w:rFonts w:ascii="Times New Roman" w:cs="Times New Roman" w:eastAsia="Times New Roman" w:hAnsi="Times New Roman"/>
          <w:sz w:val="17"/>
          <w:szCs w:val="17"/>
          <w:color w:val="auto"/>
        </w:rPr>
        <w:t>stockholders have agreed to sell to the underwriters named below, for whom Credit Suisse Securities (USA) LLC and Merrill Lynch, Pierce, Fenner &amp; Smith Incorporated are acting as representatives, the following respective numbers of shares of common stock:</w:t>
      </w:r>
    </w:p>
    <w:p>
      <w:pPr>
        <w:spacing w:after="0" w:line="70" w:lineRule="exact"/>
        <w:rPr>
          <w:sz w:val="20"/>
          <w:szCs w:val="20"/>
          <w:color w:val="auto"/>
        </w:rPr>
      </w:pPr>
    </w:p>
    <w:tbl>
      <w:tblPr>
        <w:tblLayout w:type="fixed"/>
        <w:tblInd w:w="700" w:type="dxa"/>
        <w:tblCellMar>
          <w:top w:w="0" w:type="dxa"/>
          <w:left w:w="0" w:type="dxa"/>
          <w:bottom w:w="0" w:type="dxa"/>
          <w:right w:w="0" w:type="dxa"/>
        </w:tblCellMar>
      </w:tblPr>
      <w:tr>
        <w:trPr>
          <w:trHeight w:val="187"/>
        </w:trPr>
        <w:tc>
          <w:tcPr>
            <w:tcW w:w="8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44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Merrill Lynch, Pierce, Fenner &amp; Smith</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Incorporated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BMO Capital Markets Corp.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Jaffray &amp; Co.</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Barrington Research Associates, Inc.</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lef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700" w:right="80" w:firstLine="397"/>
        <w:spacing w:after="0" w:line="261"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shares of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may be terminated.</w:t>
      </w:r>
    </w:p>
    <w:p>
      <w:pPr>
        <w:spacing w:after="0" w:line="86" w:lineRule="exact"/>
        <w:rPr>
          <w:sz w:val="20"/>
          <w:szCs w:val="20"/>
          <w:color w:val="auto"/>
        </w:rPr>
      </w:pPr>
    </w:p>
    <w:p>
      <w:pPr>
        <w:jc w:val="both"/>
        <w:ind w:left="700" w:right="400" w:firstLine="397"/>
        <w:spacing w:after="0" w:line="266" w:lineRule="auto"/>
        <w:rPr>
          <w:sz w:val="20"/>
          <w:szCs w:val="20"/>
          <w:color w:val="auto"/>
        </w:rPr>
      </w:pPr>
      <w:r>
        <w:rPr>
          <w:rFonts w:ascii="Times New Roman" w:cs="Times New Roman" w:eastAsia="Times New Roman" w:hAnsi="Times New Roman"/>
          <w:sz w:val="18"/>
          <w:szCs w:val="18"/>
          <w:color w:val="auto"/>
        </w:rPr>
        <w:t>The selling stockholders have granted to the underwriters a 30-day option to purchase on a pro rata basis up to an aggregate of 900,000 additional outstanding shares from such selling stockholders at the public offering price less the underwriting discounts and commissions. The option may be exercised only to cover any over-allotments of common stock.</w:t>
      </w:r>
    </w:p>
    <w:p>
      <w:pPr>
        <w:spacing w:after="0" w:line="82" w:lineRule="exact"/>
        <w:rPr>
          <w:sz w:val="20"/>
          <w:szCs w:val="20"/>
          <w:color w:val="auto"/>
        </w:rPr>
      </w:pPr>
    </w:p>
    <w:p>
      <w:pPr>
        <w:ind w:left="700" w:right="140" w:firstLine="397"/>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initially at the public offering price on the cover page of this prospectus and to selling group members at that price less a selling concession of $0.495 per share. The underwriters and selling group members may allow a discount of $.10 per share on sales to other broker/dealers. Thereafter, the representative may change the public offering price and concession and discount to other broker/dealers. We estimate that reimbursable expenses and counsel fees payable by us to the underwriters will be approximately $175,000. All items of value received by the underwriters in connection with this offering, including reimbursement of expenses and counsel fees, will not exceed eight percent of the gross offering proceeds.</w:t>
      </w:r>
    </w:p>
    <w:p>
      <w:pPr>
        <w:spacing w:after="0" w:line="9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and the selling stockholders will pay:</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2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180" w:type="dxa"/>
            <w:vAlign w:val="bottom"/>
          </w:tcPr>
          <w:p>
            <w:pPr>
              <w:spacing w:after="0"/>
              <w:rPr>
                <w:sz w:val="15"/>
                <w:szCs w:val="15"/>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 by us</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761,572</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paid by the selling</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stockholders</w:t>
            </w:r>
          </w:p>
        </w:tc>
        <w:tc>
          <w:tcPr>
            <w:tcW w:w="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4,125,000</w:t>
            </w: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 by the selling stockholders</w:t>
            </w:r>
          </w:p>
        </w:tc>
        <w:tc>
          <w:tcPr>
            <w:tcW w:w="6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700" w:right="60" w:firstLine="397"/>
        <w:spacing w:after="0" w:line="255" w:lineRule="auto"/>
        <w:rPr>
          <w:sz w:val="20"/>
          <w:szCs w:val="20"/>
          <w:color w:val="auto"/>
        </w:rPr>
      </w:pPr>
      <w:r>
        <w:rPr>
          <w:rFonts w:ascii="Times New Roman" w:cs="Times New Roman" w:eastAsia="Times New Roman" w:hAnsi="Times New Roman"/>
          <w:sz w:val="18"/>
          <w:szCs w:val="18"/>
          <w:color w:val="auto"/>
        </w:rPr>
        <w:t>We, our directors and executive officers, and the selling stockholders have agreed that we and they will not offer, sell, contract to sell, pledge, or otherwise dispose of, directly or indirectly, or file with the SEC a registration statement under the Securities Act relating to,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is to be settled by delivery of our common stock or other securities, in cash or otherwise, or publicly disclose the intention to make any offer, sale, pledge, disposition, or filing, or to enter into any transaction, swap, hedge, or other arrangement, without, in each case, the prior written consent of Credit</w:t>
      </w:r>
    </w:p>
    <w:p>
      <w:pPr>
        <w:spacing w:after="0" w:line="37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05" w:right="10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3" w:lineRule="auto"/>
        <w:rPr>
          <w:sz w:val="20"/>
          <w:szCs w:val="20"/>
          <w:color w:val="auto"/>
        </w:rPr>
      </w:pPr>
      <w:r>
        <w:rPr>
          <w:rFonts w:ascii="Times New Roman" w:cs="Times New Roman" w:eastAsia="Times New Roman" w:hAnsi="Times New Roman"/>
          <w:sz w:val="18"/>
          <w:szCs w:val="18"/>
          <w:color w:val="auto"/>
        </w:rPr>
        <w:t>Suisse Securities (USA) LLC and Merrill Lynch, Pierce, Fenner &amp; Smith Incorporated,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Credit Suisse Securities (USA) LLC and Merrill Lynch, Pierce, Fenner &amp; Smith Incorporated waive such extension in writing. The restrictions described in this paragraph do not apply to, among other things, the sale of shares to the underwriters, transactions by any person other than us relating to shares of common stock or other securities acquired in open-market transactions after the completion of the offering of shares or the offer, sale, issuance, or disposal by us of any of our securities, or any securities convertible into or exchangeable or exercisable for any of our securities, pursuant to our equity compensation plan.</w:t>
      </w:r>
    </w:p>
    <w:p>
      <w:pPr>
        <w:spacing w:after="0" w:line="98" w:lineRule="exact"/>
        <w:rPr>
          <w:sz w:val="20"/>
          <w:szCs w:val="20"/>
          <w:color w:val="auto"/>
        </w:rPr>
      </w:pPr>
    </w:p>
    <w:p>
      <w:pPr>
        <w:ind w:left="700" w:right="80" w:firstLine="397"/>
        <w:spacing w:after="0" w:line="282"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liabilities under the Securities Act, or contribute to payments that the underwriters may be required to make in that respect.</w:t>
      </w:r>
    </w:p>
    <w:p>
      <w:pPr>
        <w:spacing w:after="0" w:line="67" w:lineRule="exact"/>
        <w:rPr>
          <w:sz w:val="20"/>
          <w:szCs w:val="20"/>
          <w:color w:val="auto"/>
        </w:rPr>
      </w:pPr>
    </w:p>
    <w:p>
      <w:pPr>
        <w:ind w:left="700" w:right="100" w:firstLine="397"/>
        <w:spacing w:after="0" w:line="261" w:lineRule="auto"/>
        <w:rPr>
          <w:sz w:val="20"/>
          <w:szCs w:val="20"/>
          <w:color w:val="auto"/>
        </w:rPr>
      </w:pPr>
      <w:r>
        <w:rPr>
          <w:rFonts w:ascii="Times New Roman" w:cs="Times New Roman" w:eastAsia="Times New Roman" w:hAnsi="Times New Roman"/>
          <w:sz w:val="18"/>
          <w:szCs w:val="18"/>
          <w:color w:val="auto"/>
        </w:rPr>
        <w:t>Certain of the underwriters and their respective affiliates have from time to time performed, and may in the future perform, various financial advisory, commercial banking, and investment banking services for us and our affiliates in the ordinary course of business, for which they received, or will receive, customary fees and expenses. An affiliate of Merrill Lynch, Pierce, Fenner &amp; Smith Incorporated has also acted as lender under our term loan due 2014.</w:t>
      </w:r>
    </w:p>
    <w:p>
      <w:pPr>
        <w:spacing w:after="0" w:line="86" w:lineRule="exact"/>
        <w:rPr>
          <w:sz w:val="20"/>
          <w:szCs w:val="20"/>
          <w:color w:val="auto"/>
        </w:rPr>
      </w:pPr>
    </w:p>
    <w:p>
      <w:pPr>
        <w:ind w:left="700" w:right="460" w:firstLine="397"/>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1700" w:right="460" w:hanging="211"/>
        <w:spacing w:after="0" w:line="282" w:lineRule="auto"/>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53" w:lineRule="exact"/>
        <w:rPr>
          <w:rFonts w:ascii="Times New Roman" w:cs="Times New Roman" w:eastAsia="Times New Roman" w:hAnsi="Times New Roman"/>
          <w:sz w:val="18"/>
          <w:szCs w:val="18"/>
          <w:color w:val="auto"/>
        </w:rPr>
      </w:pPr>
    </w:p>
    <w:p>
      <w:pPr>
        <w:ind w:left="1700" w:hanging="211"/>
        <w:spacing w:after="0" w:line="256" w:lineRule="auto"/>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79" w:lineRule="exact"/>
        <w:rPr>
          <w:rFonts w:ascii="Times New Roman" w:cs="Times New Roman" w:eastAsia="Times New Roman" w:hAnsi="Times New Roman"/>
          <w:sz w:val="18"/>
          <w:szCs w:val="18"/>
          <w:color w:val="auto"/>
        </w:rPr>
      </w:pPr>
    </w:p>
    <w:p>
      <w:pPr>
        <w:ind w:left="1700" w:hanging="211"/>
        <w:spacing w:after="0" w:line="255" w:lineRule="auto"/>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77" w:lineRule="exact"/>
        <w:rPr>
          <w:rFonts w:ascii="Times New Roman" w:cs="Times New Roman" w:eastAsia="Times New Roman" w:hAnsi="Times New Roman"/>
          <w:sz w:val="18"/>
          <w:szCs w:val="18"/>
          <w:color w:val="auto"/>
        </w:rPr>
      </w:pPr>
    </w:p>
    <w:p>
      <w:pPr>
        <w:ind w:left="1700" w:right="200" w:hanging="211"/>
        <w:spacing w:after="0" w:line="266" w:lineRule="auto"/>
        <w:tabs>
          <w:tab w:leader="none" w:pos="1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 to reclaim a selling concession from a syndicate member when the common stock originally sold by the syndicate member is purchased in a stabilizing or syndicate covering transaction to cover syndicate short positions.</w:t>
      </w:r>
    </w:p>
    <w:p>
      <w:pPr>
        <w:spacing w:after="0" w:line="82" w:lineRule="exact"/>
        <w:rPr>
          <w:sz w:val="20"/>
          <w:szCs w:val="20"/>
          <w:color w:val="auto"/>
        </w:rPr>
      </w:pPr>
    </w:p>
    <w:p>
      <w:pPr>
        <w:ind w:left="700" w:right="180" w:firstLine="397"/>
        <w:spacing w:after="0" w:line="266"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82" w:lineRule="auto"/>
        <w:rPr>
          <w:sz w:val="20"/>
          <w:szCs w:val="20"/>
          <w:color w:val="auto"/>
        </w:rPr>
      </w:pPr>
      <w:r>
        <w:rPr>
          <w:rFonts w:ascii="Times New Roman" w:cs="Times New Roman" w:eastAsia="Times New Roman" w:hAnsi="Times New Roman"/>
          <w:sz w:val="18"/>
          <w:szCs w:val="18"/>
          <w:color w:val="auto"/>
        </w:rPr>
        <w:t>that might otherwise exist in the open market. These transactions may be effected on the Nasdaq Global Market or otherwise and, if commenced, may be discontinued at any time.</w:t>
      </w:r>
    </w:p>
    <w:p>
      <w:pPr>
        <w:spacing w:after="0" w:line="67" w:lineRule="exact"/>
        <w:rPr>
          <w:sz w:val="20"/>
          <w:szCs w:val="20"/>
          <w:color w:val="auto"/>
        </w:rPr>
      </w:pPr>
    </w:p>
    <w:p>
      <w:pPr>
        <w:ind w:left="700" w:firstLine="397"/>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37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5" w:right="10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NOTICE TO EUROPEAN ECONOMIC AREA RESIDENTS</w:t>
      </w:r>
    </w:p>
    <w:p>
      <w:pPr>
        <w:spacing w:after="0" w:line="108" w:lineRule="exact"/>
        <w:rPr>
          <w:sz w:val="20"/>
          <w:szCs w:val="20"/>
          <w:color w:val="auto"/>
        </w:rPr>
      </w:pPr>
    </w:p>
    <w:p>
      <w:pPr>
        <w:ind w:left="700" w:right="80" w:firstLine="397"/>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which we refer to as a Relevant Member State, with effect from and including the date on which the Prospectus Directive is implemented in that Relevant Member State, which we refer to as the Relevant Implementation Date, an offer of shares of common stock to the public may not be made in that Relevant Member State prior to the publication of a prospectus in relation to the shares of common stock which has been approved by the competent authority in that Relevant Member State or, where appropriate, approved in another Relevant Member State and notified to the competent authority in that Relevant Member State, all in accordance with the Prospectus Directive, except that an offer to the public of any shares of common stock may be made at any time under the following exemptions under the Prospectus Directive if they have been implemented in the Relevant Member State,</w:t>
      </w:r>
    </w:p>
    <w:p>
      <w:pPr>
        <w:spacing w:after="0" w:line="50" w:lineRule="exact"/>
        <w:rPr>
          <w:sz w:val="20"/>
          <w:szCs w:val="20"/>
          <w:color w:val="auto"/>
        </w:rPr>
      </w:pPr>
    </w:p>
    <w:p>
      <w:pPr>
        <w:ind w:left="700" w:right="200" w:firstLine="787"/>
        <w:spacing w:after="0" w:line="282" w:lineRule="auto"/>
        <w:tabs>
          <w:tab w:leader="none" w:pos="17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entities which are authorized or regulated to operate in the financial markets or, if not so authorized or regulated, whose corporate purpose is solely to invest in securities;</w:t>
      </w:r>
    </w:p>
    <w:p>
      <w:pPr>
        <w:spacing w:after="0" w:line="26" w:lineRule="exact"/>
        <w:rPr>
          <w:rFonts w:ascii="Times New Roman" w:cs="Times New Roman" w:eastAsia="Times New Roman" w:hAnsi="Times New Roman"/>
          <w:sz w:val="18"/>
          <w:szCs w:val="18"/>
          <w:color w:val="auto"/>
        </w:rPr>
      </w:pPr>
    </w:p>
    <w:p>
      <w:pPr>
        <w:ind w:left="700" w:right="220" w:firstLine="787"/>
        <w:spacing w:after="0" w:line="266" w:lineRule="auto"/>
        <w:tabs>
          <w:tab w:leader="none" w:pos="174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54" w:lineRule="exact"/>
        <w:rPr>
          <w:rFonts w:ascii="Times New Roman" w:cs="Times New Roman" w:eastAsia="Times New Roman" w:hAnsi="Times New Roman"/>
          <w:sz w:val="18"/>
          <w:szCs w:val="18"/>
          <w:color w:val="auto"/>
        </w:rPr>
      </w:pPr>
    </w:p>
    <w:p>
      <w:pPr>
        <w:ind w:left="700" w:right="120" w:firstLine="787"/>
        <w:spacing w:after="0" w:line="282" w:lineRule="auto"/>
        <w:tabs>
          <w:tab w:leader="none" w:pos="173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natural or legal persons (other than qualified investors as defined in the Prospectus Directive) subject to obtaining the prior consent of the manager for any such offer;</w:t>
      </w:r>
    </w:p>
    <w:p>
      <w:pPr>
        <w:spacing w:after="0" w:line="27" w:lineRule="exact"/>
        <w:rPr>
          <w:sz w:val="20"/>
          <w:szCs w:val="20"/>
          <w:color w:val="auto"/>
        </w:rPr>
      </w:pPr>
    </w:p>
    <w:p>
      <w:pPr>
        <w:ind w:left="700" w:right="7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result in a requirement for the publication of a prospectus pursuant to Article 3 of the Prospectus Directive.</w:t>
      </w:r>
    </w:p>
    <w:p>
      <w:pPr>
        <w:spacing w:after="0" w:line="27" w:lineRule="exact"/>
        <w:rPr>
          <w:sz w:val="20"/>
          <w:szCs w:val="20"/>
          <w:color w:val="auto"/>
        </w:rPr>
      </w:pPr>
    </w:p>
    <w:p>
      <w:pPr>
        <w:ind w:left="700" w:right="100" w:firstLine="397"/>
        <w:spacing w:after="0" w:line="256" w:lineRule="auto"/>
        <w:rPr>
          <w:sz w:val="20"/>
          <w:szCs w:val="20"/>
          <w:color w:val="auto"/>
        </w:rPr>
      </w:pPr>
      <w:r>
        <w:rPr>
          <w:rFonts w:ascii="Times New Roman" w:cs="Times New Roman" w:eastAsia="Times New Roman" w:hAnsi="Times New Roman"/>
          <w:sz w:val="18"/>
          <w:szCs w:val="18"/>
          <w:color w:val="auto"/>
        </w:rPr>
        <w:t>For the purposes of this section, the expression an “offer of shares of common stock to the public” in relation to any shares of common stock in any Relevant Member State means the communication in any form and by any means of sufficient information on the terms of the offer and the shares of common stock to be offered so as to enable an investor to decide to purchase or subscribe the shares of common stock,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9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NOTICE TO UNITED KINGDOM RESIDENTS</w:t>
      </w:r>
    </w:p>
    <w:p>
      <w:pPr>
        <w:spacing w:after="0" w:line="108" w:lineRule="exact"/>
        <w:rPr>
          <w:sz w:val="20"/>
          <w:szCs w:val="20"/>
          <w:color w:val="auto"/>
        </w:rPr>
      </w:pPr>
    </w:p>
    <w:p>
      <w:pPr>
        <w:ind w:left="700" w:firstLine="397"/>
        <w:spacing w:after="0" w:line="253" w:lineRule="auto"/>
        <w:rPr>
          <w:sz w:val="20"/>
          <w:szCs w:val="20"/>
          <w:color w:val="auto"/>
        </w:rPr>
      </w:pPr>
      <w:r>
        <w:rPr>
          <w:rFonts w:ascii="Times New Roman" w:cs="Times New Roman" w:eastAsia="Times New Roman" w:hAnsi="Times New Roman"/>
          <w:sz w:val="18"/>
          <w:szCs w:val="18"/>
          <w:color w:val="auto"/>
        </w:rPr>
        <w:t>An invitation or inducement to engage in investment activity (within the meaning of Section 21 of the Financial Services and Markets Act 2000, or the FSMA) has only been communicated or caused to be communicated and will only be communicated or caused to be communicated in connection with the issue or sale of the shares in circumstances in which Section 21(1) of the FSMA does not apply to us. All applicable provisions of the FSMA have been complied with and will be complied with, with respect to anything done in relation to the shares in, from or otherwise involving the United Kingdom. This document is only being distributed to and is only directed at (i) persons who are outside the United Kingdom or (ii) investment professionals falling within Article 19(5) of the Financial Services and Markets Act 2000 (Financial Promotion) Order 2005, or the Order, or (iii) high net worth entities, and other persons to whom it may lawfully be communicated, falling within Article 49(2)(a) to (d) of the Order (all such persons together, we refer to as relevant persons). The shares are only available to, and any invitation, offer or agreement to subscribe, purchase or otherwise acquire such shares will be engaged only with, relevant persons. Any person who is not a relevant person should not act or rely on this document or any of its contents.</w:t>
      </w:r>
    </w:p>
    <w:p>
      <w:pPr>
        <w:spacing w:after="0" w:line="2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NOTICE TO SWISS INVESTORS</w:t>
      </w:r>
    </w:p>
    <w:p>
      <w:pPr>
        <w:spacing w:after="0" w:line="94" w:lineRule="exact"/>
        <w:rPr>
          <w:sz w:val="20"/>
          <w:szCs w:val="20"/>
          <w:color w:val="auto"/>
        </w:rPr>
      </w:pPr>
    </w:p>
    <w:p>
      <w:pPr>
        <w:ind w:left="700" w:right="100" w:firstLine="397"/>
        <w:spacing w:after="0" w:line="258" w:lineRule="auto"/>
        <w:rPr>
          <w:sz w:val="20"/>
          <w:szCs w:val="20"/>
          <w:color w:val="auto"/>
        </w:rPr>
      </w:pPr>
      <w:r>
        <w:rPr>
          <w:rFonts w:ascii="Times New Roman" w:cs="Times New Roman" w:eastAsia="Times New Roman" w:hAnsi="Times New Roman"/>
          <w:sz w:val="18"/>
          <w:szCs w:val="18"/>
          <w:color w:val="auto"/>
        </w:rPr>
        <w:t>This document, as well as any other material relating to the shares which are the subject of the offering contemplated by this prospectus, do not constitute an issue prospectus pursuant to Article 652a of the Swiss Code of Obligations. The shares will not be listed on the SWX Swiss Exchange and, therefore the documents relating to the shares, including, but not limited to, this document, do not claim to comply with the disclosure standards of the listing rules of SWX Swiss Exchange and corresponding prospectus schemes annexed to the listing rules of the SWX Swiss Exchange. The shares are being offered in Switzerland by way of a private</w:t>
      </w:r>
    </w:p>
    <w:p>
      <w:pPr>
        <w:spacing w:after="0" w:line="36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00"/>
        <w:spacing w:after="0" w:line="257" w:lineRule="auto"/>
        <w:rPr>
          <w:sz w:val="20"/>
          <w:szCs w:val="20"/>
          <w:color w:val="auto"/>
        </w:rPr>
      </w:pPr>
      <w:r>
        <w:rPr>
          <w:rFonts w:ascii="Times New Roman" w:cs="Times New Roman" w:eastAsia="Times New Roman" w:hAnsi="Times New Roman"/>
          <w:sz w:val="18"/>
          <w:szCs w:val="18"/>
          <w:color w:val="auto"/>
        </w:rPr>
        <w:t xml:space="preserve">placement,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to a small number of selected investors only, without any public offer and only to investors who do not purchase the shares with the intention to distribute them to the public. The investors will be individually approached by us from time to time. This document, as well as any other material relating to the shares, is personal and confidential and do not constitute an offer to any other person. This document may only be used by those investors to whom it has been handed out in connection with the offering described herein and may neither directly nor indirectly be distributed or made available to other persons without our express consent. It may not be used in connection with any other offer and shall in particular not be copied and/or distributed to the public in (or from) Switzerland.</w:t>
      </w:r>
    </w:p>
    <w:p>
      <w:pPr>
        <w:spacing w:after="0" w:line="19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NOTICE TO INVESTORS IN THE DUBAI INTERNATIONAL FINANCIAL CENTRE</w:t>
      </w:r>
    </w:p>
    <w:p>
      <w:pPr>
        <w:spacing w:after="0" w:line="108" w:lineRule="exact"/>
        <w:rPr>
          <w:sz w:val="20"/>
          <w:szCs w:val="20"/>
          <w:color w:val="auto"/>
        </w:rPr>
      </w:pPr>
    </w:p>
    <w:p>
      <w:pPr>
        <w:ind w:left="700" w:firstLine="397"/>
        <w:spacing w:after="0" w:line="255"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shares which are the subject of the offering contemplated by this prospectus may be illiquid and/or subject to restrictions on their resale. Prospective purchasers of the shares offered should conduct their own due diligence on the shares. If you do not understand the contents of this document you should consult an authorized financial adviser.</w:t>
      </w:r>
    </w:p>
    <w:p>
      <w:pPr>
        <w:spacing w:after="0" w:line="19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NOTICE TO CANADIAN RESIDENTS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108" w:lineRule="exact"/>
        <w:rPr>
          <w:sz w:val="20"/>
          <w:szCs w:val="20"/>
          <w:color w:val="auto"/>
        </w:rPr>
      </w:pPr>
    </w:p>
    <w:p>
      <w:pPr>
        <w:ind w:left="700" w:right="80" w:firstLine="397"/>
        <w:spacing w:after="0" w:line="256" w:lineRule="auto"/>
        <w:rPr>
          <w:sz w:val="20"/>
          <w:szCs w:val="20"/>
          <w:color w:val="auto"/>
        </w:rPr>
      </w:pPr>
      <w:r>
        <w:rPr>
          <w:rFonts w:ascii="Times New Roman" w:cs="Times New Roman" w:eastAsia="Times New Roman" w:hAnsi="Times New Roman"/>
          <w:sz w:val="18"/>
          <w:szCs w:val="18"/>
          <w:color w:val="auto"/>
        </w:rPr>
        <w:t>The distribution of the common stock in Canada is being made only on a private placement basis exempt from the requirement that we and the selling stockholders prepare and file a prospectus with the securities regulatory authorities in each province where trades of common stock are made. Any resale of the common stock in Canada must be made under applicable securities laws which will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common stock.</w:t>
      </w:r>
    </w:p>
    <w:p>
      <w:pPr>
        <w:spacing w:after="0" w:line="1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Representations of Purchasers</w:t>
      </w:r>
    </w:p>
    <w:p>
      <w:pPr>
        <w:spacing w:after="0" w:line="108" w:lineRule="exact"/>
        <w:rPr>
          <w:sz w:val="20"/>
          <w:szCs w:val="20"/>
          <w:color w:val="auto"/>
        </w:rPr>
      </w:pPr>
    </w:p>
    <w:p>
      <w:pPr>
        <w:ind w:left="700" w:right="340" w:firstLine="397"/>
        <w:spacing w:after="0" w:line="282" w:lineRule="auto"/>
        <w:rPr>
          <w:sz w:val="20"/>
          <w:szCs w:val="20"/>
          <w:color w:val="auto"/>
        </w:rPr>
      </w:pPr>
      <w:r>
        <w:rPr>
          <w:rFonts w:ascii="Times New Roman" w:cs="Times New Roman" w:eastAsia="Times New Roman" w:hAnsi="Times New Roman"/>
          <w:sz w:val="18"/>
          <w:szCs w:val="18"/>
          <w:color w:val="auto"/>
        </w:rPr>
        <w:t>By purchasing the common stock in Canada and accepting a purchase confirmation a purchaser is representing to us, the selling stockholders, and the dealer from whom the purchase confirmation is received that:</w:t>
      </w:r>
    </w:p>
    <w:p>
      <w:pPr>
        <w:spacing w:after="0" w:line="27" w:lineRule="exact"/>
        <w:rPr>
          <w:sz w:val="20"/>
          <w:szCs w:val="20"/>
          <w:color w:val="auto"/>
        </w:rPr>
      </w:pPr>
    </w:p>
    <w:p>
      <w:pPr>
        <w:ind w:left="1700" w:right="140" w:hanging="211"/>
        <w:spacing w:after="0" w:line="282" w:lineRule="auto"/>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common stock without the benefit of a prospectus qualified under those securities laws,</w:t>
      </w:r>
    </w:p>
    <w:p>
      <w:pPr>
        <w:spacing w:after="0" w:line="13"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that the purchaser is purchasing as principal and not as agent,</w:t>
      </w:r>
    </w:p>
    <w:p>
      <w:pPr>
        <w:spacing w:after="0" w:line="76"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 and</w:t>
      </w:r>
    </w:p>
    <w:p>
      <w:pPr>
        <w:spacing w:after="0" w:line="76" w:lineRule="exact"/>
        <w:rPr>
          <w:rFonts w:ascii="Times New Roman" w:cs="Times New Roman" w:eastAsia="Times New Roman" w:hAnsi="Times New Roman"/>
          <w:sz w:val="18"/>
          <w:szCs w:val="18"/>
          <w:color w:val="auto"/>
        </w:rPr>
      </w:pPr>
    </w:p>
    <w:p>
      <w:pPr>
        <w:ind w:left="1700" w:right="100" w:hanging="211"/>
        <w:spacing w:after="0" w:line="282" w:lineRule="auto"/>
        <w:tabs>
          <w:tab w:leader="none" w:pos="1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acknowledges and consents to the provision of specified information concerning its purchase of the common stock to the regulatory authority that by law is entitled to collect the information.</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Further details concerning the legal authority for this information is available on request.</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Rights of Action — Ontario Purchasers Only</w:t>
      </w:r>
    </w:p>
    <w:p>
      <w:pPr>
        <w:spacing w:after="0" w:line="94" w:lineRule="exact"/>
        <w:rPr>
          <w:sz w:val="20"/>
          <w:szCs w:val="20"/>
          <w:color w:val="auto"/>
        </w:rPr>
      </w:pPr>
    </w:p>
    <w:p>
      <w:pPr>
        <w:ind w:left="700" w:firstLine="397"/>
        <w:spacing w:after="0" w:line="256" w:lineRule="auto"/>
        <w:rPr>
          <w:sz w:val="20"/>
          <w:szCs w:val="20"/>
          <w:color w:val="auto"/>
        </w:rPr>
      </w:pPr>
      <w:r>
        <w:rPr>
          <w:rFonts w:ascii="Times New Roman" w:cs="Times New Roman" w:eastAsia="Times New Roman" w:hAnsi="Times New Roman"/>
          <w:sz w:val="18"/>
          <w:szCs w:val="18"/>
          <w:color w:val="auto"/>
        </w:rPr>
        <w:t>Under Ontario securities legislation, certain purchasers who purchase a security offered by this prospectus during the period of distribution will have a statutory right of action for damages, or while still the owner of the common stock, for rescission against us and the selling stockholders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the common stock. The right of action for rescission is exercisable not later than 180 days from the</w:t>
      </w:r>
    </w:p>
    <w:p>
      <w:pPr>
        <w:spacing w:after="0" w:line="37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55" w:lineRule="auto"/>
        <w:rPr>
          <w:sz w:val="20"/>
          <w:szCs w:val="20"/>
          <w:color w:val="auto"/>
        </w:rPr>
      </w:pPr>
      <w:r>
        <w:rPr>
          <w:rFonts w:ascii="Times New Roman" w:cs="Times New Roman" w:eastAsia="Times New Roman" w:hAnsi="Times New Roman"/>
          <w:sz w:val="18"/>
          <w:szCs w:val="18"/>
          <w:color w:val="auto"/>
        </w:rPr>
        <w:t>date on which payment is made for the common stock. If a purchaser elects to exercise the right of action for rescission, the purchaser will have no right of action for damages against us or the selling stockholders. In no case will the amount recoverable in any action exceed the price at which the common stock were offered to the purchaser and if the purchaser is shown to have purchased the securities with knowledge of the misrepresentation, we and the selling stockholders will have no liability. In the case of an action for damages, we and the selling stockholders will not be liable for all or any portion of the damages that are proven to not represent the depreciation in value of the common stock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94" w:lineRule="exact"/>
        <w:rPr>
          <w:sz w:val="20"/>
          <w:szCs w:val="20"/>
          <w:color w:val="auto"/>
        </w:rPr>
      </w:pPr>
    </w:p>
    <w:p>
      <w:pPr>
        <w:ind w:left="700" w:right="20" w:firstLine="397"/>
        <w:spacing w:after="0" w:line="258"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and the selling stockholders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Taxation and Eligibility for Investment</w:t>
      </w:r>
    </w:p>
    <w:p>
      <w:pPr>
        <w:spacing w:after="0" w:line="94" w:lineRule="exact"/>
        <w:rPr>
          <w:sz w:val="20"/>
          <w:szCs w:val="20"/>
          <w:color w:val="auto"/>
        </w:rPr>
      </w:pPr>
    </w:p>
    <w:p>
      <w:pPr>
        <w:jc w:val="both"/>
        <w:ind w:left="700" w:right="20" w:firstLine="397"/>
        <w:spacing w:after="0" w:line="266" w:lineRule="auto"/>
        <w:rPr>
          <w:sz w:val="20"/>
          <w:szCs w:val="20"/>
          <w:color w:val="auto"/>
        </w:rPr>
      </w:pPr>
      <w:r>
        <w:rPr>
          <w:rFonts w:ascii="Times New Roman" w:cs="Times New Roman" w:eastAsia="Times New Roman" w:hAnsi="Times New Roman"/>
          <w:sz w:val="18"/>
          <w:szCs w:val="18"/>
          <w:color w:val="auto"/>
        </w:rPr>
        <w:t>Canadian purchasers of the common stock should consult their own legal and tax advisors with respect to the tax consequences of an investment in the common stock in their particular circumstances and about the eligibility of the common stock for investment by the purchaser under relevant Canadian legislation.</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5" w:right="11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35" w:lineRule="exact"/>
        <w:rPr>
          <w:sz w:val="20"/>
          <w:szCs w:val="20"/>
          <w:color w:val="auto"/>
        </w:rPr>
      </w:pPr>
    </w:p>
    <w:p>
      <w:pPr>
        <w:ind w:left="700" w:right="200" w:firstLine="397"/>
        <w:spacing w:after="0" w:line="313" w:lineRule="auto"/>
        <w:rPr>
          <w:sz w:val="20"/>
          <w:szCs w:val="20"/>
          <w:color w:val="auto"/>
        </w:rPr>
      </w:pPr>
      <w:r>
        <w:rPr>
          <w:rFonts w:ascii="Times New Roman" w:cs="Times New Roman" w:eastAsia="Times New Roman" w:hAnsi="Times New Roman"/>
          <w:sz w:val="17"/>
          <w:szCs w:val="17"/>
          <w:color w:val="auto"/>
        </w:rPr>
        <w:t>The validity of the shares of common stock offered by this prospectus and other legal matters will be passed upon for us by DLA Piper LLP (US), Phoenix, Arizona. The underwriters have been represented by Latham &amp; Watkins LLP, Los Angeles, California.</w:t>
      </w:r>
    </w:p>
    <w:p>
      <w:pPr>
        <w:spacing w:after="0" w:line="2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financial statements of Grand Canyon Education, Inc. appearing in Grand Canyon Education, Inc.’s Annual Report</w:t>
      </w:r>
    </w:p>
    <w:p>
      <w:pPr>
        <w:spacing w:after="0" w:line="27" w:lineRule="exact"/>
        <w:rPr>
          <w:sz w:val="20"/>
          <w:szCs w:val="20"/>
          <w:color w:val="auto"/>
        </w:rPr>
      </w:pPr>
    </w:p>
    <w:p>
      <w:pPr>
        <w:ind w:left="700" w:right="60"/>
        <w:spacing w:after="0" w:line="277" w:lineRule="auto"/>
        <w:rPr>
          <w:sz w:val="20"/>
          <w:szCs w:val="20"/>
          <w:color w:val="auto"/>
        </w:rPr>
      </w:pPr>
      <w:r>
        <w:rPr>
          <w:rFonts w:ascii="Times New Roman" w:cs="Times New Roman" w:eastAsia="Times New Roman" w:hAnsi="Times New Roman"/>
          <w:sz w:val="17"/>
          <w:szCs w:val="17"/>
          <w:color w:val="auto"/>
        </w:rPr>
        <w:t>(Form 10-K) for the year ended December 31, 2008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such firm as experts in accounting and auditing.</w:t>
      </w:r>
    </w:p>
    <w:p>
      <w:pPr>
        <w:spacing w:after="0" w:line="28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35" w:lineRule="exact"/>
        <w:rPr>
          <w:sz w:val="20"/>
          <w:szCs w:val="20"/>
          <w:color w:val="auto"/>
        </w:rPr>
      </w:pPr>
    </w:p>
    <w:p>
      <w:pPr>
        <w:ind w:left="700" w:right="40" w:firstLine="397"/>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93" w:lineRule="exact"/>
        <w:rPr>
          <w:sz w:val="20"/>
          <w:szCs w:val="20"/>
          <w:color w:val="auto"/>
        </w:rPr>
      </w:pPr>
    </w:p>
    <w:p>
      <w:pPr>
        <w:ind w:left="700" w:right="120" w:firstLine="397"/>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reporting and information requirements of the Exchange Act and, as a result, we are required to file periodic and current reports, proxy statements and other information with the SEC. You may read and copy the registration statement, including exhibits and schedules filed with it, and reports or other information we file with the SEC at the public reference facilities of the SEC at 100 F Street, N.E., Room 1580, Washington, D.C. 20549. You may call the SEC at 1-800-SEC-0330 for further information on the operation of the public reference rooms. In addition, the registration statement and other public filings can be obtained from the SEC’s Internet 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35" w:lineRule="exact"/>
        <w:rPr>
          <w:sz w:val="20"/>
          <w:szCs w:val="20"/>
          <w:color w:val="auto"/>
        </w:rPr>
      </w:pPr>
    </w:p>
    <w:p>
      <w:pPr>
        <w:jc w:val="both"/>
        <w:ind w:left="700" w:right="40" w:firstLine="397"/>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 this prospectus that we have filed with it. This means that we can disclose important information to you by referring you to another document already on file with the SEC. The information incorporated by reference is an important part of this prospectus, except for any information that is superseded by information that is included directly in this prospectus.</w:t>
      </w:r>
    </w:p>
    <w:p>
      <w:pPr>
        <w:spacing w:after="0" w:line="86" w:lineRule="exact"/>
        <w:rPr>
          <w:sz w:val="20"/>
          <w:szCs w:val="20"/>
          <w:color w:val="auto"/>
        </w:rPr>
      </w:pPr>
    </w:p>
    <w:p>
      <w:pPr>
        <w:ind w:left="700" w:right="220" w:firstLine="397"/>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(excluding any document, or portion thereof, to the extent disclosure is furnished and not filed).</w:t>
      </w:r>
    </w:p>
    <w:p>
      <w:pPr>
        <w:spacing w:after="0" w:line="67" w:lineRule="exact"/>
        <w:rPr>
          <w:sz w:val="20"/>
          <w:szCs w:val="20"/>
          <w:color w:val="auto"/>
        </w:rPr>
      </w:pPr>
    </w:p>
    <w:p>
      <w:pPr>
        <w:ind w:left="1700" w:right="100" w:hanging="211"/>
        <w:spacing w:after="0" w:line="266" w:lineRule="auto"/>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year ended December 31, 2008, filed with the SEC on February 20, 2009, which incorporates by reference certain sections from our proxy statement filed with the SEC on April 10, 2009, which we also incorporate by reference into this prospectus;</w:t>
      </w:r>
    </w:p>
    <w:p>
      <w:pPr>
        <w:spacing w:after="0" w:line="68" w:lineRule="exact"/>
        <w:rPr>
          <w:rFonts w:ascii="Times New Roman" w:cs="Times New Roman" w:eastAsia="Times New Roman" w:hAnsi="Times New Roman"/>
          <w:sz w:val="18"/>
          <w:szCs w:val="18"/>
          <w:color w:val="auto"/>
        </w:rPr>
      </w:pPr>
    </w:p>
    <w:p>
      <w:pPr>
        <w:ind w:left="1700" w:hanging="211"/>
        <w:spacing w:after="0"/>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Reports on Form 10-Q for the quarters ended March 31, 2009 and June 30, 2009; and</w:t>
      </w:r>
    </w:p>
    <w:p>
      <w:pPr>
        <w:spacing w:after="0" w:line="130" w:lineRule="exact"/>
        <w:rPr>
          <w:rFonts w:ascii="Times New Roman" w:cs="Times New Roman" w:eastAsia="Times New Roman" w:hAnsi="Times New Roman"/>
          <w:sz w:val="18"/>
          <w:szCs w:val="18"/>
          <w:color w:val="auto"/>
        </w:rPr>
      </w:pPr>
    </w:p>
    <w:p>
      <w:pPr>
        <w:ind w:left="1700" w:hanging="211"/>
        <w:spacing w:after="0" w:line="282" w:lineRule="auto"/>
        <w:tabs>
          <w:tab w:leader="none" w:pos="1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Reports on Form 8-K filed with the SEC on February 19, 2009, March 25, 2009, April 3, 2009, April 27, 2009, May 4, 2009, August 3, 2009, August 27, 2009, and September 4, 2009.</w:t>
      </w: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23" w:lineRule="exact"/>
        <w:rPr>
          <w:sz w:val="20"/>
          <w:szCs w:val="20"/>
          <w:color w:val="auto"/>
        </w:rPr>
      </w:pPr>
    </w:p>
    <w:p>
      <w:pPr>
        <w:ind w:left="700" w:right="520" w:firstLine="397"/>
        <w:spacing w:after="0" w:line="266"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a copy of the reports and documents that have been incorporated by reference in this prospectus, at no cost. Any such request may be made by writing or telephoning us at the following address or phone number:</w:t>
      </w:r>
    </w:p>
    <w:p>
      <w:pPr>
        <w:spacing w:after="0" w:line="29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Grand Canyon Education, Inc.</w:t>
      </w:r>
    </w:p>
    <w:p>
      <w:pPr>
        <w:spacing w:after="0" w:line="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3300 West Camelback Road</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Phoenix, Arizona 85017</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(602) 639-7500</w:t>
      </w:r>
    </w:p>
    <w:p>
      <w:pPr>
        <w:spacing w:after="0" w:line="112" w:lineRule="exact"/>
        <w:rPr>
          <w:sz w:val="20"/>
          <w:szCs w:val="20"/>
          <w:color w:val="auto"/>
        </w:rPr>
      </w:pPr>
    </w:p>
    <w:p>
      <w:pPr>
        <w:jc w:val="both"/>
        <w:ind w:left="700" w:firstLine="397"/>
        <w:spacing w:after="0" w:line="266" w:lineRule="auto"/>
        <w:rPr>
          <w:sz w:val="20"/>
          <w:szCs w:val="20"/>
          <w:color w:val="auto"/>
        </w:rPr>
      </w:pPr>
      <w:r>
        <w:rPr>
          <w:rFonts w:ascii="Times New Roman" w:cs="Times New Roman" w:eastAsia="Times New Roman" w:hAnsi="Times New Roman"/>
          <w:sz w:val="18"/>
          <w:szCs w:val="18"/>
          <w:color w:val="auto"/>
        </w:rPr>
        <w:t>These documents can also be requested through, and are available in, the Investor Relations section of our website, which is located at www.gcu.edu, or as described under “Where You Can Find Additional Information” above. The information on, or accessible through, our website does not constitute part of, and is not incorporated into, this prospectus.</w:t>
      </w:r>
    </w:p>
    <w:p>
      <w:pPr>
        <w:spacing w:after="0" w:line="36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5" w:right="1079" w:bottom="1440" w:gutter="0" w:footer="0" w:header="0"/>
        </w:sectPr>
      </w:pPr>
    </w:p>
    <w:bookmarkStart w:id="86" w:name="page87"/>
    <w:bookmarkEnd w:id="86"/>
    <w:p>
      <w:pPr>
        <w:spacing w:after="0"/>
        <w:rPr>
          <w:rFonts w:ascii="Times New Roman" w:cs="Times New Roman" w:eastAsia="Times New Roman" w:hAnsi="Times New Roman"/>
          <w:sz w:val="17"/>
          <w:szCs w:val="17"/>
          <w:b w:val="1"/>
          <w:bCs w:val="1"/>
          <w:u w:val="single" w:color="auto"/>
          <w:color w:val="0000EE"/>
        </w:rPr>
      </w:pP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215265</wp:posOffset>
            </wp:positionV>
            <wp:extent cx="6303010" cy="1123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3010" cy="1123315"/>
                    </a:xfrm>
                    <a:prstGeom prst="rect">
                      <a:avLst/>
                    </a:prstGeom>
                    <a:noFill/>
                  </pic:spPr>
                </pic:pic>
              </a:graphicData>
            </a:graphic>
          </wp:anchor>
        </w:drawing>
      </w:r>
    </w:p>
    <w:sectPr>
      <w:pgSz w:w="11900" w:h="16838" w:orient="portrait"/>
      <w:cols w:equalWidth="0" w:num="1">
        <w:col w:w="10219"/>
      </w:cols>
      <w:pgMar w:left="240" w:top="4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lvl w:ilvl="1">
      <w:lvlJc w:val="left"/>
      <w:lvlText w:val="(%2)"/>
      <w:numFmt w:val="lowerLetter"/>
      <w:start w:val="1"/>
    </w:lvl>
  </w:abstractNum>
  <w:abstractNum w:abstractNumId="5">
    <w:nsid w:val="6763845E"/>
    <w:multiLevelType w:val="hybridMultilevel"/>
    <w:lvl w:ilvl="0">
      <w:lvlJc w:val="left"/>
      <w:lvlText w:val="(%1)"/>
      <w:numFmt w:val="decimal"/>
      <w:start w:val="2"/>
    </w:lvl>
    <w:lvl w:ilvl="1">
      <w:lvlJc w:val="left"/>
      <w:lvlText w:val="%2"/>
      <w:numFmt w:val="lowerLetter"/>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2"/>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5"/>
    </w:lvl>
  </w:abstractNum>
  <w:abstractNum w:abstractNumId="29">
    <w:nsid w:val="440BADFC"/>
    <w:multiLevelType w:val="hybridMultilevel"/>
    <w:lvl w:ilvl="0">
      <w:lvlJc w:val="left"/>
      <w:lvlText w:val="(%1)"/>
      <w:numFmt w:val="decimal"/>
      <w:start w:val="1"/>
    </w:lvl>
    <w:lvl w:ilvl="1">
      <w:lvlJc w:val="left"/>
      <w:lvlText w:val="•"/>
      <w:numFmt w:val="bullet"/>
      <w:start w:val="1"/>
    </w:lvl>
    <w:lvl w:ilvl="2">
      <w:lvlJc w:val="left"/>
      <w:lvlText w:val="(%3)"/>
      <w:numFmt w:val="decimal"/>
      <w:start w:val="6"/>
    </w:lvl>
  </w:abstractNum>
  <w:abstractNum w:abstractNumId="30">
    <w:nsid w:val="5072367"/>
    <w:multiLevelType w:val="hybridMultilevel"/>
    <w:lvl w:ilvl="0">
      <w:lvlJc w:val="left"/>
      <w:lvlText w:val="(%1)"/>
      <w:numFmt w:val="decimal"/>
      <w:start w:val="6"/>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2019-12-15T17:21:26Z</dcterms:created>
  <dcterms:modified xsi:type="dcterms:W3CDTF">2019-12-15T17:21:26Z</dcterms:modified>
</cp:coreProperties>
</file>