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184785</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203835</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0"/>
          <w:szCs w:val="20"/>
          <w:color w:val="auto"/>
        </w:rPr>
      </w:pPr>
    </w:p>
    <w:p>
      <w:pPr>
        <w:ind w:left="1500" w:right="379" w:hanging="918"/>
        <w:spacing w:after="0" w:line="237"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8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500"/>
        <w:spacing w:after="0"/>
        <w:tabs>
          <w:tab w:leader="none" w:pos="4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197485</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184785</wp:posOffset>
            </wp:positionV>
            <wp:extent cx="1612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1480" w:type="dxa"/>
        <w:tblCellMar>
          <w:top w:w="0" w:type="dxa"/>
          <w:left w:w="0" w:type="dxa"/>
          <w:bottom w:w="0" w:type="dxa"/>
          <w:right w:w="0" w:type="dxa"/>
        </w:tblCellMar>
      </w:tblPr>
      <w:tr>
        <w:trPr>
          <w:trHeight w:val="220"/>
        </w:trPr>
        <w:tc>
          <w:tcPr>
            <w:tcW w:w="3940" w:type="dxa"/>
            <w:vAlign w:val="bottom"/>
          </w:tcPr>
          <w:p>
            <w:pPr>
              <w:jc w:val="center"/>
              <w:ind w:right="15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color w:val="auto"/>
                <w:w w:val="91"/>
              </w:rPr>
              <w:t>20-3356009</w:t>
            </w:r>
          </w:p>
        </w:tc>
      </w:tr>
      <w:tr>
        <w:trPr>
          <w:trHeight w:val="216"/>
        </w:trPr>
        <w:tc>
          <w:tcPr>
            <w:tcW w:w="3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(State or other jurisdiction of</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i w:val="1"/>
                <w:iCs w:val="1"/>
                <w:color w:val="auto"/>
                <w:w w:val="89"/>
              </w:rPr>
              <w:t>(I.R.S. Employer</w:t>
            </w:r>
          </w:p>
        </w:tc>
      </w:tr>
      <w:tr>
        <w:trPr>
          <w:trHeight w:val="230"/>
        </w:trPr>
        <w:tc>
          <w:tcPr>
            <w:tcW w:w="3940" w:type="dxa"/>
            <w:vAlign w:val="bottom"/>
          </w:tcPr>
          <w:p>
            <w:pPr>
              <w:jc w:val="center"/>
              <w:ind w:right="155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3000" w:type="dxa"/>
            <w:vAlign w:val="bottom"/>
          </w:tcPr>
          <w:p>
            <w:pPr>
              <w:jc w:val="center"/>
              <w:ind w:left="153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15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18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(602) 639-7500</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0" w:lineRule="exact"/>
        <w:rPr>
          <w:sz w:val="20"/>
          <w:szCs w:val="20"/>
          <w:color w:val="auto"/>
        </w:rPr>
      </w:pPr>
    </w:p>
    <w:p>
      <w:pPr>
        <w:jc w:val="both"/>
        <w:ind w:left="340" w:right="219" w:firstLine="38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ind w:left="340" w:right="199" w:firstLine="389"/>
        <w:spacing w:after="0" w:line="22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57" w:lineRule="exact"/>
        <w:rPr>
          <w:sz w:val="20"/>
          <w:szCs w:val="20"/>
          <w:color w:val="auto"/>
        </w:rPr>
      </w:pPr>
    </w:p>
    <w:p>
      <w:pPr>
        <w:ind w:left="340" w:right="239"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81"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Large accelerated filer</w:t>
      </w:r>
    </w:p>
    <w:p>
      <w:pPr>
        <w:spacing w:after="0" w:line="41" w:lineRule="exact"/>
        <w:rPr>
          <w:sz w:val="20"/>
          <w:szCs w:val="20"/>
          <w:color w:val="auto"/>
        </w:rPr>
      </w:pPr>
    </w:p>
    <w:p>
      <w:pPr>
        <w:jc w:val="center"/>
        <w:ind w:left="4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1" w:lineRule="exact"/>
        <w:rPr>
          <w:sz w:val="20"/>
          <w:szCs w:val="20"/>
          <w:color w:val="auto"/>
        </w:rPr>
      </w:pPr>
    </w:p>
    <w:p>
      <w:pPr>
        <w:sectPr>
          <w:pgSz w:w="11900" w:h="16838" w:orient="portrait"/>
          <w:cols w:equalWidth="0" w:num="4">
            <w:col w:w="2020" w:space="520"/>
            <w:col w:w="1340" w:space="460"/>
            <w:col w:w="3340" w:space="260"/>
            <w:col w:w="2279"/>
          </w:cols>
          <w:pgMar w:left="240" w:top="122" w:right="1440" w:bottom="1440" w:gutter="0" w:footer="0" w:header="0"/>
          <w:type w:val="continuous"/>
        </w:sectPr>
      </w:pPr>
    </w:p>
    <w:p>
      <w:pPr>
        <w:ind w:left="720" w:right="399"/>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November 1, 2011, was 44,331,047.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129540</wp:posOffset>
            </wp:positionV>
            <wp:extent cx="617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146685</wp:posOffset>
            </wp:positionV>
            <wp:extent cx="617474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804545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60" w:type="dxa"/>
            <w:vAlign w:val="bottom"/>
            <w:gridSpan w:val="18"/>
          </w:tcPr>
          <w:p>
            <w:pPr>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20" w:type="dxa"/>
            <w:vAlign w:val="bottom"/>
            <w:gridSpan w:val="4"/>
          </w:tcPr>
          <w:p>
            <w:pPr>
              <w:jc w:val="center"/>
              <w:ind w:right="2200"/>
              <w:spacing w:after="0"/>
              <w:rPr>
                <w:sz w:val="20"/>
                <w:szCs w:val="20"/>
                <w:color w:val="auto"/>
              </w:rPr>
            </w:pPr>
            <w:r>
              <w:rPr>
                <w:rFonts w:ascii="Arial" w:cs="Arial" w:eastAsia="Arial" w:hAnsi="Arial"/>
                <w:sz w:val="18"/>
                <w:szCs w:val="18"/>
                <w:b w:val="1"/>
                <w:bCs w:val="1"/>
                <w:color w:val="auto"/>
              </w:rPr>
              <w:t>GRAND CANYON EDUCATION, INC.</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20" w:type="dxa"/>
            <w:vAlign w:val="bottom"/>
            <w:gridSpan w:val="4"/>
          </w:tcPr>
          <w:p>
            <w:pPr>
              <w:jc w:val="center"/>
              <w:ind w:right="2200"/>
              <w:spacing w:after="0"/>
              <w:rPr>
                <w:sz w:val="20"/>
                <w:szCs w:val="20"/>
                <w:color w:val="auto"/>
              </w:rPr>
            </w:pPr>
            <w:r>
              <w:rPr>
                <w:rFonts w:ascii="Arial" w:cs="Arial" w:eastAsia="Arial" w:hAnsi="Arial"/>
                <w:sz w:val="18"/>
                <w:szCs w:val="18"/>
                <w:b w:val="1"/>
                <w:bCs w:val="1"/>
                <w:color w:val="auto"/>
                <w:w w:val="99"/>
              </w:rPr>
              <w:t>FORM 10-Q</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20" w:type="dxa"/>
            <w:vAlign w:val="bottom"/>
            <w:gridSpan w:val="4"/>
          </w:tcPr>
          <w:p>
            <w:pPr>
              <w:jc w:val="center"/>
              <w:ind w:right="220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gridSpan w:val="14"/>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5420" w:type="dxa"/>
            <w:vAlign w:val="bottom"/>
            <w:gridSpan w:val="4"/>
            <w:vMerge w:val="restart"/>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3240" w:type="dxa"/>
            <w:vAlign w:val="bottom"/>
            <w:tcBorders>
              <w:bottom w:val="single" w:sz="8" w:color="0000EE"/>
            </w:tcBorders>
            <w:gridSpan w:val="14"/>
            <w:vMerge w:val="continue"/>
          </w:tcPr>
          <w:p>
            <w:pPr>
              <w:spacing w:after="0"/>
              <w:rPr>
                <w:sz w:val="14"/>
                <w:szCs w:val="14"/>
                <w:color w:val="auto"/>
              </w:rPr>
            </w:pPr>
          </w:p>
        </w:tc>
        <w:tc>
          <w:tcPr>
            <w:tcW w:w="5420" w:type="dxa"/>
            <w:vAlign w:val="bottom"/>
            <w:gridSpan w:val="4"/>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86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6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48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22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Item 4 Controls and Procedures</w:t>
              </w:r>
            </w:hyperlink>
          </w:p>
        </w:tc>
        <w:tc>
          <w:tcPr>
            <w:tcW w:w="638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294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 OTHER INFORMATION</w:t>
              </w:r>
            </w:hyperlink>
          </w:p>
        </w:tc>
        <w:tc>
          <w:tcPr>
            <w:tcW w:w="5720" w:type="dxa"/>
            <w:vAlign w:val="bottom"/>
            <w:gridSpan w:val="5"/>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1 Legal Proceedings</w:t>
              </w:r>
            </w:hyperlink>
          </w:p>
        </w:tc>
        <w:tc>
          <w:tcPr>
            <w:tcW w:w="6820" w:type="dxa"/>
            <w:vAlign w:val="bottom"/>
            <w:gridSpan w:val="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15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1A Risk Factors</w:t>
              </w:r>
            </w:hyperlink>
          </w:p>
        </w:tc>
        <w:tc>
          <w:tcPr>
            <w:tcW w:w="7120" w:type="dxa"/>
            <w:vAlign w:val="bottom"/>
            <w:gridSpan w:val="11"/>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48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Item 2 Unregistered Sales of Equity Securities and Use of Proceeds</w:t>
              </w:r>
            </w:hyperlink>
          </w:p>
        </w:tc>
        <w:tc>
          <w:tcPr>
            <w:tcW w:w="380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866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 Defaults Upon Senior Securities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Item 4 Reserved</w:t>
              </w:r>
            </w:hyperlink>
          </w:p>
        </w:tc>
        <w:tc>
          <w:tcPr>
            <w:tcW w:w="1640" w:type="dxa"/>
            <w:vAlign w:val="bottom"/>
            <w:tcBorders>
              <w:top w:val="single" w:sz="8" w:color="0000EE"/>
            </w:tcBorders>
            <w:gridSpan w:val="7"/>
          </w:tcPr>
          <w:p>
            <w:pPr>
              <w:spacing w:after="0"/>
              <w:rPr>
                <w:sz w:val="24"/>
                <w:szCs w:val="24"/>
                <w:color w:val="auto"/>
              </w:rPr>
            </w:pPr>
          </w:p>
        </w:tc>
        <w:tc>
          <w:tcPr>
            <w:tcW w:w="584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8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Item 5 Other Information</w:t>
              </w:r>
            </w:hyperlink>
          </w:p>
        </w:tc>
        <w:tc>
          <w:tcPr>
            <w:tcW w:w="6840" w:type="dxa"/>
            <w:vAlign w:val="bottom"/>
            <w:gridSpan w:val="1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1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Item 6 Exhibits</w:t>
              </w:r>
            </w:hyperlink>
          </w:p>
        </w:tc>
        <w:tc>
          <w:tcPr>
            <w:tcW w:w="7540" w:type="dxa"/>
            <w:vAlign w:val="bottom"/>
            <w:gridSpan w:val="1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11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SIGNATURES</w:t>
              </w:r>
            </w:hyperlink>
          </w:p>
        </w:tc>
        <w:tc>
          <w:tcPr>
            <w:tcW w:w="7560" w:type="dxa"/>
            <w:vAlign w:val="bottom"/>
            <w:gridSpan w:val="1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Arial" w:cs="Arial" w:eastAsia="Arial" w:hAnsi="Arial"/>
                <w:sz w:val="18"/>
                <w:szCs w:val="18"/>
                <w:color w:val="0000EE"/>
              </w:rPr>
              <w:t>Exhibit 10.1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760" w:type="dxa"/>
            <w:vAlign w:val="bottom"/>
            <w:gridSpan w:val="1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Arial" w:cs="Arial" w:eastAsia="Arial" w:hAnsi="Arial"/>
                <w:sz w:val="18"/>
                <w:szCs w:val="18"/>
                <w:color w:val="0000EE"/>
              </w:rPr>
              <w:t>Exhibit 31.1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18"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7"/>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Restated</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Restated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108,909</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98,946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313,736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285,594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45,717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144,162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133,409</w:t>
            </w:r>
          </w:p>
        </w:tc>
        <w:tc>
          <w:tcPr>
            <w:tcW w:w="0" w:type="dxa"/>
            <w:vAlign w:val="bottom"/>
          </w:tcPr>
          <w:p>
            <w:pPr>
              <w:spacing w:after="0"/>
              <w:rPr>
                <w:sz w:val="1"/>
                <w:szCs w:val="1"/>
                <w:color w:val="auto"/>
              </w:rPr>
            </w:pP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w w:val="91"/>
              </w:rPr>
              <w:t>Selling and promotional, including $151 and $2,702 for the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w w:val="98"/>
              </w:rPr>
              <w:t>three months ended September 30, 2011 and 2010,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w w:val="93"/>
              </w:rPr>
              <w:t>respectively, and $612 and $7,694 for the nine months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w w:val="94"/>
              </w:rPr>
              <w:t>ended September 30, 2011 and 2010, respectively, to</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0"/>
              <w:spacing w:after="0"/>
              <w:rPr>
                <w:sz w:val="20"/>
                <w:szCs w:val="20"/>
                <w:color w:val="auto"/>
              </w:rPr>
            </w:pPr>
            <w:r>
              <w:rPr>
                <w:rFonts w:ascii="Arial" w:cs="Arial" w:eastAsia="Arial" w:hAnsi="Arial"/>
                <w:sz w:val="18"/>
                <w:szCs w:val="18"/>
                <w:color w:val="auto"/>
              </w:rPr>
              <w:t>related parties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31,248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28,103</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88,789</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83,955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6,608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21,015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Lease termination fee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Exit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4280" w:type="dxa"/>
            <w:vAlign w:val="bottom"/>
          </w:tcPr>
          <w:p>
            <w:pPr>
              <w:ind w:left="200"/>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88,248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80,455</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254,888</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18,491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58,848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20,511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18,348</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58,620</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7,606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23,398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19,603</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10,742</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35,222</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b w:val="1"/>
                <w:bCs w:val="1"/>
                <w:color w:val="auto"/>
              </w:rPr>
              <w:t>Basic</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w w:val="97"/>
              </w:rPr>
              <w:t>Shares used in computing net income per common</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200"/>
              <w:spacing w:after="0"/>
              <w:rPr>
                <w:sz w:val="20"/>
                <w:szCs w:val="20"/>
                <w:color w:val="auto"/>
              </w:rPr>
            </w:pPr>
            <w:r>
              <w:rPr>
                <w:rFonts w:ascii="Arial" w:cs="Arial" w:eastAsia="Arial" w:hAnsi="Arial"/>
                <w:sz w:val="18"/>
                <w:szCs w:val="18"/>
                <w:b w:val="1"/>
                <w:bCs w:val="1"/>
                <w:color w:val="auto"/>
              </w:rPr>
              <w:t>share: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45,746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44,845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45,715</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46,351</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45,293</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300" w:type="dxa"/>
            <w:vAlign w:val="bottom"/>
            <w:gridSpan w:val="11"/>
          </w:tcPr>
          <w:p>
            <w:pPr>
              <w:jc w:val="center"/>
              <w:ind w:left="1270"/>
              <w:spacing w:after="0"/>
              <w:rPr>
                <w:sz w:val="20"/>
                <w:szCs w:val="20"/>
                <w:color w:val="auto"/>
              </w:rPr>
            </w:pPr>
            <w:r>
              <w:rPr>
                <w:rFonts w:ascii="Arial" w:cs="Arial" w:eastAsia="Arial" w:hAnsi="Arial"/>
                <w:sz w:val="18"/>
                <w:szCs w:val="18"/>
                <w:b w:val="1"/>
                <w:bCs w:val="1"/>
                <w:color w:val="auto"/>
              </w:rPr>
              <w:t>GRAND CANYON EDUCATION,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300" w:type="dxa"/>
            <w:vAlign w:val="bottom"/>
            <w:gridSpan w:val="11"/>
          </w:tcPr>
          <w:p>
            <w:pPr>
              <w:jc w:val="center"/>
              <w:ind w:left="1290"/>
              <w:spacing w:after="0"/>
              <w:rPr>
                <w:sz w:val="20"/>
                <w:szCs w:val="20"/>
                <w:color w:val="auto"/>
              </w:rPr>
            </w:pPr>
            <w:r>
              <w:rPr>
                <w:rFonts w:ascii="Arial" w:cs="Arial" w:eastAsia="Arial" w:hAnsi="Arial"/>
                <w:sz w:val="18"/>
                <w:szCs w:val="18"/>
                <w:b w:val="1"/>
                <w:bCs w:val="1"/>
                <w:color w:val="auto"/>
                <w:w w:val="88"/>
              </w:rPr>
              <w:t>Consolidated Statements of Comprehensive Income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5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4"/>
                <w:szCs w:val="24"/>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7"/>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Restated</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Restated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12,868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Unrealized losses on hedging derivatives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Unrealized losses on available for sale securities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Realized gains on available for sale securities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10,676</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35,169</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2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6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rPr>
              <w:t>GRAND CANYON EDUCATION, INC.</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6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w w:val="87"/>
              </w:rPr>
              <w:t>Consolidated Balance Sheets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4"/>
          </w:tcPr>
          <w:p>
            <w:pPr>
              <w:ind w:left="120"/>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980" w:type="dxa"/>
            <w:vAlign w:val="bottom"/>
            <w:gridSpan w:val="3"/>
          </w:tcPr>
          <w:p>
            <w:pPr>
              <w:spacing w:after="0"/>
              <w:rPr>
                <w:sz w:val="20"/>
                <w:szCs w:val="20"/>
                <w:color w:val="auto"/>
              </w:rPr>
            </w:pPr>
            <w:r>
              <w:rPr>
                <w:rFonts w:ascii="Arial" w:cs="Arial" w:eastAsia="Arial" w:hAnsi="Arial"/>
                <w:sz w:val="18"/>
                <w:szCs w:val="18"/>
                <w:b w:val="1"/>
                <w:bCs w:val="1"/>
                <w:color w:val="auto"/>
              </w:rPr>
              <w:t>(In thousands, except par value)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18,999</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33,637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Restricted cash and cash equivalents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47,177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52,178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8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$14,418 and $30,112 at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80" w:type="dxa"/>
            <w:vAlign w:val="bottom"/>
            <w:gridSpan w:val="3"/>
          </w:tcPr>
          <w:p>
            <w:pPr>
              <w:ind w:left="400"/>
              <w:spacing w:after="0"/>
              <w:rPr>
                <w:sz w:val="20"/>
                <w:szCs w:val="20"/>
                <w:color w:val="auto"/>
              </w:rPr>
            </w:pPr>
            <w:r>
              <w:rPr>
                <w:rFonts w:ascii="Arial" w:cs="Arial" w:eastAsia="Arial" w:hAnsi="Arial"/>
                <w:sz w:val="18"/>
                <w:szCs w:val="18"/>
                <w:color w:val="auto"/>
              </w:rPr>
              <w:t>September 30, 2011 and December 31, 2010, respectively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16,333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6,788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16,078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179,545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5,201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303,060</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275,096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60" w:type="dxa"/>
            <w:vAlign w:val="bottom"/>
            <w:gridSpan w:val="2"/>
            <w:vMerge w:val="restart"/>
          </w:tcPr>
          <w:p>
            <w:pPr>
              <w:jc w:val="center"/>
              <w:ind w:left="163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22,277</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tcPr>
          <w:p>
            <w:pPr>
              <w:ind w:left="20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9,134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Accrued litigation loss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tcPr>
          <w:p>
            <w:pPr>
              <w:ind w:left="200"/>
              <w:spacing w:after="0"/>
              <w:rPr>
                <w:sz w:val="20"/>
                <w:szCs w:val="20"/>
                <w:color w:val="auto"/>
              </w:rPr>
            </w:pPr>
            <w:r>
              <w:rPr>
                <w:rFonts w:ascii="Arial" w:cs="Arial" w:eastAsia="Arial" w:hAnsi="Arial"/>
                <w:sz w:val="18"/>
                <w:szCs w:val="18"/>
                <w:color w:val="auto"/>
              </w:rPr>
              <w:t>Accrued exit costs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tcPr>
          <w:p>
            <w:pPr>
              <w:ind w:left="200"/>
              <w:spacing w:after="0"/>
              <w:rPr>
                <w:sz w:val="20"/>
                <w:szCs w:val="20"/>
                <w:color w:val="auto"/>
              </w:rPr>
            </w:pPr>
            <w:r>
              <w:rPr>
                <w:rFonts w:ascii="Arial" w:cs="Arial" w:eastAsia="Arial" w:hAnsi="Arial"/>
                <w:sz w:val="18"/>
                <w:szCs w:val="18"/>
                <w:color w:val="auto"/>
              </w:rPr>
              <w:t>Student deposits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48,483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48,873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tcPr>
          <w:p>
            <w:pPr>
              <w:ind w:left="200"/>
              <w:spacing w:after="0"/>
              <w:rPr>
                <w:sz w:val="20"/>
                <w:szCs w:val="20"/>
                <w:color w:val="auto"/>
              </w:rPr>
            </w:pPr>
            <w:r>
              <w:rPr>
                <w:rFonts w:ascii="Arial" w:cs="Arial" w:eastAsia="Arial" w:hAnsi="Arial"/>
                <w:sz w:val="18"/>
                <w:szCs w:val="18"/>
                <w:color w:val="auto"/>
              </w:rPr>
              <w:t>Due to related parties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tcPr>
          <w:p>
            <w:pPr>
              <w:ind w:left="200"/>
              <w:spacing w:after="0"/>
              <w:rPr>
                <w:sz w:val="20"/>
                <w:szCs w:val="20"/>
                <w:color w:val="auto"/>
              </w:rPr>
            </w:pPr>
            <w:r>
              <w:rPr>
                <w:rFonts w:ascii="Arial" w:cs="Arial" w:eastAsia="Arial" w:hAnsi="Arial"/>
                <w:sz w:val="18"/>
                <w:szCs w:val="18"/>
                <w:color w:val="auto"/>
              </w:rPr>
              <w:t>Current portion of notes payable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1,760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Notes payable, less current portion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20,329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21,881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156,388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147,595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80" w:type="dxa"/>
            <w:vAlign w:val="bottom"/>
            <w:gridSpan w:val="3"/>
          </w:tcPr>
          <w:p>
            <w:pPr>
              <w:spacing w:after="0" w:line="201" w:lineRule="exact"/>
              <w:rPr>
                <w:sz w:val="20"/>
                <w:szCs w:val="20"/>
                <w:color w:val="auto"/>
              </w:rPr>
            </w:pPr>
            <w:r>
              <w:rPr>
                <w:rFonts w:ascii="Arial" w:cs="Arial" w:eastAsia="Arial" w:hAnsi="Arial"/>
                <w:sz w:val="18"/>
                <w:szCs w:val="18"/>
                <w:color w:val="auto"/>
                <w:w w:val="91"/>
              </w:rPr>
              <w:t>Preferred stock, $0.01 par value, 10,000 shares authorized; 0 shares issued and outstanding at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80" w:type="dxa"/>
            <w:vAlign w:val="bottom"/>
            <w:gridSpan w:val="3"/>
          </w:tcPr>
          <w:p>
            <w:pPr>
              <w:ind w:left="200"/>
              <w:spacing w:after="0"/>
              <w:rPr>
                <w:sz w:val="20"/>
                <w:szCs w:val="20"/>
                <w:color w:val="auto"/>
              </w:rPr>
            </w:pPr>
            <w:r>
              <w:rPr>
                <w:rFonts w:ascii="Arial" w:cs="Arial" w:eastAsia="Arial" w:hAnsi="Arial"/>
                <w:sz w:val="18"/>
                <w:szCs w:val="18"/>
                <w:color w:val="auto"/>
              </w:rPr>
              <w:t>September 30, 2011 and December 31, 2010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45,938 and 45,811 shares issued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2"/>
              </w:rPr>
              <w:t>and 44,331 and 45,761 shares outstanding at September 30, 2011 and December 31, 2010,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80" w:type="dxa"/>
            <w:vAlign w:val="bottom"/>
            <w:gridSpan w:val="3"/>
          </w:tcPr>
          <w:p>
            <w:pPr>
              <w:spacing w:after="0" w:line="201" w:lineRule="exact"/>
              <w:rPr>
                <w:sz w:val="20"/>
                <w:szCs w:val="20"/>
                <w:color w:val="auto"/>
              </w:rPr>
            </w:pPr>
            <w:r>
              <w:rPr>
                <w:rFonts w:ascii="Arial" w:cs="Arial" w:eastAsia="Arial" w:hAnsi="Arial"/>
                <w:sz w:val="18"/>
                <w:szCs w:val="18"/>
                <w:color w:val="auto"/>
                <w:w w:val="96"/>
              </w:rPr>
              <w:t>Treasury stock, at cost, 1,607 and 50 shares of common stock at September 30, 2011 and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80" w:type="dxa"/>
            <w:vAlign w:val="bottom"/>
            <w:gridSpan w:val="3"/>
          </w:tcPr>
          <w:p>
            <w:pPr>
              <w:ind w:left="200"/>
              <w:spacing w:after="0"/>
              <w:rPr>
                <w:sz w:val="20"/>
                <w:szCs w:val="20"/>
                <w:color w:val="auto"/>
              </w:rPr>
            </w:pPr>
            <w:r>
              <w:rPr>
                <w:rFonts w:ascii="Arial" w:cs="Arial" w:eastAsia="Arial" w:hAnsi="Arial"/>
                <w:sz w:val="18"/>
                <w:szCs w:val="18"/>
                <w:color w:val="auto"/>
              </w:rPr>
              <w:t>December 31, 2010, respectively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(23,153)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86,043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80" w:type="dxa"/>
            <w:vAlign w:val="bottom"/>
            <w:gridSpan w:val="3"/>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146,672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303,060</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275,096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9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gridSpan w:val="11"/>
          </w:tcPr>
          <w:p>
            <w:pPr>
              <w:jc w:val="center"/>
              <w:ind w:right="630"/>
              <w:spacing w:after="0"/>
              <w:rPr>
                <w:sz w:val="20"/>
                <w:szCs w:val="20"/>
                <w:color w:val="auto"/>
              </w:rPr>
            </w:pPr>
            <w:r>
              <w:rPr>
                <w:rFonts w:ascii="Arial" w:cs="Arial" w:eastAsia="Arial" w:hAnsi="Arial"/>
                <w:sz w:val="18"/>
                <w:szCs w:val="18"/>
                <w:b w:val="1"/>
                <w:bCs w:val="1"/>
                <w:color w:val="auto"/>
              </w:rPr>
              <w:t>GRAND CANYON EDUCATION, INC.</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89"/>
              </w:rPr>
              <w:t>Consolidated Statement of Stockholders’ Equity</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6"/>
          </w:tcPr>
          <w:p>
            <w:pPr>
              <w:jc w:val="center"/>
              <w:ind w:right="68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3"/>
              </w:rPr>
              <w:t>(Unaudited)</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gridSpan w:val="5"/>
            <w:vMerge w:val="restart"/>
          </w:tcPr>
          <w:p>
            <w:pPr>
              <w:ind w:left="160"/>
              <w:spacing w:after="0"/>
              <w:rPr>
                <w:sz w:val="20"/>
                <w:szCs w:val="20"/>
                <w:color w:val="auto"/>
              </w:rPr>
            </w:pPr>
            <w:r>
              <w:rPr>
                <w:rFonts w:ascii="Arial" w:cs="Arial" w:eastAsia="Arial" w:hAnsi="Arial"/>
                <w:sz w:val="18"/>
                <w:szCs w:val="18"/>
                <w:b w:val="1"/>
                <w:bCs w:val="1"/>
                <w:color w:val="auto"/>
              </w:rPr>
              <w:t>Common Stock</w:t>
            </w:r>
          </w:p>
        </w:tc>
        <w:tc>
          <w:tcPr>
            <w:tcW w:w="1880" w:type="dxa"/>
            <w:vAlign w:val="bottom"/>
            <w:gridSpan w:val="5"/>
            <w:vMerge w:val="restart"/>
          </w:tcPr>
          <w:p>
            <w:pPr>
              <w:jc w:val="right"/>
              <w:ind w:right="420"/>
              <w:spacing w:after="0"/>
              <w:rPr>
                <w:sz w:val="20"/>
                <w:szCs w:val="20"/>
                <w:color w:val="auto"/>
              </w:rPr>
            </w:pPr>
            <w:r>
              <w:rPr>
                <w:rFonts w:ascii="Arial" w:cs="Arial" w:eastAsia="Arial" w:hAnsi="Arial"/>
                <w:sz w:val="18"/>
                <w:szCs w:val="18"/>
                <w:b w:val="1"/>
                <w:bCs w:val="1"/>
                <w:color w:val="auto"/>
              </w:rPr>
              <w:t>Treasury Stock</w:t>
            </w:r>
          </w:p>
        </w:tc>
        <w:tc>
          <w:tcPr>
            <w:tcW w:w="1000" w:type="dxa"/>
            <w:vAlign w:val="bottom"/>
            <w:gridSpan w:val="4"/>
          </w:tcPr>
          <w:p>
            <w:pPr>
              <w:ind w:left="80"/>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19"/>
                <w:szCs w:val="19"/>
                <w:color w:val="auto"/>
              </w:rPr>
            </w:pPr>
          </w:p>
        </w:tc>
        <w:tc>
          <w:tcPr>
            <w:tcW w:w="840" w:type="dxa"/>
            <w:vAlign w:val="bottom"/>
          </w:tcPr>
          <w:p>
            <w:pPr>
              <w:jc w:val="center"/>
              <w:ind w:left="25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gridSpan w:val="5"/>
            <w:vMerge w:val="continue"/>
          </w:tcPr>
          <w:p>
            <w:pPr>
              <w:spacing w:after="0"/>
              <w:rPr>
                <w:sz w:val="19"/>
                <w:szCs w:val="19"/>
                <w:color w:val="auto"/>
              </w:rPr>
            </w:pPr>
          </w:p>
        </w:tc>
        <w:tc>
          <w:tcPr>
            <w:tcW w:w="1880" w:type="dxa"/>
            <w:vAlign w:val="bottom"/>
            <w:gridSpan w:val="5"/>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Paid-in</w:t>
            </w:r>
          </w:p>
        </w:tc>
        <w:tc>
          <w:tcPr>
            <w:tcW w:w="14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Comprehensive</w:t>
            </w:r>
          </w:p>
        </w:tc>
        <w:tc>
          <w:tcPr>
            <w:tcW w:w="132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Shares</w:t>
            </w:r>
          </w:p>
        </w:tc>
        <w:tc>
          <w:tcPr>
            <w:tcW w:w="96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0"/>
              </w:rPr>
              <w:t>Par Value</w:t>
            </w:r>
          </w:p>
        </w:tc>
        <w:tc>
          <w:tcPr>
            <w:tcW w:w="200" w:type="dxa"/>
            <w:vAlign w:val="bottom"/>
          </w:tcPr>
          <w:p>
            <w:pPr>
              <w:spacing w:after="0"/>
              <w:rPr>
                <w:sz w:val="18"/>
                <w:szCs w:val="18"/>
                <w:color w:val="auto"/>
              </w:rPr>
            </w:pP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Stated Value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18"/>
                <w:szCs w:val="18"/>
                <w:color w:val="auto"/>
              </w:rPr>
            </w:pPr>
          </w:p>
        </w:tc>
        <w:tc>
          <w:tcPr>
            <w:tcW w:w="840" w:type="dxa"/>
            <w:vAlign w:val="bottom"/>
          </w:tcPr>
          <w:p>
            <w:pPr>
              <w:jc w:val="center"/>
              <w:ind w:left="270"/>
              <w:spacing w:after="0"/>
              <w:rPr>
                <w:sz w:val="20"/>
                <w:szCs w:val="20"/>
                <w:color w:val="auto"/>
              </w:rPr>
            </w:pPr>
            <w:r>
              <w:rPr>
                <w:rFonts w:ascii="Arial" w:cs="Arial" w:eastAsia="Arial" w:hAnsi="Arial"/>
                <w:sz w:val="18"/>
                <w:szCs w:val="18"/>
                <w:b w:val="1"/>
                <w:bCs w:val="1"/>
                <w:color w:val="auto"/>
                <w:w w:val="85"/>
              </w:rPr>
              <w:t>Loss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5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Balance at</w:t>
            </w: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31,</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5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45,811</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77,449</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(445)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50,821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$127,501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35,222</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35,222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Unrealized loss on</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hedging</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derivative, net of</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 of $41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gridSpan w:val="2"/>
          </w:tcPr>
          <w:p>
            <w:pPr>
              <w:spacing w:after="0" w:line="201" w:lineRule="exact"/>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color w:val="auto"/>
              </w:rPr>
              <w:t>purchased for</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color w:val="auto"/>
              </w:rPr>
              <w:t>treasury</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1,557</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(22,371)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(22,371)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Exercise of stock</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gridSpan w:val="2"/>
          </w:tcPr>
          <w:p>
            <w:pPr>
              <w:spacing w:after="0" w:line="201" w:lineRule="exact"/>
              <w:rPr>
                <w:sz w:val="20"/>
                <w:szCs w:val="20"/>
                <w:color w:val="auto"/>
              </w:rPr>
            </w:pPr>
            <w:r>
              <w:rPr>
                <w:rFonts w:ascii="Arial" w:cs="Arial" w:eastAsia="Arial" w:hAnsi="Arial"/>
                <w:sz w:val="18"/>
                <w:szCs w:val="18"/>
                <w:color w:val="auto"/>
              </w:rPr>
              <w:t>Excess tax benefits</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color w:val="auto"/>
              </w:rPr>
              <w:t>from share-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color w:val="auto"/>
              </w:rPr>
              <w:t>based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color w:val="auto"/>
              </w:rPr>
              <w:t>compensation</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4,797</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Balance at</w:t>
            </w: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color w:val="auto"/>
              </w:rPr>
              <w:t>September 30,</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tcPr>
          <w:p>
            <w:pPr>
              <w:ind w:left="540"/>
              <w:spacing w:after="0"/>
              <w:rPr>
                <w:sz w:val="20"/>
                <w:szCs w:val="20"/>
                <w:color w:val="auto"/>
              </w:rPr>
            </w:pPr>
            <w:r>
              <w:rPr>
                <w:rFonts w:ascii="Arial" w:cs="Arial" w:eastAsia="Arial" w:hAnsi="Arial"/>
                <w:sz w:val="18"/>
                <w:szCs w:val="18"/>
                <w:color w:val="auto"/>
              </w:rPr>
              <w:t>2011</w:t>
            </w:r>
          </w:p>
        </w:tc>
        <w:tc>
          <w:tcPr>
            <w:tcW w:w="5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45,938</w:t>
            </w: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459</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1,607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(23,153)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83,821</w:t>
            </w:r>
          </w:p>
        </w:tc>
        <w:tc>
          <w:tcPr>
            <w:tcW w:w="94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(498)</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86,043</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146,672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ind w:left="7960" w:right="399" w:hanging="8814"/>
        <w:spacing w:after="0" w:line="266" w:lineRule="auto"/>
        <w:tabs>
          <w:tab w:leader="none" w:pos="7940" w:val="left"/>
        </w:tabs>
        <w:rPr>
          <w:sz w:val="20"/>
          <w:szCs w:val="20"/>
          <w:color w:val="auto"/>
        </w:rPr>
      </w:pPr>
      <w:r>
        <w:rPr>
          <w:rFonts w:ascii="Arial" w:cs="Arial" w:eastAsia="Arial" w:hAnsi="Arial"/>
          <w:sz w:val="18"/>
          <w:szCs w:val="18"/>
          <w:b w:val="1"/>
          <w:bCs w:val="1"/>
          <w:color w:val="auto"/>
        </w:rPr>
        <w:t>(In thousands)</w:t>
      </w:r>
      <w:r>
        <w:rPr>
          <w:sz w:val="20"/>
          <w:szCs w:val="20"/>
          <w:color w:val="auto"/>
        </w:rPr>
        <w:tab/>
      </w:r>
      <w:r>
        <w:rPr>
          <w:rFonts w:ascii="Arial" w:cs="Arial" w:eastAsia="Arial" w:hAnsi="Arial"/>
          <w:sz w:val="18"/>
          <w:szCs w:val="18"/>
          <w:b w:val="1"/>
          <w:bCs w:val="1"/>
          <w:color w:val="auto"/>
        </w:rPr>
        <w:t>2011 2010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-145415</wp:posOffset>
            </wp:positionV>
            <wp:extent cx="14751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510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0</wp:posOffset>
            </wp:positionV>
            <wp:extent cx="61144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35,222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28,956</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4,797</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3,685</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Amortization of debt issuance costs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bad debts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27,903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29,283</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12,054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8,551</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 termination fee</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Non-capitalizable system conversion costs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4,013</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Litigation settlement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Exit costs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10,185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(9,461)</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(26,253)</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(39,080)</w:t>
            </w: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(4,260)</w:t>
            </w: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Due to/from related parties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(9,882)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3,584</w:t>
            </w: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5,317</w:t>
            </w: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Accrued liabilities and employee related liabilities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(4,208)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5,949</w:t>
            </w: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receivable/payable</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Deferred rent</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3,123</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19,712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10,009</w:t>
            </w: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Student deposits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(390)</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34,768</w:t>
            </w:r>
          </w:p>
        </w:tc>
      </w:tr>
      <w:tr>
        <w:trPr>
          <w:trHeight w:val="27"/>
        </w:trPr>
        <w:tc>
          <w:tcPr>
            <w:tcW w:w="6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65,491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80,534</w:t>
            </w:r>
          </w:p>
        </w:tc>
      </w:t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7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(61,515)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(39,595)</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5,206</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(52,603)</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r>
      <w:tr>
        <w:trPr>
          <w:trHeight w:val="230"/>
        </w:trPr>
        <w:tc>
          <w:tcPr>
            <w:tcW w:w="656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(56,309)</w:t>
            </w:r>
          </w:p>
        </w:tc>
        <w:tc>
          <w:tcPr>
            <w:tcW w:w="3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(91,711)</w:t>
            </w:r>
          </w:p>
        </w:tc>
        <w:tc>
          <w:tcPr>
            <w:tcW w:w="100" w:type="dxa"/>
            <w:vAlign w:val="bottom"/>
          </w:tcPr>
          <w:p>
            <w:pPr>
              <w:spacing w:after="0"/>
              <w:rPr>
                <w:sz w:val="20"/>
                <w:szCs w:val="20"/>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(2,856)</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(2,209)</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Repurchase of common shares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(22,371)</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(782)</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1,477</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r>
      <w:tr>
        <w:trPr>
          <w:trHeight w:val="27"/>
        </w:trPr>
        <w:tc>
          <w:tcPr>
            <w:tcW w:w="6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(23,820)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(923)</w:t>
            </w:r>
          </w:p>
        </w:tc>
      </w:t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7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(14,638)</w:t>
            </w: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33,637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62,571</w:t>
            </w:r>
          </w:p>
        </w:tc>
      </w:t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7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18,999</w:t>
            </w:r>
          </w:p>
        </w:tc>
        <w:tc>
          <w:tcPr>
            <w:tcW w:w="3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50,471</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10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10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29,528</w:t>
            </w: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0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7,580</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Purchases of equipment through capital lease obligations</w:t>
            </w:r>
          </w:p>
        </w:tc>
        <w:tc>
          <w:tcPr>
            <w:tcW w:w="10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of Spirit warrant intangible</w:t>
            </w:r>
          </w:p>
        </w:tc>
        <w:tc>
          <w:tcPr>
            <w:tcW w:w="10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30"/>
        </w:trPr>
        <w:tc>
          <w:tcPr>
            <w:tcW w:w="6560" w:type="dxa"/>
            <w:vAlign w:val="bottom"/>
          </w:tcPr>
          <w:p>
            <w:pPr>
              <w:ind w:left="200"/>
              <w:spacing w:after="0"/>
              <w:rPr>
                <w:sz w:val="20"/>
                <w:szCs w:val="20"/>
                <w:color w:val="auto"/>
              </w:rPr>
            </w:pPr>
            <w:r>
              <w:rPr>
                <w:rFonts w:ascii="Arial" w:cs="Arial" w:eastAsia="Arial" w:hAnsi="Arial"/>
                <w:sz w:val="18"/>
                <w:szCs w:val="18"/>
                <w:color w:val="auto"/>
              </w:rPr>
              <w:t>Shortfall tax expense from share-based compensation</w:t>
            </w:r>
          </w:p>
        </w:tc>
        <w:tc>
          <w:tcPr>
            <w:tcW w:w="10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left="340" w:right="199" w:firstLine="389"/>
        <w:spacing w:after="0" w:line="255" w:lineRule="auto"/>
        <w:rPr>
          <w:sz w:val="20"/>
          <w:szCs w:val="20"/>
          <w:color w:val="auto"/>
        </w:rPr>
      </w:pPr>
      <w:r>
        <w:rPr>
          <w:rFonts w:ascii="Arial" w:cs="Arial" w:eastAsia="Arial" w:hAnsi="Arial"/>
          <w:sz w:val="18"/>
          <w:szCs w:val="18"/>
          <w:color w:val="auto"/>
        </w:rPr>
        <w:t>Grand Canyon Education, Inc. ( together with its subsidiaries, the “University”) is a regionally accredited provider of postsecondary education services focused on offering graduate and undergraduate degree programs in its core disciplines of education, business, healthcare, and liberal arts. The University offers courses online, at its approximately 110 acre traditional ground campus in Phoenix, Arizona and onsite at the facilities of employers. The University’s wholly-owned subsidiaries are currently dormant subsidiaries. The University is accredited by The Higher Learning Commission of the North Central Association of Colleges and Schools.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Restatement of Consolidated Financial Statements</w:t>
      </w:r>
    </w:p>
    <w:p>
      <w:pPr>
        <w:spacing w:after="0" w:line="202" w:lineRule="exact"/>
        <w:rPr>
          <w:sz w:val="20"/>
          <w:szCs w:val="20"/>
          <w:color w:val="auto"/>
        </w:rPr>
      </w:pPr>
    </w:p>
    <w:p>
      <w:pPr>
        <w:ind w:left="340" w:right="419" w:firstLine="194"/>
        <w:spacing w:after="0" w:line="342" w:lineRule="auto"/>
        <w:rPr>
          <w:sz w:val="20"/>
          <w:szCs w:val="20"/>
          <w:color w:val="auto"/>
        </w:rPr>
      </w:pPr>
      <w:r>
        <w:rPr>
          <w:rFonts w:ascii="Arial" w:cs="Arial" w:eastAsia="Arial" w:hAnsi="Arial"/>
          <w:sz w:val="16"/>
          <w:szCs w:val="16"/>
          <w:color w:val="auto"/>
        </w:rPr>
        <w:t>On November 3, 2011, the University determined that there was an error in the methodology it used to estimate its allowance for doubtful accounts and that its financial statements for the three and nine months ended September 30, 2010 needed to be restated.</w:t>
      </w:r>
    </w:p>
    <w:p>
      <w:pPr>
        <w:spacing w:after="0" w:line="83" w:lineRule="exact"/>
        <w:rPr>
          <w:sz w:val="20"/>
          <w:szCs w:val="20"/>
          <w:color w:val="auto"/>
        </w:rPr>
      </w:pPr>
    </w:p>
    <w:p>
      <w:pPr>
        <w:ind w:left="340" w:right="179" w:firstLine="194"/>
        <w:spacing w:after="0" w:line="268" w:lineRule="auto"/>
        <w:rPr>
          <w:sz w:val="20"/>
          <w:szCs w:val="20"/>
          <w:color w:val="auto"/>
        </w:rPr>
      </w:pPr>
      <w:r>
        <w:rPr>
          <w:rFonts w:ascii="Arial" w:cs="Arial" w:eastAsia="Arial" w:hAnsi="Arial"/>
          <w:sz w:val="17"/>
          <w:szCs w:val="17"/>
          <w:color w:val="auto"/>
        </w:rPr>
        <w:t>In recent periods, the University experienced a significant change in the composition of its receivable balances since its transition to the borrower-based financial aid model in the second quarter of 2010 in which the receivables due from former students had grown as a percentage of the total amount outstanding. However, the University’s historical process for estimating the allowance for doubtful accounts did not consider the disaggregation of receivable balances by student based on enrollment status. As a result, the growth in the inactive student receivables was not evident when making the allowance estimate in prior periods. As the University’s collection experience indicates that receivables from former students carry a higher risk, this disaggregated information should have been considered in determining the probability of loss within the University’s receivables. If such information had been evaluated, management would have increased the allowance for doubtful accounts to reflect the increased risk profile of the receivables in prior periods. Accordingly, the Audit Committee of the Board of Directors together with management, determined that, because management should have taken the additional steps necessary to develop the disaggregated information for use in the analysis of reserve requirements and resulting allowance for doubtful accounts, the financial statements for the fiscal year ended December 31, 2010 and for the quarters ended June 30, 2010, September 30, 2010, March 31, 2011 and June 30, 2011 should be restated to correct the allowance for doubtful accounts.</w:t>
      </w:r>
    </w:p>
    <w:p>
      <w:pPr>
        <w:spacing w:after="0" w:line="147" w:lineRule="exact"/>
        <w:rPr>
          <w:sz w:val="20"/>
          <w:szCs w:val="20"/>
          <w:color w:val="auto"/>
        </w:rPr>
      </w:pPr>
    </w:p>
    <w:p>
      <w:pPr>
        <w:ind w:left="340" w:right="339" w:firstLine="389"/>
        <w:spacing w:after="0" w:line="277" w:lineRule="auto"/>
        <w:rPr>
          <w:sz w:val="20"/>
          <w:szCs w:val="20"/>
          <w:color w:val="auto"/>
        </w:rPr>
      </w:pPr>
      <w:r>
        <w:rPr>
          <w:rFonts w:ascii="Arial" w:cs="Arial" w:eastAsia="Arial" w:hAnsi="Arial"/>
          <w:sz w:val="18"/>
          <w:szCs w:val="18"/>
          <w:color w:val="auto"/>
        </w:rPr>
        <w:t>The following table summarizes the unaudited quarterly results of operations as originally reported and as restated for the three and nine months ended September 30,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8"/>
              </w:rPr>
              <w:t>Three Months Ended</w:t>
            </w:r>
          </w:p>
        </w:tc>
        <w:tc>
          <w:tcPr>
            <w:tcW w:w="240" w:type="dxa"/>
            <w:vAlign w:val="bottom"/>
          </w:tcPr>
          <w:p>
            <w:pPr>
              <w:spacing w:after="0"/>
              <w:rPr>
                <w:sz w:val="18"/>
                <w:szCs w:val="18"/>
                <w:color w:val="auto"/>
              </w:rPr>
            </w:pPr>
          </w:p>
        </w:tc>
        <w:tc>
          <w:tcPr>
            <w:tcW w:w="21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 2010</w:t>
            </w:r>
          </w:p>
        </w:tc>
        <w:tc>
          <w:tcPr>
            <w:tcW w:w="240" w:type="dxa"/>
            <w:vAlign w:val="bottom"/>
          </w:tcPr>
          <w:p>
            <w:pPr>
              <w:spacing w:after="0"/>
              <w:rPr>
                <w:sz w:val="20"/>
                <w:szCs w:val="20"/>
                <w:color w:val="auto"/>
              </w:rPr>
            </w:pPr>
          </w:p>
        </w:tc>
        <w:tc>
          <w:tcPr>
            <w:tcW w:w="21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7"/>
              </w:rPr>
              <w:t>September 30, 2010</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As Reported</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As Restated</w:t>
            </w:r>
          </w:p>
        </w:tc>
        <w:tc>
          <w:tcPr>
            <w:tcW w:w="380" w:type="dxa"/>
            <w:vAlign w:val="bottom"/>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As Reported</w:t>
            </w: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As Restated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8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98,946</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98,946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285,794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285,594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42,070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45,717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120,472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133,409</w:t>
            </w:r>
          </w:p>
        </w:tc>
        <w:tc>
          <w:tcPr>
            <w:tcW w:w="0" w:type="dxa"/>
            <w:vAlign w:val="bottom"/>
          </w:tcPr>
          <w:p>
            <w:pPr>
              <w:spacing w:after="0"/>
              <w:rPr>
                <w:sz w:val="1"/>
                <w:szCs w:val="1"/>
                <w:color w:val="auto"/>
              </w:rPr>
            </w:pP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28,103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28,103</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83,955</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83,955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18,888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18,888</w:t>
            </w:r>
          </w:p>
        </w:tc>
        <w:tc>
          <w:tcPr>
            <w:tcW w:w="0" w:type="dxa"/>
            <w:vAlign w:val="bottom"/>
          </w:tcPr>
          <w:p>
            <w:pPr>
              <w:spacing w:after="0"/>
              <w:rPr>
                <w:sz w:val="1"/>
                <w:szCs w:val="1"/>
                <w:color w:val="auto"/>
              </w:rPr>
            </w:pP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Exit costs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80,455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223,547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236,484</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18,491</w:t>
            </w: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62,247</w:t>
            </w: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18,348</w:t>
            </w: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61,696</w:t>
            </w: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24,902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19,603</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10,742</w:t>
            </w:r>
          </w:p>
        </w:tc>
        <w:tc>
          <w:tcPr>
            <w:tcW w:w="3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36,794</w:t>
            </w:r>
          </w:p>
        </w:tc>
        <w:tc>
          <w:tcPr>
            <w:tcW w:w="3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Basic income per share(1)</w:t>
            </w:r>
          </w:p>
        </w:tc>
        <w:tc>
          <w:tcPr>
            <w:tcW w:w="80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0.23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0.80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share(1)</w:t>
            </w:r>
          </w:p>
        </w:tc>
        <w:tc>
          <w:tcPr>
            <w:tcW w:w="8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45,746</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45,715</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46,351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46,351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46,413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right="2619" w:hanging="8"/>
        <w:spacing w:after="0" w:line="543" w:lineRule="auto"/>
        <w:tabs>
          <w:tab w:leader="none" w:pos="73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sum of quarterly income per share may not equal annual income per share due to rounding. The following is a summary of the changes on the University’s statement of cash flows.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5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8"/>
              </w:rPr>
              <w:t>September 30, 2010</w:t>
            </w:r>
          </w:p>
        </w:tc>
      </w:tr>
      <w:tr>
        <w:trPr>
          <w:trHeight w:val="210"/>
        </w:trPr>
        <w:tc>
          <w:tcPr>
            <w:tcW w:w="5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As Reported</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As Restated</w:t>
            </w:r>
          </w:p>
        </w:tc>
        <w:tc>
          <w:tcPr>
            <w:tcW w:w="100" w:type="dxa"/>
            <w:vAlign w:val="bottom"/>
          </w:tcPr>
          <w:p>
            <w:pPr>
              <w:spacing w:after="0"/>
              <w:rPr>
                <w:sz w:val="18"/>
                <w:szCs w:val="18"/>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2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36,794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28,956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Provision for bad debts</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16,347</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29,283</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Changes in accounts receivable</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(39,280)</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(39,080)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80,534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80,534</w:t>
            </w:r>
          </w:p>
        </w:tc>
      </w:tr>
    </w:tbl>
    <w:p>
      <w:pPr>
        <w:sectPr>
          <w:pgSz w:w="11900" w:h="16838" w:orient="portrait"/>
          <w:cols w:equalWidth="0" w:num="1">
            <w:col w:w="10219"/>
          </w:cols>
          <w:pgMar w:left="240" w:top="419" w:right="1440" w:bottom="319" w:gutter="0" w:footer="0" w:header="0"/>
        </w:sectPr>
      </w:pPr>
    </w:p>
    <w:bookmarkStart w:id="9" w:name="page10"/>
    <w:bookmarkEnd w:id="9"/>
    <w:p>
      <w:pPr>
        <w:ind w:left="39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157480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consolidated financial statements include the accounts of Grand Canyon Education, Inc. and its wholly-owned subsidiaries.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85" w:lineRule="exact"/>
        <w:rPr>
          <w:sz w:val="20"/>
          <w:szCs w:val="20"/>
          <w:color w:val="auto"/>
        </w:rPr>
      </w:pPr>
    </w:p>
    <w:p>
      <w:pPr>
        <w:ind w:left="340" w:right="199" w:firstLine="389"/>
        <w:spacing w:after="0" w:line="290"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consistent in all material respects with those applied in its financial statements included in its Annual Report on Form 10-K/A for the fiscal year ended December 31, 2010.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This Quarterly Report on Form 10-Q should be read in conjunction with the University’s audited financial statements and footnotes included in its Annual Report on Form 10-K/A for the fiscal year ended December 31, 2010 from which the December 31, 2010 balance sheet information was derived.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98" w:lineRule="exact"/>
        <w:rPr>
          <w:sz w:val="20"/>
          <w:szCs w:val="20"/>
          <w:color w:val="auto"/>
        </w:rPr>
      </w:pPr>
    </w:p>
    <w:p>
      <w:pPr>
        <w:ind w:left="340" w:right="159" w:firstLine="389"/>
        <w:spacing w:after="0" w:line="286" w:lineRule="auto"/>
        <w:rPr>
          <w:sz w:val="20"/>
          <w:szCs w:val="20"/>
          <w:color w:val="auto"/>
        </w:rPr>
      </w:pPr>
      <w:r>
        <w:rPr>
          <w:rFonts w:ascii="Arial" w:cs="Arial" w:eastAsia="Arial" w:hAnsi="Arial"/>
          <w:sz w:val="16"/>
          <w:szCs w:val="16"/>
          <w:color w:val="auto"/>
        </w:rPr>
        <w:t xml:space="preserve">A significant portion of the University’s revenue is received from students who participate in government financial aid and assistance programs. Restricted cash and cash equivalents primarily represents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(“Departmnent of Education”) requires Title IV funds collected in advance of student billings to be segregated in a separate cash or cash equivalent account until the course begins. The University records all of these amounts as a current asset in restricted cash and cash equivalents until the cash is no longer restricted, at which time such amounts are reclassified as cash and cash equivalents. The majority of these funds remain as restricted cash and cash equivalents for an average of 60 to 90 days from the date of receipt. In addition, the University had previously classified the $5,200 that it had agreed to pay in connection with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that it settled in 2010 as restricted cash; this amount was paid during the second quarter of 2011 in final payment of all amounts due under the settlement agreement. In the third quarter of 2011, as a result of the opening of the Grand Canyon University Arena, a multi-purpose facility that the University uses for athletic competitions, concerts and other events (the “University Arena”), the University began receiving cash related to advanced ticket sales for future events. Any cash received relating to advance ticket sales for future events is also classified as restricted until the event occurs.</w:t>
      </w:r>
    </w:p>
    <w:p>
      <w:pPr>
        <w:spacing w:after="0" w:line="131" w:lineRule="exact"/>
        <w:rPr>
          <w:sz w:val="20"/>
          <w:szCs w:val="20"/>
          <w:color w:val="auto"/>
        </w:rPr>
      </w:pPr>
    </w:p>
    <w:p>
      <w:pPr>
        <w:ind w:left="340" w:right="239" w:firstLine="389"/>
        <w:spacing w:after="0" w:line="342" w:lineRule="auto"/>
        <w:rPr>
          <w:sz w:val="20"/>
          <w:szCs w:val="20"/>
          <w:color w:val="auto"/>
        </w:rPr>
      </w:pPr>
      <w:r>
        <w:rPr>
          <w:rFonts w:ascii="Arial" w:cs="Arial" w:eastAsia="Arial" w:hAnsi="Arial"/>
          <w:sz w:val="16"/>
          <w:szCs w:val="16"/>
          <w:color w:val="auto"/>
        </w:rPr>
        <w:t>In the fourth quarter of 2010, the counterparty to the University’s interest rate swap made a collateral call and the University posted $760 of pledged collateral as noncurrent restricted cash. The pledged collateral was reduced to $555 as of September 30, 2011.</w:t>
      </w:r>
    </w:p>
    <w:p>
      <w:pPr>
        <w:spacing w:after="0" w:line="200" w:lineRule="exact"/>
        <w:rPr>
          <w:sz w:val="20"/>
          <w:szCs w:val="20"/>
          <w:color w:val="auto"/>
        </w:rPr>
      </w:pPr>
    </w:p>
    <w:p>
      <w:pPr>
        <w:spacing w:after="0" w:line="28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85" w:lineRule="exact"/>
        <w:rPr>
          <w:sz w:val="20"/>
          <w:szCs w:val="20"/>
          <w:color w:val="auto"/>
        </w:rPr>
      </w:pPr>
    </w:p>
    <w:p>
      <w:pPr>
        <w:ind w:left="340" w:right="279" w:firstLine="389"/>
        <w:spacing w:after="0" w:line="276" w:lineRule="auto"/>
        <w:rPr>
          <w:sz w:val="20"/>
          <w:szCs w:val="20"/>
          <w:color w:val="auto"/>
        </w:rPr>
      </w:pPr>
      <w:r>
        <w:rPr>
          <w:rFonts w:ascii="Arial" w:cs="Arial" w:eastAsia="Arial" w:hAnsi="Arial"/>
          <w:sz w:val="17"/>
          <w:szCs w:val="17"/>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32" w:lineRule="exact"/>
        <w:rPr>
          <w:sz w:val="20"/>
          <w:szCs w:val="20"/>
          <w:color w:val="auto"/>
        </w:rPr>
      </w:pPr>
    </w:p>
    <w:p>
      <w:pPr>
        <w:ind w:left="340" w:right="219" w:firstLine="389"/>
        <w:spacing w:after="0" w:line="257" w:lineRule="auto"/>
        <w:rPr>
          <w:sz w:val="20"/>
          <w:szCs w:val="20"/>
          <w:color w:val="auto"/>
        </w:rPr>
      </w:pPr>
      <w:r>
        <w:rPr>
          <w:rFonts w:ascii="Arial" w:cs="Arial" w:eastAsia="Arial" w:hAnsi="Arial"/>
          <w:sz w:val="18"/>
          <w:szCs w:val="18"/>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61" w:lineRule="exact"/>
        <w:rPr>
          <w:sz w:val="20"/>
          <w:szCs w:val="20"/>
          <w:color w:val="auto"/>
        </w:rPr>
      </w:pPr>
    </w:p>
    <w:p>
      <w:pPr>
        <w:ind w:left="340" w:right="179" w:firstLine="389"/>
        <w:spacing w:after="0" w:line="270" w:lineRule="auto"/>
        <w:rPr>
          <w:sz w:val="20"/>
          <w:szCs w:val="20"/>
          <w:color w:val="auto"/>
        </w:rPr>
      </w:pPr>
      <w:r>
        <w:rPr>
          <w:rFonts w:ascii="Arial" w:cs="Arial" w:eastAsia="Arial" w:hAnsi="Arial"/>
          <w:sz w:val="17"/>
          <w:szCs w:val="17"/>
          <w:color w:val="auto"/>
        </w:rPr>
        <w:t>On June 30, 2009, the University entered into an interest rate corridor instrument and an interest rate swap to manage its 30 Day LIBOR interest exposure related to its variable rate debt, which commenced in April 2009 and matures in March 2016. The fair value of the interest rate corridor instrument as of September 30, 2011 and December 31, 2010 was $1 and $27, respectively, which is included in other assets. The fair value of the interest rate swap is a liability of $698 and $686 as of September 30, 2011 and December 31, 2010, respectively, which is included in other noncurrent liabilities. The fair values of each derivative instrument were determined using a hypothetical derivative transaction and Level 2 of the hierarchy of valuation inputs. These derivative instruments were designated as cash flow hedges of variable rate debt obligations. The adjustment of $53 and $420 in the first nine months of 2011 and 2010, respectively, for the effective portion of the loss on the derivatives is included as a component of other comprehensive income, net of taxes.</w:t>
      </w:r>
    </w:p>
    <w:p>
      <w:pPr>
        <w:spacing w:after="0" w:line="141" w:lineRule="exact"/>
        <w:rPr>
          <w:sz w:val="20"/>
          <w:szCs w:val="20"/>
          <w:color w:val="auto"/>
        </w:rPr>
      </w:pPr>
    </w:p>
    <w:p>
      <w:pPr>
        <w:ind w:left="340" w:right="179" w:firstLine="389"/>
        <w:spacing w:after="0" w:line="276" w:lineRule="auto"/>
        <w:rPr>
          <w:sz w:val="20"/>
          <w:szCs w:val="20"/>
          <w:color w:val="auto"/>
        </w:rPr>
      </w:pPr>
      <w:r>
        <w:rPr>
          <w:rFonts w:ascii="Arial" w:cs="Arial" w:eastAsia="Arial" w:hAnsi="Arial"/>
          <w:sz w:val="17"/>
          <w:szCs w:val="17"/>
          <w:color w:val="auto"/>
        </w:rPr>
        <w:t>The interest rate corridor instrument hedges variable interest rate risk starting July 1, 2009 through April 30, 2014 with a notional amount of $10,841 as of September 30, 2011. The corridor instrument permits the University to hedge its interest rate risk at several thresholds; the University will pay variable interest rates based on the 30 Day LIBOR rates monthly until that index reaches 4%. If 30 Day LIBOR is equal to 4% through 6%, the University will pay 4%. If 30 Day LIBOR exceeds 6%, the University will pay actual 30 Day LIBOR less 2%. This reduces the University’s exposure to potential increases in interest rates.</w:t>
      </w:r>
    </w:p>
    <w:p>
      <w:pPr>
        <w:spacing w:after="0" w:line="132" w:lineRule="exact"/>
        <w:rPr>
          <w:sz w:val="20"/>
          <w:szCs w:val="20"/>
          <w:color w:val="auto"/>
        </w:rPr>
      </w:pPr>
    </w:p>
    <w:p>
      <w:pPr>
        <w:ind w:left="340" w:right="279" w:firstLine="389"/>
        <w:spacing w:after="0" w:line="297" w:lineRule="auto"/>
        <w:rPr>
          <w:sz w:val="20"/>
          <w:szCs w:val="20"/>
          <w:color w:val="auto"/>
        </w:rPr>
      </w:pPr>
      <w:r>
        <w:rPr>
          <w:rFonts w:ascii="Arial" w:cs="Arial" w:eastAsia="Arial" w:hAnsi="Arial"/>
          <w:sz w:val="16"/>
          <w:szCs w:val="16"/>
          <w:color w:val="auto"/>
        </w:rPr>
        <w:t>The interest rate swap commenced on May 1, 2010 and continues each month thereafter until April 30, 2014 and has a notional amount of $10,841 as of September 30, 2011. The University will receive 30 Day LIBOR and pay 3.245% fixed interest on the amortizing notional amount. Therefore, the University has hedged its exposure to future variable rate cash flows through April 30, 2014. The interest rate swap is not subject to a master netting arrangement and collateral has been called by the counterparty and reflected in a restricted cash account as of September 30, 2011 and December 31, 2010 in the amount of $555 and $760, respectively.</w:t>
      </w:r>
    </w:p>
    <w:p>
      <w:pPr>
        <w:spacing w:after="0" w:line="131" w:lineRule="exact"/>
        <w:rPr>
          <w:sz w:val="20"/>
          <w:szCs w:val="20"/>
          <w:color w:val="auto"/>
        </w:rPr>
      </w:pPr>
    </w:p>
    <w:p>
      <w:pPr>
        <w:ind w:left="340" w:right="179" w:firstLine="389"/>
        <w:spacing w:after="0" w:line="257" w:lineRule="auto"/>
        <w:rPr>
          <w:sz w:val="20"/>
          <w:szCs w:val="20"/>
          <w:color w:val="auto"/>
        </w:rPr>
      </w:pPr>
      <w:r>
        <w:rPr>
          <w:rFonts w:ascii="Arial" w:cs="Arial" w:eastAsia="Arial" w:hAnsi="Arial"/>
          <w:sz w:val="18"/>
          <w:szCs w:val="18"/>
          <w:color w:val="auto"/>
        </w:rPr>
        <w:t>As of September 30, 2011 no derivative ineffectiveness was identified. Any ineffectiveness in the University’s derivative instruments designated as hedges would be reported in interest expense in the income statement. For the nine months ended September 30, 2011 $13 of credit risk was recorded in interest expense on the derivatives. At September 30, 2011, the University is not expected to reclassify gains or losses on derivative instruments from accumulated other comprehensive (loss) income into earnings during the next 12 months.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left="340" w:right="179" w:firstLine="389"/>
        <w:spacing w:after="0" w:line="255" w:lineRule="auto"/>
        <w:rPr>
          <w:sz w:val="20"/>
          <w:szCs w:val="20"/>
          <w:color w:val="auto"/>
        </w:rPr>
      </w:pPr>
      <w:r>
        <w:rPr>
          <w:rFonts w:ascii="Arial" w:cs="Arial" w:eastAsia="Arial" w:hAnsi="Arial"/>
          <w:sz w:val="18"/>
          <w:szCs w:val="18"/>
          <w:color w:val="auto"/>
        </w:rPr>
        <w:t>As of September 30, 2011, the carrying value of cash and cash equivalents, accounts receivable, account payable and accrued expenses approximate their fair value based on the liquidity or the short-term maturities of these instruments. The carrying value of debt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left="340" w:right="179" w:firstLine="389"/>
        <w:spacing w:after="0" w:line="268" w:lineRule="auto"/>
        <w:rPr>
          <w:sz w:val="20"/>
          <w:szCs w:val="20"/>
          <w:color w:val="auto"/>
        </w:rPr>
      </w:pPr>
      <w:r>
        <w:rPr>
          <w:rFonts w:ascii="Arial" w:cs="Arial" w:eastAsia="Arial" w:hAnsi="Arial"/>
          <w:sz w:val="17"/>
          <w:szCs w:val="17"/>
          <w:color w:val="auto"/>
        </w:rPr>
        <w:t>Net revenues consist primarily of tuition and fees derived from courses taught by the University online, at its 110 acre traditional campus in Phoenix, Arizona, and onsite at the facilities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Ticket revenues are recognized as events occur in the University Arena. For the nine months ended September 30, 2011 and 2010, the University’s revenue was reduced by approximately $51,963 and $39,525,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on a pro-rata basis over the applicable period of instruction. Since the University recognizes revenue pro-rata over the applicable period of instruction and because, under its institutional refund policy, the amount subject to refund is never greater than the amount of the revenue that has been deferred, under the University’s accounting policies revenue is not recognized with respect to amounts that could potentially be refunded.</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98" w:lineRule="exact"/>
        <w:rPr>
          <w:sz w:val="20"/>
          <w:szCs w:val="20"/>
          <w:color w:val="auto"/>
        </w:rPr>
      </w:pPr>
    </w:p>
    <w:p>
      <w:pPr>
        <w:ind w:left="340" w:right="159" w:firstLine="389"/>
        <w:spacing w:after="0" w:line="269" w:lineRule="auto"/>
        <w:rPr>
          <w:sz w:val="20"/>
          <w:szCs w:val="20"/>
          <w:color w:val="auto"/>
        </w:rPr>
      </w:pPr>
      <w:r>
        <w:rPr>
          <w:rFonts w:ascii="Arial" w:cs="Arial" w:eastAsia="Arial" w:hAnsi="Arial"/>
          <w:sz w:val="17"/>
          <w:szCs w:val="17"/>
          <w:color w:val="auto"/>
        </w:rPr>
        <w:t>All students are required to select both a primary and secondary payment option with respect to amounts due to the University for tuition, fees and other expenses. The most common payment option for the University's students is financial aid. In instances where a student selects financial aid as the primary payment option, he or she often selects personal cash as the secondary option. If a student that has selected financial aid as his or her primary payment option withdraws prior to the end of a course but after the date that the University's institutional refund period has expired, the student will have incurred the obligation to pay the full cost of the course. If the withdrawal occurs before the date at which the student has earned 100% of his or her financial aid, the University will have a return to Title IV requirement and the student will owe the University all amounts incurred that are in excess of the amount of financial aid that the student earned and that the University is entitled to retain. In this case, the University must collect the receivable using the student's second payment option. In instances in which the student chose to receive living expense funds as part of his or her financial aid disbursement, the University is required to return the unearned portion of these funds as well and then collect these amounts from the student.</w:t>
      </w:r>
    </w:p>
    <w:p>
      <w:pPr>
        <w:spacing w:after="0" w:line="142" w:lineRule="exact"/>
        <w:rPr>
          <w:sz w:val="20"/>
          <w:szCs w:val="20"/>
          <w:color w:val="auto"/>
        </w:rPr>
      </w:pPr>
    </w:p>
    <w:p>
      <w:pPr>
        <w:ind w:left="340" w:right="179" w:firstLine="389"/>
        <w:spacing w:after="0" w:line="288"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and the aging of the accounts receivable and student status. The University applies reserves to its receivables based upon an estimate of the risk presented by the age of the receivables and student status. Historically, the University has written off accounts receivable balances at the earlier of the time the balances were deemed uncollectible, or one year after the revenue is generated. In the third quarter of 2011, the University accelerated the write off of inactive student accounts to 150 days, while maintaining its historical write off policy for active student accounts. The University continues to reflect accounts receivable with an offsetting allowance as long as management believes there is a reasonable possibility of collection. Bad debt expense is recorded as an instructional costs and services expense in the income statement.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98" w:lineRule="exact"/>
        <w:rPr>
          <w:sz w:val="20"/>
          <w:szCs w:val="20"/>
          <w:color w:val="auto"/>
        </w:rPr>
      </w:pPr>
    </w:p>
    <w:p>
      <w:pPr>
        <w:ind w:left="340" w:right="279" w:firstLine="389"/>
        <w:spacing w:after="0" w:line="293" w:lineRule="auto"/>
        <w:rPr>
          <w:sz w:val="20"/>
          <w:szCs w:val="20"/>
          <w:color w:val="auto"/>
        </w:rPr>
      </w:pPr>
      <w:r>
        <w:rPr>
          <w:rFonts w:ascii="Arial" w:cs="Arial" w:eastAsia="Arial" w:hAnsi="Arial"/>
          <w:sz w:val="16"/>
          <w:szCs w:val="16"/>
          <w:color w:val="auto"/>
        </w:rPr>
        <w:t>Instructional costs and services expenses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the royalty payable to a former owner,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and Promotional</w:t>
      </w:r>
    </w:p>
    <w:p>
      <w:pPr>
        <w:spacing w:after="0" w:line="185" w:lineRule="exact"/>
        <w:rPr>
          <w:sz w:val="20"/>
          <w:szCs w:val="20"/>
          <w:color w:val="auto"/>
        </w:rPr>
      </w:pPr>
    </w:p>
    <w:p>
      <w:pPr>
        <w:ind w:left="340" w:right="499" w:firstLine="389"/>
        <w:spacing w:after="0" w:line="257" w:lineRule="auto"/>
        <w:rPr>
          <w:sz w:val="20"/>
          <w:szCs w:val="20"/>
          <w:color w:val="auto"/>
        </w:rPr>
      </w:pPr>
      <w:r>
        <w:rPr>
          <w:rFonts w:ascii="Arial" w:cs="Arial" w:eastAsia="Arial" w:hAnsi="Arial"/>
          <w:sz w:val="18"/>
          <w:szCs w:val="18"/>
          <w:color w:val="auto"/>
        </w:rPr>
        <w:t>Selling and promotional expenses include salaries, benefits and share-based compensation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University’s facilities in Arizona. Selling and promotional costs are expensed as incurred.</w:t>
      </w:r>
    </w:p>
    <w:p>
      <w:pPr>
        <w:spacing w:after="0" w:line="161" w:lineRule="exact"/>
        <w:rPr>
          <w:sz w:val="20"/>
          <w:szCs w:val="20"/>
          <w:color w:val="auto"/>
        </w:rPr>
      </w:pPr>
    </w:p>
    <w:p>
      <w:pPr>
        <w:ind w:left="340" w:right="199" w:firstLine="389"/>
        <w:spacing w:after="0" w:line="259" w:lineRule="auto"/>
        <w:rPr>
          <w:sz w:val="20"/>
          <w:szCs w:val="20"/>
          <w:color w:val="auto"/>
        </w:rPr>
      </w:pPr>
      <w:r>
        <w:rPr>
          <w:rFonts w:ascii="Arial" w:cs="Arial" w:eastAsia="Arial" w:hAnsi="Arial"/>
          <w:sz w:val="18"/>
          <w:szCs w:val="18"/>
          <w:color w:val="auto"/>
        </w:rPr>
        <w:t>Through December 2010, the University was a party to a revenue sharing arrangement (the Collaboration Agreement) with Mind Streams, L.L.C. (Mind Streams), a related party, pursuant to which it paid a percentage of the net revenue that it actually received from applicants recruited by Mind Streams that matriculated at the University. Mind Streams bore all costs associated with the recruitment of these applicants.</w:t>
      </w:r>
    </w:p>
    <w:p>
      <w:pPr>
        <w:spacing w:after="0" w:line="146" w:lineRule="exact"/>
        <w:rPr>
          <w:sz w:val="20"/>
          <w:szCs w:val="20"/>
          <w:color w:val="auto"/>
        </w:rPr>
      </w:pPr>
    </w:p>
    <w:p>
      <w:pPr>
        <w:ind w:left="340" w:right="219" w:firstLine="389"/>
        <w:spacing w:after="0" w:line="297" w:lineRule="auto"/>
        <w:rPr>
          <w:sz w:val="20"/>
          <w:szCs w:val="20"/>
          <w:color w:val="auto"/>
        </w:rPr>
      </w:pPr>
      <w:r>
        <w:rPr>
          <w:rFonts w:ascii="Arial" w:cs="Arial" w:eastAsia="Arial" w:hAnsi="Arial"/>
          <w:sz w:val="16"/>
          <w:szCs w:val="16"/>
          <w:color w:val="auto"/>
        </w:rPr>
        <w:t>As a result of new rules adopted by the Department of Education in October 2010 and scheduled to go effective July 1, 2011, the University determined late in 2010 that revenue sharing arrangements like the Collaboration Agreement, and the manner in which it paid amounts under the Collaboration Agreement, would most likely no longer be permitted. Accordingly, the University and Mind Streams entered into an agreement, dated December 30, 2010, pursuant to which the University agreed to pay Mind Streams an amount equal to (a) $8,500, plus (b) Mind Streams’ applicable share of any net revenue actually received by the University on or</w:t>
      </w:r>
    </w:p>
    <w:p>
      <w:pPr>
        <w:sectPr>
          <w:pgSz w:w="11900" w:h="16838" w:orient="portrait"/>
          <w:cols w:equalWidth="0" w:num="1">
            <w:col w:w="10219"/>
          </w:cols>
          <w:pgMar w:left="240" w:top="419" w:right="1440" w:bottom="0" w:gutter="0" w:footer="0" w:header="0"/>
        </w:sectPr>
      </w:pPr>
    </w:p>
    <w:bookmarkStart w:id="13" w:name="page14"/>
    <w:bookmarkEnd w:id="13"/>
    <w:p>
      <w:pPr>
        <w:ind w:right="179"/>
        <w:spacing w:after="0" w:line="272" w:lineRule="auto"/>
        <w:rPr>
          <w:sz w:val="20"/>
          <w:szCs w:val="20"/>
          <w:color w:val="auto"/>
        </w:rPr>
      </w:pPr>
      <w:r>
        <w:rPr>
          <w:rFonts w:ascii="Arial" w:cs="Arial" w:eastAsia="Arial" w:hAnsi="Arial"/>
          <w:sz w:val="17"/>
          <w:szCs w:val="17"/>
          <w:color w:val="auto"/>
        </w:rPr>
        <w:t>before February 28, 2011 with respect to any students recruited by Mind Streams that commenced University courses prior to November 1, 2010. In return, Mind Streams agreed to (i) accept such amounts in full and complete satisfaction of all amounts owed by the University to Mind Streams under the Collaboration Agreement, and (ii) transfer to the University a proprietary database of potential student leads. A payment of $8,500 was made in January 2011 in conjunction with this agreement, which was expensed in 2010. Additionally in 2010, Gail Richardson, the father of Brent D. Richardson, the University’s Executive Chairman, and Christopher C. Richardson, the University’s General Counsel and a director, formed a new entity, Lifetime Learning, for the purpose of generating and selling leads to our University and other entities in the education sector.</w:t>
      </w:r>
    </w:p>
    <w:p>
      <w:pPr>
        <w:spacing w:after="0" w:line="200" w:lineRule="exact"/>
        <w:rPr>
          <w:sz w:val="20"/>
          <w:szCs w:val="20"/>
          <w:color w:val="auto"/>
        </w:rPr>
      </w:pP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179" w:firstLine="389"/>
        <w:spacing w:after="0" w:line="270" w:lineRule="auto"/>
        <w:rPr>
          <w:sz w:val="20"/>
          <w:szCs w:val="20"/>
          <w:color w:val="auto"/>
        </w:rPr>
      </w:pPr>
      <w:r>
        <w:rPr>
          <w:rFonts w:ascii="Arial" w:cs="Arial" w:eastAsia="Arial" w:hAnsi="Arial"/>
          <w:sz w:val="17"/>
          <w:szCs w:val="17"/>
          <w:color w:val="auto"/>
        </w:rPr>
        <w:t>Leading up to the effective date of the new rules referred to above, the Department of Education made certain clarifications, which the University determined would permit collaboration agreements although on significantly different terms than the prior Mind Streams agreement. Accordingly, commencing in the third quarter of 2011, the University entered into a new Collaboration Agreement with Mind Streams that is in accordance with the requirements specified by the Department of Education and under which the University will pay a percentage of the net revenue that it receives from applicants recruited by Mind Streams that matriculate at the University. For the nine months ended September 30, 2011 and 2010, the University expensed approximately $612 and $7,694, respectively, pursuant to the agreement with Lifetime Learning and the new agreement with Mind Streams, exclusive of the settlement agreement relating to the original Mind Streams agreement discussed above. As of September 30, 2011 and December 31, 2010, $206 and $9,367, respectively, were due to these related parties.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ind w:left="340" w:right="219" w:firstLine="389"/>
        <w:spacing w:after="0" w:line="259" w:lineRule="auto"/>
        <w:rPr>
          <w:sz w:val="20"/>
          <w:szCs w:val="20"/>
          <w:color w:val="auto"/>
        </w:rPr>
      </w:pPr>
      <w:r>
        <w:rPr>
          <w:rFonts w:ascii="Arial" w:cs="Arial" w:eastAsia="Arial" w:hAnsi="Arial"/>
          <w:sz w:val="18"/>
          <w:szCs w:val="18"/>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85" w:lineRule="exact"/>
        <w:rPr>
          <w:sz w:val="20"/>
          <w:szCs w:val="20"/>
          <w:color w:val="auto"/>
        </w:rPr>
      </w:pPr>
    </w:p>
    <w:p>
      <w:pPr>
        <w:ind w:left="340" w:right="179" w:firstLine="389"/>
        <w:spacing w:after="0" w:line="254" w:lineRule="auto"/>
        <w:rPr>
          <w:sz w:val="20"/>
          <w:szCs w:val="20"/>
          <w:color w:val="auto"/>
        </w:rPr>
      </w:pPr>
      <w:r>
        <w:rPr>
          <w:rFonts w:ascii="Arial" w:cs="Arial" w:eastAsia="Arial" w:hAnsi="Arial"/>
          <w:sz w:val="18"/>
          <w:szCs w:val="18"/>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Exit Costs</w:t>
      </w:r>
    </w:p>
    <w:p>
      <w:pPr>
        <w:spacing w:after="0" w:line="198" w:lineRule="exact"/>
        <w:rPr>
          <w:sz w:val="20"/>
          <w:szCs w:val="20"/>
          <w:color w:val="auto"/>
        </w:rPr>
      </w:pPr>
    </w:p>
    <w:p>
      <w:pPr>
        <w:ind w:left="340" w:right="259" w:firstLine="389"/>
        <w:spacing w:after="0" w:line="257" w:lineRule="auto"/>
        <w:rPr>
          <w:sz w:val="20"/>
          <w:szCs w:val="20"/>
          <w:color w:val="auto"/>
        </w:rPr>
      </w:pPr>
      <w:r>
        <w:rPr>
          <w:rFonts w:ascii="Arial" w:cs="Arial" w:eastAsia="Arial" w:hAnsi="Arial"/>
          <w:sz w:val="18"/>
          <w:szCs w:val="18"/>
          <w:color w:val="auto"/>
        </w:rPr>
        <w:t>In November 2009, the University finalized a plan to centralize its student services operations in Arizona and, as a result, closed its student services facility in Utah. The exit costs incurred in connection with this decision have been expensed and are presented separately on the income statement. The costs incurred included severance payments; relocation expenses; future lease payments, net of estimated sublease rentals; and the write off of leasehold improvements associated with this leased space. The following is a summary of the University’s exit activities: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Accrued Exit</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Accrued</w:t>
            </w:r>
          </w:p>
        </w:tc>
      </w:tr>
      <w:tr>
        <w:trPr>
          <w:trHeight w:val="216"/>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Costs at</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Exit Costs at</w:t>
            </w:r>
          </w:p>
        </w:tc>
      </w:tr>
      <w:tr>
        <w:trPr>
          <w:trHeight w:val="216"/>
        </w:trPr>
        <w:tc>
          <w:tcPr>
            <w:tcW w:w="4200" w:type="dxa"/>
            <w:vAlign w:val="bottom"/>
          </w:tcPr>
          <w:p>
            <w:pPr>
              <w:spacing w:after="0"/>
              <w:rPr>
                <w:sz w:val="18"/>
                <w:szCs w:val="18"/>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September</w:t>
            </w:r>
          </w:p>
        </w:tc>
      </w:tr>
      <w:tr>
        <w:trPr>
          <w:trHeight w:val="234"/>
        </w:trPr>
        <w:tc>
          <w:tcPr>
            <w:tcW w:w="4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2010</w:t>
            </w:r>
          </w:p>
        </w:tc>
        <w:tc>
          <w:tcPr>
            <w:tcW w:w="3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Exit Costs</w:t>
            </w:r>
          </w:p>
        </w:tc>
        <w:tc>
          <w:tcPr>
            <w:tcW w:w="38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Payments in 2011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30, 2011</w:t>
            </w:r>
          </w:p>
        </w:tc>
        <w:tc>
          <w:tcPr>
            <w:tcW w:w="100" w:type="dxa"/>
            <w:vAlign w:val="bottom"/>
          </w:tcPr>
          <w:p>
            <w:pPr>
              <w:spacing w:after="0"/>
              <w:rPr>
                <w:sz w:val="20"/>
                <w:szCs w:val="20"/>
                <w:color w:val="auto"/>
              </w:rPr>
            </w:pPr>
          </w:p>
        </w:tc>
      </w:tr>
      <w:tr>
        <w:trPr>
          <w:trHeight w:val="210"/>
        </w:trPr>
        <w:tc>
          <w:tcPr>
            <w:tcW w:w="4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Accrued exit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w:t>
            </w: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0"/>
        </w:trPr>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Termination Fee</w:t>
      </w:r>
    </w:p>
    <w:p>
      <w:pPr>
        <w:spacing w:after="0" w:line="185" w:lineRule="exact"/>
        <w:rPr>
          <w:sz w:val="20"/>
          <w:szCs w:val="20"/>
          <w:color w:val="auto"/>
        </w:rPr>
      </w:pPr>
    </w:p>
    <w:p>
      <w:pPr>
        <w:ind w:left="340" w:right="359" w:firstLine="389"/>
        <w:spacing w:after="0" w:line="293" w:lineRule="auto"/>
        <w:rPr>
          <w:sz w:val="20"/>
          <w:szCs w:val="20"/>
          <w:color w:val="auto"/>
        </w:rPr>
      </w:pPr>
      <w:r>
        <w:rPr>
          <w:rFonts w:ascii="Arial" w:cs="Arial" w:eastAsia="Arial" w:hAnsi="Arial"/>
          <w:sz w:val="16"/>
          <w:szCs w:val="16"/>
          <w:color w:val="auto"/>
        </w:rPr>
        <w:t>In July 2011, the University notified a current landlord of its intent to vacate leased space by the fourth quarter of 2011. As a result, the University was required to pay a termination fee to its landlord of $1,093, resulting in expense in the third quarter of 2011 of $922, which was net of remaining deferred rent on the leased space. This termination fee was paid on our behalf by our new landlord. This payment was recorded as an expense in the third quarter of 2011 with the offset being to a deferred rent liability. The deferred rent liability will be amortized into income over the new lease term. In the fourth quarter of 2011, when the University has exited the prior leased space, any remaining leasehold improvements, net of accumulated depreciation, will be expensed.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left="340" w:right="1560" w:firstLine="389"/>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8" w:lineRule="exact"/>
        <w:rPr>
          <w:sz w:val="20"/>
          <w:szCs w:val="20"/>
          <w:color w:val="auto"/>
        </w:rPr>
      </w:pPr>
    </w:p>
    <w:p>
      <w:pPr>
        <w:ind w:left="340" w:right="1580" w:firstLine="389"/>
        <w:spacing w:after="0" w:line="259"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Certain reclassifications have been made to the prior period balances to conform to the current period.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left="340" w:right="1520" w:firstLine="389"/>
        <w:spacing w:after="0" w:line="272" w:lineRule="auto"/>
        <w:rPr>
          <w:sz w:val="20"/>
          <w:szCs w:val="20"/>
          <w:color w:val="auto"/>
        </w:rPr>
      </w:pPr>
      <w:r>
        <w:rPr>
          <w:rFonts w:ascii="Arial" w:cs="Arial" w:eastAsia="Arial" w:hAnsi="Arial"/>
          <w:sz w:val="17"/>
          <w:szCs w:val="17"/>
          <w:color w:val="auto"/>
        </w:rPr>
        <w:t>In September 2011, the Financial Accounting Standards Board (“FASB”) issued guidance that simplifies how an entity tests goodwill for impairment. The amendments permit an entity to first assess qualitative factors to determine whether it is necessary to perform the two-step quantitative goodwill impairment test. Accordingly, an entity will no longer be required to calculate the fair value of a reporting unit in the step one test unless the entity determines, based on a qualitative assessment, that it is more likely than not that its fair value is less than its carrying amount. This guidance is effective for annual and interim goodwill impairment tests performed for fiscal years beginning after December 15, 2011, with early adoption permitted. The University believes this will have no material impact on our financial condition, results of operations or disclosures.</w:t>
      </w:r>
    </w:p>
    <w:p>
      <w:pPr>
        <w:spacing w:after="0" w:line="137" w:lineRule="exact"/>
        <w:rPr>
          <w:sz w:val="20"/>
          <w:szCs w:val="20"/>
          <w:color w:val="auto"/>
        </w:rPr>
      </w:pPr>
    </w:p>
    <w:p>
      <w:pPr>
        <w:ind w:left="340" w:right="1440" w:firstLine="389"/>
        <w:spacing w:after="0" w:line="277" w:lineRule="auto"/>
        <w:rPr>
          <w:sz w:val="20"/>
          <w:szCs w:val="20"/>
          <w:color w:val="auto"/>
        </w:rPr>
      </w:pPr>
      <w:r>
        <w:rPr>
          <w:rFonts w:ascii="Arial" w:cs="Arial" w:eastAsia="Arial" w:hAnsi="Arial"/>
          <w:sz w:val="18"/>
          <w:szCs w:val="18"/>
          <w:color w:val="auto"/>
        </w:rPr>
        <w:t>The University has determined that all other recently issued accounting standards will not have a material impact on its financial statements, or do not apply to its operations.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Net Income Per Common Share</w:t>
      </w:r>
    </w:p>
    <w:p>
      <w:pPr>
        <w:spacing w:after="0" w:line="189" w:lineRule="exact"/>
        <w:rPr>
          <w:sz w:val="20"/>
          <w:szCs w:val="20"/>
          <w:color w:val="auto"/>
        </w:rPr>
      </w:pPr>
    </w:p>
    <w:p>
      <w:pPr>
        <w:ind w:left="340" w:right="1460" w:firstLine="389"/>
        <w:spacing w:after="0" w:line="257" w:lineRule="auto"/>
        <w:rPr>
          <w:sz w:val="20"/>
          <w:szCs w:val="20"/>
          <w:color w:val="auto"/>
        </w:rPr>
      </w:pPr>
      <w:r>
        <w:rPr>
          <w:rFonts w:ascii="Arial" w:cs="Arial" w:eastAsia="Arial" w:hAnsi="Arial"/>
          <w:sz w:val="18"/>
          <w:szCs w:val="18"/>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48" w:lineRule="exact"/>
        <w:rPr>
          <w:sz w:val="20"/>
          <w:szCs w:val="20"/>
          <w:color w:val="auto"/>
        </w:rPr>
      </w:pPr>
    </w:p>
    <w:p>
      <w:pPr>
        <w:ind w:left="340" w:right="1660" w:firstLine="389"/>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7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24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74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40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Basic common shares outstanding</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44,302</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45,746</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44,845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45,715</w:t>
            </w: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stock options and restricted stock</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485</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605</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Diluted common shares outstanding</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44,787</w:t>
            </w:r>
          </w:p>
        </w:tc>
        <w:tc>
          <w:tcPr>
            <w:tcW w:w="4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46,351</w:t>
            </w: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45,293</w:t>
            </w: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46,413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80" w:type="dxa"/>
            <w:vAlign w:val="bottom"/>
          </w:tcPr>
          <w:p>
            <w:pPr>
              <w:jc w:val="right"/>
              <w:ind w:right="53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239" w:firstLine="389"/>
        <w:spacing w:after="0" w:line="259" w:lineRule="auto"/>
        <w:rPr>
          <w:sz w:val="20"/>
          <w:szCs w:val="20"/>
          <w:color w:val="auto"/>
        </w:rPr>
      </w:pPr>
      <w:r>
        <w:rPr>
          <w:rFonts w:ascii="Arial" w:cs="Arial" w:eastAsia="Arial" w:hAnsi="Arial"/>
          <w:sz w:val="18"/>
          <w:szCs w:val="18"/>
          <w:color w:val="auto"/>
        </w:rPr>
        <w:t>Diluted weighted average shares outstanding exclude the incremental effect of shares that would be issued upon the assumed exercise of stock options. For the nine months ended September 30, 2011 and 2010, approximately 2,878 and 803, respectively, of the University’s stock options outstanding were excluded from the calculation of diluted earnings per share as their inclusion would have been anti-dilutive. These options could be dilutive in the future.</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5. Valuation and Qualifying Accounts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4120" w:type="dxa"/>
            <w:vAlign w:val="bottom"/>
          </w:tcPr>
          <w:p>
            <w:pPr>
              <w:spacing w:after="0"/>
              <w:rPr>
                <w:sz w:val="18"/>
                <w:szCs w:val="18"/>
                <w:color w:val="auto"/>
              </w:rPr>
            </w:pPr>
          </w:p>
        </w:tc>
        <w:tc>
          <w:tcPr>
            <w:tcW w:w="1800" w:type="dxa"/>
            <w:vAlign w:val="bottom"/>
            <w:gridSpan w:val="4"/>
          </w:tcPr>
          <w:p>
            <w:pPr>
              <w:ind w:left="460"/>
              <w:spacing w:after="0"/>
              <w:rPr>
                <w:sz w:val="20"/>
                <w:szCs w:val="20"/>
                <w:color w:val="auto"/>
              </w:rPr>
            </w:pPr>
            <w:r>
              <w:rPr>
                <w:rFonts w:ascii="Arial" w:cs="Arial" w:eastAsia="Arial" w:hAnsi="Arial"/>
                <w:sz w:val="18"/>
                <w:szCs w:val="18"/>
                <w:b w:val="1"/>
                <w:bCs w:val="1"/>
                <w:color w:val="auto"/>
              </w:rPr>
              <w:t>Beginning of</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Charged to</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End of</w:t>
            </w:r>
          </w:p>
        </w:tc>
      </w:tr>
      <w:tr>
        <w:trPr>
          <w:trHeight w:val="234"/>
        </w:trPr>
        <w:tc>
          <w:tcPr>
            <w:tcW w:w="4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Period</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Expense</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Deductions</w:t>
            </w:r>
            <w:r>
              <w:rPr>
                <w:rFonts w:ascii="Arial" w:cs="Arial" w:eastAsia="Arial" w:hAnsi="Arial"/>
                <w:sz w:val="15"/>
                <w:szCs w:val="15"/>
                <w:b w:val="1"/>
                <w:bCs w:val="1"/>
                <w:color w:val="auto"/>
                <w:w w:val="87"/>
              </w:rPr>
              <w:t>(1)</w:t>
            </w:r>
          </w:p>
        </w:tc>
        <w:tc>
          <w:tcPr>
            <w:tcW w:w="16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Nine months ended September 30, 2011</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30,112</w:t>
            </w:r>
          </w:p>
        </w:tc>
        <w:tc>
          <w:tcPr>
            <w:tcW w:w="3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27,903</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(43,597)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14,418</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9"/>
              </w:rPr>
              <w:t>Nine months ended September 30, 2010 (Restated)</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29,283</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24,348</w:t>
            </w:r>
          </w:p>
        </w:tc>
      </w:tr>
    </w:tbl>
    <w:p>
      <w:pPr>
        <w:spacing w:after="0" w:line="107" w:lineRule="exact"/>
        <w:rPr>
          <w:sz w:val="20"/>
          <w:szCs w:val="20"/>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5600" w:type="dxa"/>
            <w:vAlign w:val="bottom"/>
          </w:tcPr>
          <w:p>
            <w:pPr>
              <w:ind w:left="380"/>
              <w:spacing w:after="0"/>
              <w:rPr>
                <w:sz w:val="20"/>
                <w:szCs w:val="20"/>
                <w:color w:val="auto"/>
              </w:rPr>
            </w:pPr>
            <w:r>
              <w:rPr>
                <w:rFonts w:ascii="Arial" w:cs="Arial" w:eastAsia="Arial" w:hAnsi="Arial"/>
                <w:sz w:val="18"/>
                <w:szCs w:val="18"/>
                <w:color w:val="auto"/>
              </w:rPr>
              <w:t>Property and equipment consist of the following:</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5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December</w:t>
            </w:r>
          </w:p>
        </w:tc>
      </w:tr>
      <w:tr>
        <w:trPr>
          <w:trHeight w:val="234"/>
        </w:trPr>
        <w:tc>
          <w:tcPr>
            <w:tcW w:w="5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30, 2011</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31, 2010</w:t>
            </w:r>
          </w:p>
        </w:tc>
        <w:tc>
          <w:tcPr>
            <w:tcW w:w="100" w:type="dxa"/>
            <w:vAlign w:val="bottom"/>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Land improvements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108,396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48,323</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4,502</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14,851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11,407</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Computer equipment</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43,316</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36,742</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11,401</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12,285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21,349</w:t>
            </w:r>
          </w:p>
        </w:tc>
      </w:tr>
      <w:tr>
        <w:trPr>
          <w:trHeight w:val="27"/>
        </w:trPr>
        <w:tc>
          <w:tcPr>
            <w:tcW w:w="5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215,495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148,426</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(35,950)</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(24,427)</w:t>
            </w:r>
          </w:p>
        </w:tc>
      </w:tr>
      <w:tr>
        <w:trPr>
          <w:trHeight w:val="27"/>
        </w:trPr>
        <w:tc>
          <w:tcPr>
            <w:tcW w:w="5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179,545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123,999</w:t>
            </w:r>
          </w:p>
        </w:tc>
      </w:tr>
      <w:tr>
        <w:trPr>
          <w:trHeight w:val="20"/>
        </w:trPr>
        <w:tc>
          <w:tcPr>
            <w:tcW w:w="5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ind w:left="340" w:right="579" w:firstLine="389"/>
        <w:spacing w:after="0" w:line="342" w:lineRule="auto"/>
        <w:rPr>
          <w:sz w:val="20"/>
          <w:szCs w:val="20"/>
          <w:color w:val="auto"/>
        </w:rPr>
      </w:pPr>
      <w:r>
        <w:rPr>
          <w:rFonts w:ascii="Arial" w:cs="Arial" w:eastAsia="Arial" w:hAnsi="Arial"/>
          <w:sz w:val="16"/>
          <w:szCs w:val="16"/>
          <w:color w:val="auto"/>
        </w:rPr>
        <w:t>The University leases certain land, buildings and equipment under non-cancelable operating leases expiring at various dates through 2023. Future minimum lease payments under operating leases due each year are as follows at September 30, 2011:</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6,212</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6,804</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6,343</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6,457</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27,727</w:t>
            </w:r>
          </w:p>
        </w:tc>
      </w:tr>
      <w:tr>
        <w:trPr>
          <w:trHeight w:val="27"/>
        </w:trPr>
        <w:tc>
          <w:tcPr>
            <w:tcW w:w="8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54,724</w:t>
            </w:r>
          </w:p>
        </w:tc>
      </w:tr>
      <w:tr>
        <w:trPr>
          <w:trHeight w:val="20"/>
        </w:trPr>
        <w:tc>
          <w:tcPr>
            <w:tcW w:w="8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539" w:firstLine="389"/>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nine months ended September 30, 2011 and 2010 were $5,338 and $3,871, respectively.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Matters</w:t>
      </w:r>
    </w:p>
    <w:p>
      <w:pPr>
        <w:spacing w:after="0" w:line="185" w:lineRule="exact"/>
        <w:rPr>
          <w:sz w:val="20"/>
          <w:szCs w:val="20"/>
          <w:color w:val="auto"/>
        </w:rPr>
      </w:pPr>
    </w:p>
    <w:p>
      <w:pPr>
        <w:ind w:left="340" w:right="179" w:firstLine="389"/>
        <w:spacing w:after="0" w:line="254" w:lineRule="auto"/>
        <w:rPr>
          <w:sz w:val="20"/>
          <w:szCs w:val="20"/>
          <w:color w:val="auto"/>
        </w:rPr>
      </w:pPr>
      <w:r>
        <w:rPr>
          <w:rFonts w:ascii="Arial" w:cs="Arial" w:eastAsia="Arial" w:hAnsi="Arial"/>
          <w:sz w:val="18"/>
          <w:szCs w:val="18"/>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52" w:lineRule="exact"/>
        <w:rPr>
          <w:sz w:val="20"/>
          <w:szCs w:val="20"/>
          <w:color w:val="auto"/>
        </w:rPr>
      </w:pPr>
    </w:p>
    <w:p>
      <w:pPr>
        <w:ind w:left="340" w:right="299" w:firstLine="389"/>
        <w:spacing w:after="0" w:line="259" w:lineRule="auto"/>
        <w:rPr>
          <w:sz w:val="20"/>
          <w:szCs w:val="20"/>
          <w:color w:val="auto"/>
        </w:rPr>
      </w:pPr>
      <w:r>
        <w:rPr>
          <w:rFonts w:ascii="Arial" w:cs="Arial" w:eastAsia="Arial" w:hAnsi="Arial"/>
          <w:sz w:val="18"/>
          <w:szCs w:val="18"/>
          <w:color w:val="auto"/>
        </w:rPr>
        <w:t xml:space="preserve">In connection with the settlement of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that had been filed against the University in August 2007 in the United States District Court for the District of Arizona (the “Court”), which settlement was approved by the Court in August 2010, the University paid $5,200 in accordance with the settlement agreement in the second quarter of 2011. This amount had been accrued for payment since September 2009.</w:t>
      </w:r>
    </w:p>
    <w:p>
      <w:pPr>
        <w:spacing w:after="0" w:line="160" w:lineRule="exact"/>
        <w:rPr>
          <w:sz w:val="20"/>
          <w:szCs w:val="20"/>
          <w:color w:val="auto"/>
        </w:rPr>
      </w:pPr>
    </w:p>
    <w:p>
      <w:pPr>
        <w:jc w:val="both"/>
        <w:ind w:left="340" w:right="579" w:firstLine="389"/>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85" w:lineRule="exact"/>
        <w:rPr>
          <w:sz w:val="20"/>
          <w:szCs w:val="20"/>
          <w:color w:val="auto"/>
        </w:rPr>
      </w:pPr>
    </w:p>
    <w:p>
      <w:pPr>
        <w:ind w:left="340" w:right="419" w:firstLine="389"/>
        <w:spacing w:after="0" w:line="312" w:lineRule="auto"/>
        <w:rPr>
          <w:sz w:val="20"/>
          <w:szCs w:val="20"/>
          <w:color w:val="auto"/>
        </w:rPr>
      </w:pPr>
      <w:r>
        <w:rPr>
          <w:rFonts w:ascii="Arial" w:cs="Arial" w:eastAsia="Arial" w:hAnsi="Arial"/>
          <w:sz w:val="16"/>
          <w:szCs w:val="16"/>
          <w:color w:val="auto"/>
        </w:rPr>
        <w:t>From time to time the University has exposure to various non-income tax related matters that arise in the ordinary course of business. At September 30, 2011 and December 31, 2010, the University had reserved approximately $83 and $92, respectively, for tax matters where its ultimate exposure is considered probable and the potential loss can be reasonably estimated.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Income Taxes</w:t>
      </w:r>
    </w:p>
    <w:p>
      <w:pPr>
        <w:spacing w:after="0" w:line="189" w:lineRule="exact"/>
        <w:rPr>
          <w:sz w:val="20"/>
          <w:szCs w:val="20"/>
          <w:color w:val="auto"/>
        </w:rPr>
      </w:pPr>
    </w:p>
    <w:p>
      <w:pPr>
        <w:ind w:left="340" w:right="519" w:firstLine="389"/>
        <w:spacing w:after="0" w:line="342" w:lineRule="auto"/>
        <w:rPr>
          <w:sz w:val="20"/>
          <w:szCs w:val="20"/>
          <w:color w:val="auto"/>
        </w:rPr>
      </w:pPr>
      <w:r>
        <w:rPr>
          <w:rFonts w:ascii="Arial" w:cs="Arial" w:eastAsia="Arial" w:hAnsi="Arial"/>
          <w:sz w:val="16"/>
          <w:szCs w:val="16"/>
          <w:color w:val="auto"/>
        </w:rPr>
        <w:t>The University’s uncertain tax positions are related to tax years that remain subject to examination by tax authorities. As of September 30, 2011, the earliest tax year still subject to examination for federal and state purposes is 2008 and 2005, respectively.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Share-Based Compensation</w:t>
      </w:r>
    </w:p>
    <w:p>
      <w:pPr>
        <w:spacing w:after="0" w:line="202" w:lineRule="exact"/>
        <w:rPr>
          <w:sz w:val="20"/>
          <w:szCs w:val="20"/>
          <w:color w:val="auto"/>
        </w:rPr>
      </w:pPr>
    </w:p>
    <w:p>
      <w:pPr>
        <w:ind w:left="340" w:right="299" w:firstLine="389"/>
        <w:spacing w:after="0" w:line="291" w:lineRule="auto"/>
        <w:rPr>
          <w:sz w:val="20"/>
          <w:szCs w:val="20"/>
          <w:color w:val="auto"/>
        </w:rPr>
      </w:pPr>
      <w:r>
        <w:rPr>
          <w:rFonts w:ascii="Arial" w:cs="Arial" w:eastAsia="Arial" w:hAnsi="Arial"/>
          <w:sz w:val="16"/>
          <w:szCs w:val="16"/>
          <w:color w:val="auto"/>
        </w:rPr>
        <w:t>On September 27, 2008 the University’s shareholders approved the adoption of the 2008 Equity Incentive Plan (“Incentive Plan”) and the 2008 Employee Stock Purchase (“ESPP”). A total of 4,200 shares of the University’s common stock was originally authorized for issuance under the Incentive Plan. On January 1 of each subsequent year in accordance with the terms of the Incentive Plan, the number of shares authorized for issuance under the Incentive Plan automatically increases by 2.5% of the number of shares of common stock issued and outstanding on the previous December 31, raising the total number of shares of common stock currently authorized for issuance under the Incentive Plan to 7,622 shares. Although the ESPP has not yet been implemented, a total of 1,050 shares of the University’s common stock has been authorized for sale under the ESPP.</w:t>
      </w:r>
    </w:p>
    <w:p>
      <w:pPr>
        <w:spacing w:after="0" w:line="200" w:lineRule="exact"/>
        <w:rPr>
          <w:sz w:val="20"/>
          <w:szCs w:val="20"/>
          <w:color w:val="auto"/>
        </w:rPr>
      </w:pPr>
    </w:p>
    <w:p>
      <w:pPr>
        <w:spacing w:after="0" w:line="31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339" w:firstLine="389"/>
        <w:spacing w:after="0" w:line="277" w:lineRule="auto"/>
        <w:rPr>
          <w:sz w:val="20"/>
          <w:szCs w:val="20"/>
          <w:color w:val="auto"/>
        </w:rPr>
      </w:pPr>
      <w:r>
        <w:rPr>
          <w:rFonts w:ascii="Arial" w:cs="Arial" w:eastAsia="Arial" w:hAnsi="Arial"/>
          <w:sz w:val="18"/>
          <w:szCs w:val="18"/>
          <w:color w:val="auto"/>
        </w:rPr>
        <w:t>A summary of the activity related to stock options granted under the University’s Incentive Plan since December 31, 2010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40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rPr>
              <w:t>Summary of Stock Options Outstanding</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Remaining</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 per</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Share</w:t>
            </w:r>
          </w:p>
        </w:tc>
        <w:tc>
          <w:tcPr>
            <w:tcW w:w="38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Term (Years)</w:t>
            </w:r>
          </w:p>
        </w:tc>
        <w:tc>
          <w:tcPr>
            <w:tcW w:w="1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 xml:space="preserve">Value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14.24</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restart"/>
          </w:tcPr>
          <w:p>
            <w:pPr>
              <w:ind w:left="440"/>
              <w:spacing w:after="0"/>
              <w:rPr>
                <w:sz w:val="20"/>
                <w:szCs w:val="20"/>
                <w:color w:val="auto"/>
              </w:rPr>
            </w:pPr>
            <w:r>
              <w:rPr>
                <w:rFonts w:ascii="Arial" w:cs="Arial" w:eastAsia="Arial" w:hAnsi="Arial"/>
                <w:sz w:val="18"/>
                <w:szCs w:val="18"/>
                <w:color w:val="auto"/>
              </w:rPr>
              <w:t>15.34</w:t>
            </w: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12.00</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17.16</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14.48</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as of September 30, 2011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4"/>
              </w:rPr>
              <w:t>13.15</w:t>
            </w:r>
          </w:p>
        </w:tc>
        <w:tc>
          <w:tcPr>
            <w:tcW w:w="3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September 30, 2011</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359" w:hanging="388"/>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September 30, 2011 ($16.15) in excess of the exercise price multiplied by the number of options outstanding or exercisable.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85" w:lineRule="exact"/>
        <w:rPr>
          <w:sz w:val="20"/>
          <w:szCs w:val="20"/>
          <w:color w:val="auto"/>
        </w:rPr>
      </w:pPr>
    </w:p>
    <w:p>
      <w:pPr>
        <w:ind w:left="340" w:right="319" w:firstLine="389"/>
        <w:spacing w:after="0" w:line="277" w:lineRule="auto"/>
        <w:rPr>
          <w:sz w:val="20"/>
          <w:szCs w:val="20"/>
          <w:color w:val="auto"/>
        </w:rPr>
      </w:pPr>
      <w:r>
        <w:rPr>
          <w:rFonts w:ascii="Arial" w:cs="Arial" w:eastAsia="Arial" w:hAnsi="Arial"/>
          <w:sz w:val="18"/>
          <w:szCs w:val="18"/>
          <w:color w:val="auto"/>
        </w:rPr>
        <w:t>The table below outlines share-based compensation expense for the nine months ended September 30, 2011 and 2010 related to restricted stock and stock options granted: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w:t>
            </w: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(1,919)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(1,474)</w:t>
            </w: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b w:val="1"/>
                <w:bCs w:val="1"/>
                <w:color w:val="auto"/>
              </w:rPr>
              <w:t>Share-based compensation expense, net of tax</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Regulatory</w:t>
      </w:r>
    </w:p>
    <w:p>
      <w:pPr>
        <w:spacing w:after="0" w:line="189" w:lineRule="exact"/>
        <w:rPr>
          <w:sz w:val="20"/>
          <w:szCs w:val="20"/>
          <w:color w:val="auto"/>
        </w:rPr>
      </w:pPr>
    </w:p>
    <w:p>
      <w:pPr>
        <w:ind w:left="340" w:right="179" w:firstLine="389"/>
        <w:spacing w:after="0" w:line="257"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48" w:lineRule="exact"/>
        <w:rPr>
          <w:sz w:val="20"/>
          <w:szCs w:val="20"/>
          <w:color w:val="auto"/>
        </w:rPr>
      </w:pPr>
    </w:p>
    <w:p>
      <w:pPr>
        <w:ind w:left="340" w:right="199" w:firstLine="389"/>
        <w:spacing w:after="0" w:line="285" w:lineRule="auto"/>
        <w:rPr>
          <w:sz w:val="20"/>
          <w:szCs w:val="20"/>
          <w:color w:val="auto"/>
        </w:rPr>
      </w:pPr>
      <w:r>
        <w:rPr>
          <w:rFonts w:ascii="Arial" w:cs="Arial" w:eastAsia="Arial" w:hAnsi="Arial"/>
          <w:sz w:val="16"/>
          <w:szCs w:val="16"/>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University submitted its application for recertification in March 2008 in anticipation of the expiration of its provisional certification on June 30, 2008. The Department of Education did not make a decision on the University’s recertification application by June 30, 2008, and therefore the University’s participation in the Title IV programs had been automatically extended thereafter on a month-to-month basis pending the Department of Education’s decision. While this decision remained pending, on January 12, 2011, the University disclosed the termination of certain voting agreements that had the effect of triggering a change in control under Department of Education regulations because it caused the University’s largest stockholder group to own and control less than 25% of the University’s outstanding voting stock. On April 8, 2011, following the completion of the Department of Education’s review of the information that the University provided in connection with the termination of the voting agreements, the Department of Education notified the University that it had approved its application for a change of ownership and issued to the University a new, provisional program participation agreement to participate in the Title IV programs. While this certification is provisional, it did remove the University from month-to-month status, provides for the University’s continued participation in Title IV programs through December 31, 2013, and did not impose any conditions (such as any letter of credit requirement) or other restrictions on the University during the provisional period other than the standard restrictions applicable to a provisional certification. In accordance with the terms of the provisional certification, the University may apply for recertification on a full basis by submitting a complete application by no later than September 30, 2013.</w:t>
      </w:r>
    </w:p>
    <w:p>
      <w:pPr>
        <w:sectPr>
          <w:pgSz w:w="11900" w:h="16838" w:orient="portrait"/>
          <w:cols w:equalWidth="0" w:num="1">
            <w:col w:w="10219"/>
          </w:cols>
          <w:pgMar w:left="240" w:top="419" w:right="1440" w:bottom="231"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231"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359" w:firstLine="389"/>
        <w:spacing w:after="0" w:line="273" w:lineRule="auto"/>
        <w:rPr>
          <w:sz w:val="20"/>
          <w:szCs w:val="20"/>
          <w:color w:val="auto"/>
        </w:rPr>
      </w:pPr>
      <w:r>
        <w:rPr>
          <w:rFonts w:ascii="Arial" w:cs="Arial" w:eastAsia="Arial" w:hAnsi="Arial"/>
          <w:sz w:val="17"/>
          <w:szCs w:val="17"/>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38" w:lineRule="exact"/>
        <w:rPr>
          <w:sz w:val="20"/>
          <w:szCs w:val="20"/>
          <w:color w:val="auto"/>
        </w:rPr>
      </w:pPr>
    </w:p>
    <w:p>
      <w:pPr>
        <w:ind w:left="340" w:right="199" w:firstLine="389"/>
        <w:spacing w:after="0" w:line="270" w:lineRule="auto"/>
        <w:rPr>
          <w:sz w:val="20"/>
          <w:szCs w:val="20"/>
          <w:color w:val="auto"/>
        </w:rPr>
      </w:pPr>
      <w:r>
        <w:rPr>
          <w:rFonts w:ascii="Arial" w:cs="Arial" w:eastAsia="Arial" w:hAnsi="Arial"/>
          <w:sz w:val="17"/>
          <w:szCs w:val="17"/>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the University’s campus in July 2010 and reviewed, and in some cases requested further information regarding, the University’s records, practices and policies relating to, among other things, financial aid, enrollment, enrollment counselor compensation, program eligibility and other Title IV compliance matters. Upon the conclusion of the site visit, the University was informed by the program review team that it would (i) conduct further review of the University’s documents and records offsite, (ii) upon completion of such review, schedule a formal exit interview to be followed by a preliminary program review report in which any preliminary findings of non-compliance would be presented, and (iii) conclude the review by issuance of a final program review determination letter.</w:t>
      </w:r>
    </w:p>
    <w:p>
      <w:pPr>
        <w:spacing w:after="0" w:line="137" w:lineRule="exact"/>
        <w:rPr>
          <w:sz w:val="20"/>
          <w:szCs w:val="20"/>
          <w:color w:val="auto"/>
        </w:rPr>
      </w:pPr>
    </w:p>
    <w:p>
      <w:pPr>
        <w:ind w:left="340" w:right="179" w:firstLine="389"/>
        <w:spacing w:after="0" w:line="297" w:lineRule="auto"/>
        <w:rPr>
          <w:sz w:val="20"/>
          <w:szCs w:val="20"/>
          <w:color w:val="auto"/>
        </w:rPr>
      </w:pPr>
      <w:r>
        <w:rPr>
          <w:rFonts w:ascii="Arial" w:cs="Arial" w:eastAsia="Arial" w:hAnsi="Arial"/>
          <w:sz w:val="16"/>
          <w:szCs w:val="16"/>
          <w:color w:val="auto"/>
        </w:rPr>
        <w:t>Following the conclusion of the site visit in July 2010, but before it had yet received notification of the timing of its exit interview or the Department of Education’s preliminary program review report or final program review determination letter, the University became aware that the program review team had two preliminary findings of concern, the incentive compensation issue and the gainful employment issue (each as described below). However, from August 2010 until August 2011, the University received no further communications from the Department of Education regarding these two concerns or the program review generally.</w:t>
      </w:r>
    </w:p>
    <w:p>
      <w:pPr>
        <w:spacing w:after="0" w:line="131" w:lineRule="exact"/>
        <w:rPr>
          <w:sz w:val="20"/>
          <w:szCs w:val="20"/>
          <w:color w:val="auto"/>
        </w:rPr>
      </w:pPr>
    </w:p>
    <w:p>
      <w:pPr>
        <w:ind w:left="340" w:right="219" w:firstLine="389"/>
        <w:spacing w:after="0" w:line="255" w:lineRule="auto"/>
        <w:rPr>
          <w:sz w:val="20"/>
          <w:szCs w:val="20"/>
          <w:color w:val="auto"/>
        </w:rPr>
      </w:pPr>
      <w:r>
        <w:rPr>
          <w:rFonts w:ascii="Arial" w:cs="Arial" w:eastAsia="Arial" w:hAnsi="Arial"/>
          <w:sz w:val="18"/>
          <w:szCs w:val="18"/>
          <w:color w:val="auto"/>
        </w:rPr>
        <w:t>While the University never received a formal exit interview, which the University had understood to be the typical step prior to the Department of Education’s issuance of a preliminary program review report, on August 24, 2011, the University received from the Department of Education a written preliminary program review report that included five findings, two of which involve individual student-specific errors concerning the monitoring of satisfactory academic progress for two students and the certification of one student’s Federal Family Educational Loan as an unsubsidized Stafford loan rather than a subsidized Stafford loan. The other three findings address the incentive compensation issue, the gainful employment issue and one additional issue not previously raised with the University, as follows:</w:t>
      </w:r>
    </w:p>
    <w:p>
      <w:pPr>
        <w:spacing w:after="0" w:line="149" w:lineRule="exact"/>
        <w:rPr>
          <w:sz w:val="20"/>
          <w:szCs w:val="20"/>
          <w:color w:val="auto"/>
        </w:rPr>
      </w:pPr>
    </w:p>
    <w:p>
      <w:pPr>
        <w:jc w:val="both"/>
        <w:ind w:left="1080" w:right="199" w:hanging="370"/>
        <w:spacing w:after="0" w:line="288" w:lineRule="auto"/>
        <w:tabs>
          <w:tab w:leader="none" w:pos="108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Incentive compensation issue</w:t>
      </w:r>
      <w:r>
        <w:rPr>
          <w:rFonts w:ascii="Arial" w:cs="Arial" w:eastAsia="Arial" w:hAnsi="Arial"/>
          <w:sz w:val="16"/>
          <w:szCs w:val="16"/>
          <w:color w:val="auto"/>
        </w:rPr>
        <w:t>. During a portion of the period under review, the University had in place a compensation plan</w:t>
      </w:r>
      <w:r>
        <w:rPr>
          <w:rFonts w:ascii="Arial" w:cs="Arial" w:eastAsia="Arial" w:hAnsi="Arial"/>
          <w:sz w:val="16"/>
          <w:szCs w:val="16"/>
          <w:i w:val="1"/>
          <w:iCs w:val="1"/>
          <w:color w:val="auto"/>
        </w:rPr>
        <w:t xml:space="preserve"> </w:t>
      </w:r>
      <w:r>
        <w:rPr>
          <w:rFonts w:ascii="Arial" w:cs="Arial" w:eastAsia="Arial" w:hAnsi="Arial"/>
          <w:sz w:val="16"/>
          <w:szCs w:val="16"/>
          <w:color w:val="auto"/>
        </w:rPr>
        <w:t>for its enrollment counselors that was designed to comply with the regulatory “safe harbor” in effect during such period that allowed companies to make adjustments to fixed compensation for enrollment personnel, provided that any such adjustment</w:t>
      </w:r>
    </w:p>
    <w:p>
      <w:pPr>
        <w:ind w:left="1080" w:right="219"/>
        <w:spacing w:after="0" w:line="251" w:lineRule="auto"/>
        <w:rPr>
          <w:rFonts w:ascii="Arial" w:cs="Arial" w:eastAsia="Arial" w:hAnsi="Arial"/>
          <w:sz w:val="16"/>
          <w:szCs w:val="16"/>
          <w:b w:val="1"/>
          <w:bCs w:val="1"/>
          <w:color w:val="auto"/>
        </w:rPr>
      </w:pPr>
      <w:r>
        <w:rPr>
          <w:rFonts w:ascii="Arial" w:cs="Arial" w:eastAsia="Arial" w:hAnsi="Arial"/>
          <w:sz w:val="18"/>
          <w:szCs w:val="18"/>
          <w:color w:val="auto"/>
        </w:rPr>
        <w:t>(i) was not made more than twice during any twelve month period, and (ii) was not based solely on the number of students recruited, admitted, enrolled, or awarded financial aid. The plan at issue provided for enrollment counselor performance to be reviewed on a number of non-enrollment-related factors that could account for a substantial portion of any potential base compensation adjustment. The preliminary program review report does not appear to set forth any definitive finding regarding the plan, but the Department of Education has requested additional information from the University regarding its enrollment counselor compensation practices and policies in effect during the period under review. The University continues to believe that the plan at issue, both as designed and as applied, did not base compensation solely on success in enrolling students in violation of applicable law and will continue to communicate with the Department of Education to resolve this matter.</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1080" w:right="179" w:hanging="370"/>
        <w:spacing w:after="0" w:line="269" w:lineRule="auto"/>
        <w:tabs>
          <w:tab w:leader="none" w:pos="1080" w:val="left"/>
        </w:tabs>
        <w:numPr>
          <w:ilvl w:val="0"/>
          <w:numId w:val="7"/>
        </w:numPr>
        <w:rPr>
          <w:rFonts w:ascii="Arial" w:cs="Arial" w:eastAsia="Arial" w:hAnsi="Arial"/>
          <w:sz w:val="17"/>
          <w:szCs w:val="17"/>
          <w:b w:val="1"/>
          <w:bCs w:val="1"/>
          <w:color w:val="auto"/>
        </w:rPr>
      </w:pPr>
      <w:r>
        <w:rPr>
          <w:rFonts w:ascii="Arial" w:cs="Arial" w:eastAsia="Arial" w:hAnsi="Arial"/>
          <w:sz w:val="17"/>
          <w:szCs w:val="17"/>
          <w:i w:val="1"/>
          <w:iCs w:val="1"/>
          <w:color w:val="auto"/>
        </w:rPr>
        <w:t>Gainful employment issue</w:t>
      </w:r>
      <w:r>
        <w:rPr>
          <w:rFonts w:ascii="Arial" w:cs="Arial" w:eastAsia="Arial" w:hAnsi="Arial"/>
          <w:sz w:val="17"/>
          <w:szCs w:val="17"/>
          <w:color w:val="auto"/>
        </w:rPr>
        <w:t>. The preliminary program review report sets forth the Department of Education’s position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University’s Bachelor of Arts in Interdisciplinary Studies program was not an eligible program under Title IV because it did not provide students with training to prepare them for gainful employment in a recognized occupation. This “gainful employment” standard has been a requirement for Title IV eligibility for programs offered at proprietary institutions of higher education such as the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(the University has held a regional accreditation since 1968). The University believes that its Interdisciplinary Studies program, which it first offered in Fall 2007 in response to a request by one of the University’s employer-partners, was an eligible program under the “gainful employment” standard in effect prior to July 1, 2010 and intends to communicate with the Department of Education to resolve the matter.</w:t>
      </w:r>
    </w:p>
    <w:p>
      <w:pPr>
        <w:spacing w:after="0" w:line="142" w:lineRule="exact"/>
        <w:rPr>
          <w:rFonts w:ascii="Arial" w:cs="Arial" w:eastAsia="Arial" w:hAnsi="Arial"/>
          <w:sz w:val="17"/>
          <w:szCs w:val="17"/>
          <w:b w:val="1"/>
          <w:bCs w:val="1"/>
          <w:color w:val="auto"/>
        </w:rPr>
      </w:pPr>
    </w:p>
    <w:p>
      <w:pPr>
        <w:ind w:left="1080" w:right="159" w:hanging="370"/>
        <w:spacing w:after="0" w:line="288" w:lineRule="auto"/>
        <w:tabs>
          <w:tab w:leader="none" w:pos="108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Inadequate procedures related to non-passing grades. </w:t>
      </w:r>
      <w:r>
        <w:rPr>
          <w:rFonts w:ascii="Arial" w:cs="Arial" w:eastAsia="Arial" w:hAnsi="Arial"/>
          <w:sz w:val="16"/>
          <w:szCs w:val="16"/>
          <w:color w:val="auto"/>
        </w:rPr>
        <w:t>The preliminary program review report sets forth the Department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Education’s position that the University, during the period under review and prior to the time the University converted from a term-based financial aid system to a non-term, borrower-based financial aid system in mid-2010, failed to have an accurate system to determine if students with non-passing grades for a term had no documented attendance for the term or should have been treated as unofficial withdrawals for the term, thereby potentially requiring the University to return all or a portion of the Title IV monies previously received with respect to such students. Although the University is confident in the legal sufficiency of its policies that were in place during the period under review, the University is currently in discussions with the Department of Education regarding this finding. As part of the process of reviewing and responding to this finding, the Department of Education has requested that the University conduct a further review of student files and provide additional information to the Department of Education following the completion of such review.</w:t>
      </w:r>
    </w:p>
    <w:p>
      <w:pPr>
        <w:spacing w:after="0" w:line="129" w:lineRule="exact"/>
        <w:rPr>
          <w:sz w:val="20"/>
          <w:szCs w:val="20"/>
          <w:color w:val="auto"/>
        </w:rPr>
      </w:pPr>
    </w:p>
    <w:p>
      <w:pPr>
        <w:ind w:left="340" w:right="199" w:firstLine="389"/>
        <w:spacing w:after="0" w:line="259" w:lineRule="auto"/>
        <w:rPr>
          <w:sz w:val="20"/>
          <w:szCs w:val="20"/>
          <w:color w:val="auto"/>
        </w:rPr>
      </w:pPr>
      <w:r>
        <w:rPr>
          <w:rFonts w:ascii="Arial" w:cs="Arial" w:eastAsia="Arial" w:hAnsi="Arial"/>
          <w:sz w:val="18"/>
          <w:szCs w:val="18"/>
          <w:color w:val="auto"/>
        </w:rPr>
        <w:t>The University cannot presently predict whether or if further information requests will be made, how the foregoing issues will be resolved, when the final program review determination letter will be issued, or when the program review will be closed. At this time, the Department of Education has not specified the amount of any potential penalties, and the University has not accrued any amounts in connection with the program review.</w:t>
      </w:r>
    </w:p>
    <w:p>
      <w:pPr>
        <w:spacing w:after="0" w:line="160" w:lineRule="exact"/>
        <w:rPr>
          <w:sz w:val="20"/>
          <w:szCs w:val="20"/>
          <w:color w:val="auto"/>
        </w:rPr>
      </w:pPr>
    </w:p>
    <w:p>
      <w:pPr>
        <w:ind w:left="340" w:right="299" w:firstLine="389"/>
        <w:spacing w:after="0" w:line="290" w:lineRule="auto"/>
        <w:rPr>
          <w:sz w:val="20"/>
          <w:szCs w:val="20"/>
          <w:color w:val="auto"/>
        </w:rPr>
      </w:pPr>
      <w:r>
        <w:rPr>
          <w:rFonts w:ascii="Arial" w:cs="Arial" w:eastAsia="Arial" w:hAnsi="Arial"/>
          <w:sz w:val="16"/>
          <w:szCs w:val="16"/>
          <w:color w:val="auto"/>
        </w:rPr>
        <w:t>The University’s policies and procedures are planned and implemented to comply with the applicable standards and regulations under Title IV and the University is committed to resolving any issues of non-compliance identified in the final program review determination letter and ensuring that the University operates in compliance with all Department of Education requirements. If the Department of Education were to make significant findings of non-compliance in the final program review determination letter, then, after exhausting any administrative appeals available to the University, the University could be required to pay a fine, return Title IV monies previously received, or be subjected to other administrative sanctions. While the University cannot currently predict the final outcome of the Department of Education review, any such final adverse finding could damage the University’s reputation in the industry and have a material adverse effect on the University’s business, results of operations, cash flows and financial position.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Treasury Stock</w:t>
      </w:r>
    </w:p>
    <w:p>
      <w:pPr>
        <w:spacing w:after="0" w:line="189" w:lineRule="exact"/>
        <w:rPr>
          <w:sz w:val="20"/>
          <w:szCs w:val="20"/>
          <w:color w:val="auto"/>
        </w:rPr>
      </w:pPr>
    </w:p>
    <w:p>
      <w:pPr>
        <w:ind w:left="340" w:right="239" w:firstLine="389"/>
        <w:spacing w:after="0" w:line="270" w:lineRule="auto"/>
        <w:rPr>
          <w:sz w:val="20"/>
          <w:szCs w:val="20"/>
          <w:color w:val="auto"/>
        </w:rPr>
      </w:pPr>
      <w:r>
        <w:rPr>
          <w:rFonts w:ascii="Arial" w:cs="Arial" w:eastAsia="Arial" w:hAnsi="Arial"/>
          <w:sz w:val="17"/>
          <w:szCs w:val="17"/>
          <w:color w:val="auto"/>
        </w:rPr>
        <w:t>On July 28, 2011, our Board of Directors authorized the University to repurchase up to an additional $25,000 ($50,000 total) of common stock, from time to time, depending on market conditions and other considerations. The original authorization of $25,000 occurred on August 16, 2010 and the expiration date on the repurchase authorization is September 30, 2012.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the approval of the share repurchase plan, the University has purchased 1,607 shares of common stock shares at an aggregate cost of $23,153 which includes 1,557 shares of common stock at an aggregate cost of $22,371 during the nine months ended September 30, 2011, which are recorded at cost in the accompanying consolidated balance sheets and consolidated statement of stockholders’ equity. At September 30, 2011, there remained $26,847 available under its current share repurchase authorization.</w:t>
      </w:r>
    </w:p>
    <w:p>
      <w:pPr>
        <w:spacing w:after="0" w:line="200" w:lineRule="exact"/>
        <w:rPr>
          <w:sz w:val="20"/>
          <w:szCs w:val="20"/>
          <w:color w:val="auto"/>
        </w:rPr>
      </w:pPr>
    </w:p>
    <w:p>
      <w:pPr>
        <w:spacing w:after="0" w:line="34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Loan Amendment</w:t>
      </w:r>
    </w:p>
    <w:p>
      <w:pPr>
        <w:spacing w:after="0" w:line="189" w:lineRule="exact"/>
        <w:rPr>
          <w:sz w:val="20"/>
          <w:szCs w:val="20"/>
          <w:color w:val="auto"/>
        </w:rPr>
      </w:pPr>
    </w:p>
    <w:p>
      <w:pPr>
        <w:ind w:left="340" w:right="199" w:firstLine="389"/>
        <w:spacing w:after="0" w:line="288" w:lineRule="auto"/>
        <w:rPr>
          <w:sz w:val="20"/>
          <w:szCs w:val="20"/>
          <w:color w:val="auto"/>
        </w:rPr>
      </w:pPr>
      <w:r>
        <w:rPr>
          <w:rFonts w:ascii="Arial" w:cs="Arial" w:eastAsia="Arial" w:hAnsi="Arial"/>
          <w:sz w:val="16"/>
          <w:szCs w:val="16"/>
          <w:color w:val="auto"/>
        </w:rPr>
        <w:t>On April 8, 2011, the University entered into an amended and restated loan agreement with Bank of America, N.A. (the “Amended Agreement”). Under the Amended Agreement, the bank (a) extended the maturity date of the University’s existing loan from April 30, 2014 to March 31, 2016 and decreased the interest rate on the outstanding balance from the BBA Libor Rate plus 225 basis points to the BBA Libor Rate plus 200 basis points (all other terms of the existing loan remain the same), and (b) provided to the University a revolving line of credit in the amount of $50,000 through March 31, 2016 to be utilized for working capital, capital expenditures, share repurchases and other general corporate purposes. The Amended Agreement contains standard covenants that are substantially consistent with those included in the prior agreement, including covenants that, among other things, restrict the University’s ability to incur additional debt or make certain investments, require the University to maintain compliance with certain applicable regulatory standards, and require the University to maintain a certain financial condition. Indebtedness under the Amended Agreement is secured by all of the University’s assets. No amounts are borrowed on the line of credit as of September 30, 2011.</w:t>
      </w:r>
    </w:p>
    <w:p>
      <w:pPr>
        <w:spacing w:after="0" w:line="200" w:lineRule="exact"/>
        <w:rPr>
          <w:sz w:val="20"/>
          <w:szCs w:val="20"/>
          <w:color w:val="auto"/>
        </w:rPr>
      </w:pPr>
    </w:p>
    <w:p>
      <w:pPr>
        <w:spacing w:after="0" w:line="33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left="340" w:right="399" w:firstLine="389"/>
        <w:spacing w:after="0" w:line="31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has been restated to reflect the restatement of the balance sheet and statements of income, stockholders’ equity and cash flows for the quarter ended September 30, 2010 and should be read in conjunction with our financial statements and related notes that appear elsewhere in this report.</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left="340" w:right="239" w:firstLine="389"/>
        <w:spacing w:after="0" w:line="270" w:lineRule="auto"/>
        <w:rPr>
          <w:sz w:val="20"/>
          <w:szCs w:val="20"/>
          <w:color w:val="auto"/>
        </w:rPr>
      </w:pPr>
      <w:r>
        <w:rPr>
          <w:rFonts w:ascii="Arial" w:cs="Arial" w:eastAsia="Arial" w:hAnsi="Arial"/>
          <w:sz w:val="17"/>
          <w:szCs w:val="17"/>
          <w:color w:val="auto"/>
        </w:rPr>
        <w:t xml:space="preserve">This Quarterly Report on Form 10-Q, including Item 2,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contains certain “forward-looking statements,” which include information relating to future events, future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performance, strategies, expectations, competitive environment, regulation, and availability of resources. These forward-looking statements include, without limitation, statements regarding: proposed new programs; expectations regarding the material adverse effect that regulatory developments or other matters may have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1" w:lineRule="exact"/>
        <w:rPr>
          <w:sz w:val="20"/>
          <w:szCs w:val="20"/>
          <w:color w:val="auto"/>
        </w:rPr>
      </w:pPr>
    </w:p>
    <w:p>
      <w:pPr>
        <w:ind w:left="340" w:right="219" w:firstLine="389"/>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53" w:lineRule="exact"/>
        <w:rPr>
          <w:sz w:val="20"/>
          <w:szCs w:val="20"/>
          <w:color w:val="auto"/>
        </w:rPr>
      </w:pPr>
    </w:p>
    <w:p>
      <w:pPr>
        <w:ind w:left="1080" w:right="359" w:hanging="370"/>
        <w:spacing w:after="0" w:line="264"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140" w:lineRule="exact"/>
        <w:rPr>
          <w:rFonts w:ascii="Arial" w:cs="Arial" w:eastAsia="Arial" w:hAnsi="Arial"/>
          <w:sz w:val="18"/>
          <w:szCs w:val="18"/>
          <w:b w:val="1"/>
          <w:bCs w:val="1"/>
          <w:color w:val="auto"/>
        </w:rPr>
      </w:pPr>
    </w:p>
    <w:p>
      <w:pPr>
        <w:ind w:left="1080" w:right="199" w:hanging="370"/>
        <w:spacing w:after="0" w:line="277"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results of the ongoing program review being conducted by the Department of Education of our compliance with Title IV program requirements, and possible fines or other administrative sanctions resulting therefrom;</w:t>
      </w:r>
    </w:p>
    <w:p>
      <w:pPr>
        <w:spacing w:after="0" w:line="143"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57" w:lineRule="exact"/>
        <w:rPr>
          <w:rFonts w:ascii="Arial" w:cs="Arial" w:eastAsia="Arial" w:hAnsi="Arial"/>
          <w:sz w:val="18"/>
          <w:szCs w:val="18"/>
          <w:b w:val="1"/>
          <w:bCs w:val="1"/>
          <w:color w:val="auto"/>
        </w:rPr>
      </w:pPr>
    </w:p>
    <w:p>
      <w:pPr>
        <w:ind w:left="1080" w:right="179" w:hanging="370"/>
        <w:spacing w:after="0" w:line="264"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140"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risks associated with changes in applicable federal and state laws and regulations and accrediting commission standards;</w:t>
      </w:r>
    </w:p>
    <w:p>
      <w:pPr>
        <w:spacing w:after="0" w:line="207" w:lineRule="exact"/>
        <w:rPr>
          <w:rFonts w:ascii="Arial" w:cs="Arial" w:eastAsia="Arial" w:hAnsi="Arial"/>
          <w:sz w:val="16"/>
          <w:szCs w:val="16"/>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hire and train new, and develop and train existing, enrollment counselors;</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pace of growth of our enrollment;</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convert prospective students to enrolled students and to retain active students;</w:t>
      </w:r>
    </w:p>
    <w:p>
      <w:pPr>
        <w:spacing w:after="0" w:line="184" w:lineRule="exact"/>
        <w:rPr>
          <w:rFonts w:ascii="Arial" w:cs="Arial" w:eastAsia="Arial" w:hAnsi="Arial"/>
          <w:sz w:val="18"/>
          <w:szCs w:val="18"/>
          <w:b w:val="1"/>
          <w:bCs w:val="1"/>
          <w:color w:val="auto"/>
        </w:rPr>
      </w:pPr>
    </w:p>
    <w:p>
      <w:pPr>
        <w:ind w:left="1080" w:right="419" w:hanging="370"/>
        <w:spacing w:after="0" w:line="277"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143"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competitive environment for marketing our programs;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failure on our part to keep up with advances in technology that could enhance the online experience for our students;</w:t>
      </w:r>
    </w:p>
    <w:p>
      <w:pPr>
        <w:spacing w:after="0" w:line="209" w:lineRule="exact"/>
        <w:rPr>
          <w:rFonts w:ascii="Arial" w:cs="Arial" w:eastAsia="Arial" w:hAnsi="Arial"/>
          <w:sz w:val="17"/>
          <w:szCs w:val="17"/>
          <w:b w:val="1"/>
          <w:bCs w:val="1"/>
          <w:color w:val="auto"/>
        </w:rPr>
      </w:pPr>
    </w:p>
    <w:p>
      <w:pPr>
        <w:ind w:left="1080" w:right="579" w:hanging="370"/>
        <w:spacing w:after="0" w:line="264"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1080" w:right="419" w:hanging="370"/>
        <w:spacing w:after="0" w:line="342" w:lineRule="auto"/>
        <w:tabs>
          <w:tab w:leader="none" w:pos="108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potential decreases in enrollment, the payment of refunds or other negative impacts on our operating results as a result of our change from a “term-based” financial aid system to a “borrower-based, non-term” or “BBAY” financial aid system;</w:t>
      </w:r>
    </w:p>
    <w:p>
      <w:pPr>
        <w:spacing w:after="0" w:line="83" w:lineRule="exact"/>
        <w:rPr>
          <w:rFonts w:ascii="Arial" w:cs="Arial" w:eastAsia="Arial" w:hAnsi="Arial"/>
          <w:sz w:val="16"/>
          <w:szCs w:val="16"/>
          <w:b w:val="1"/>
          <w:bCs w:val="1"/>
          <w:color w:val="auto"/>
        </w:rPr>
      </w:pPr>
    </w:p>
    <w:p>
      <w:pPr>
        <w:ind w:left="1080" w:hanging="370"/>
        <w:spacing w:after="0"/>
        <w:tabs>
          <w:tab w:leader="none" w:pos="10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manage future growth effectively; and</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general adverse economic conditions or other developments that affect job prospects in our core disciplines.</w:t>
      </w:r>
    </w:p>
    <w:p>
      <w:pPr>
        <w:spacing w:after="0" w:line="198" w:lineRule="exact"/>
        <w:rPr>
          <w:sz w:val="20"/>
          <w:szCs w:val="20"/>
          <w:color w:val="auto"/>
        </w:rPr>
      </w:pPr>
    </w:p>
    <w:p>
      <w:pPr>
        <w:ind w:left="340" w:right="179" w:firstLine="389"/>
        <w:spacing w:after="0" w:line="270"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10-K/A for the fiscal year ended December 31, 2010, as updated in our subsequent reports filed with the Securities and Exchange Commission (“SEC”), including any updates found in Part II, Item 1A of this Quarterly Report on Form 10-Q or our other reports on Form 10-Q/A and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37" w:lineRule="exact"/>
        <w:rPr>
          <w:sz w:val="20"/>
          <w:szCs w:val="20"/>
          <w:color w:val="auto"/>
        </w:rPr>
      </w:pPr>
    </w:p>
    <w:p>
      <w:pPr>
        <w:ind w:left="340" w:right="379" w:firstLine="389"/>
        <w:spacing w:after="0" w:line="277" w:lineRule="auto"/>
        <w:rPr>
          <w:sz w:val="20"/>
          <w:szCs w:val="20"/>
          <w:color w:val="auto"/>
        </w:rPr>
      </w:pPr>
      <w:r>
        <w:rPr>
          <w:rFonts w:ascii="Arial" w:cs="Arial" w:eastAsia="Arial" w:hAnsi="Arial"/>
          <w:sz w:val="18"/>
          <w:szCs w:val="18"/>
          <w:color w:val="auto"/>
        </w:rPr>
        <w:t>Throughout this Form 10-Q all referenced amounts reflect the balances on a restated basis for the three and nine months ended September 30, 2010.</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340" w:right="519" w:firstLine="389"/>
        <w:spacing w:after="0" w:line="312" w:lineRule="auto"/>
        <w:rPr>
          <w:sz w:val="20"/>
          <w:szCs w:val="20"/>
          <w:color w:val="auto"/>
        </w:rPr>
      </w:pPr>
      <w:r>
        <w:rPr>
          <w:rFonts w:ascii="Arial" w:cs="Arial" w:eastAsia="Arial" w:hAnsi="Arial"/>
          <w:sz w:val="16"/>
          <w:szCs w:val="16"/>
          <w:color w:val="auto"/>
        </w:rPr>
        <w:t>We are a regionally accredited provider of postsecondary education services focused on offering graduate and undergraduate degree programs in our core disciplines of education, business, healthcare, and liberal arts. We offer programs online, at our approximately 110 acre traditional campus in Phoenix, Arizona and onsite at the facilities of employers.</w:t>
      </w:r>
    </w:p>
    <w:p>
      <w:pPr>
        <w:spacing w:after="0" w:line="106" w:lineRule="exact"/>
        <w:rPr>
          <w:sz w:val="20"/>
          <w:szCs w:val="20"/>
          <w:color w:val="auto"/>
        </w:rPr>
      </w:pPr>
    </w:p>
    <w:p>
      <w:pPr>
        <w:ind w:left="340" w:right="219" w:firstLine="389"/>
        <w:spacing w:after="0" w:line="271" w:lineRule="auto"/>
        <w:rPr>
          <w:sz w:val="20"/>
          <w:szCs w:val="20"/>
          <w:color w:val="auto"/>
        </w:rPr>
      </w:pPr>
      <w:r>
        <w:rPr>
          <w:rFonts w:ascii="Arial" w:cs="Arial" w:eastAsia="Arial" w:hAnsi="Arial"/>
          <w:sz w:val="17"/>
          <w:szCs w:val="17"/>
          <w:color w:val="auto"/>
        </w:rPr>
        <w:t>At September 30, 2011, we had approximately 44,500 students, an increase of 5.2% over the approximately 42,300 students we had at September 30, 2010. At September 30, 2011, 88.7% of our students were enrolled in our online programs, and 43.0% of our nontraditional students were pursuing master’s or doctoral degrees. In addition, revenue per student increased between periods as we increased tuition prices for students in our online and professional studies programs by 0.0% to 6.5%, depending on the program, with an estimated blended rate increase of 3.2% for our 2011-12 academic year, as compared to tuition price increases for students in our online and professional studies programs of 0.0% to 5.7% for our 2010-11 academic year, depending on the program, with an estimated blended rate increase of 3.5% for the prior academic year. Tuition for our traditional ground programs had no increase for our 2011-12 or 2010-11 academic years.</w:t>
      </w:r>
    </w:p>
    <w:p>
      <w:pPr>
        <w:spacing w:after="0" w:line="138" w:lineRule="exact"/>
        <w:rPr>
          <w:sz w:val="20"/>
          <w:szCs w:val="20"/>
          <w:color w:val="auto"/>
        </w:rPr>
      </w:pPr>
    </w:p>
    <w:p>
      <w:pPr>
        <w:ind w:left="340" w:right="799"/>
        <w:spacing w:after="0" w:line="308" w:lineRule="auto"/>
        <w:rPr>
          <w:sz w:val="20"/>
          <w:szCs w:val="20"/>
          <w:color w:val="auto"/>
        </w:rPr>
      </w:pPr>
      <w:r>
        <w:rPr>
          <w:rFonts w:ascii="Arial" w:cs="Arial" w:eastAsia="Arial" w:hAnsi="Arial"/>
          <w:sz w:val="17"/>
          <w:szCs w:val="17"/>
          <w:color w:val="auto"/>
        </w:rPr>
        <w:t>The following is a summary of our student enrollment at September 30, 2011 and 2010 (which included less than 500 students pursuing non-degree certificates in each period) by degree type and by instructional delivery method:</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4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2011</w:t>
            </w:r>
            <w:r>
              <w:rPr>
                <w:rFonts w:ascii="Arial" w:cs="Arial" w:eastAsia="Arial" w:hAnsi="Arial"/>
                <w:sz w:val="15"/>
                <w:szCs w:val="15"/>
                <w:color w:val="auto"/>
              </w:rPr>
              <w:t>(1)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r>
              <w:rPr>
                <w:rFonts w:ascii="Arial" w:cs="Arial" w:eastAsia="Arial" w:hAnsi="Arial"/>
                <w:sz w:val="15"/>
                <w:szCs w:val="15"/>
                <w:color w:val="auto"/>
              </w:rPr>
              <w:t>(1)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of 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8"/>
                <w:szCs w:val="18"/>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14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17,497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16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18,128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Undergraduate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26,989</w:t>
            </w: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60.7%</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24,158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r>
      <w:tr>
        <w:trPr>
          <w:trHeight w:val="27"/>
        </w:trPr>
        <w:tc>
          <w:tcPr>
            <w:tcW w:w="4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44,486</w:t>
            </w:r>
          </w:p>
        </w:tc>
        <w:tc>
          <w:tcPr>
            <w:tcW w:w="4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6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42,286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44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44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2011</w:t>
            </w:r>
            <w:r>
              <w:rPr>
                <w:rFonts w:ascii="Arial" w:cs="Arial" w:eastAsia="Arial" w:hAnsi="Arial"/>
                <w:sz w:val="15"/>
                <w:szCs w:val="15"/>
                <w:color w:val="auto"/>
              </w:rPr>
              <w:t>(1)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r>
              <w:rPr>
                <w:rFonts w:ascii="Arial" w:cs="Arial" w:eastAsia="Arial" w:hAnsi="Arial"/>
                <w:sz w:val="15"/>
                <w:szCs w:val="15"/>
                <w:color w:val="auto"/>
              </w:rPr>
              <w:t>(1)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of 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8"/>
                <w:szCs w:val="18"/>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14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39,447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w:t>
            </w:r>
          </w:p>
        </w:tc>
        <w:tc>
          <w:tcPr>
            <w:tcW w:w="16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38,593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5,039</w:t>
            </w: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3,693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r>
      <w:tr>
        <w:trPr>
          <w:trHeight w:val="27"/>
        </w:trPr>
        <w:tc>
          <w:tcPr>
            <w:tcW w:w="4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44,486</w:t>
            </w:r>
          </w:p>
        </w:tc>
        <w:tc>
          <w:tcPr>
            <w:tcW w:w="4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6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42,286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319" w:hanging="388"/>
        <w:spacing w:after="0" w:line="277" w:lineRule="auto"/>
        <w:tabs>
          <w:tab w:leader="none" w:pos="7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Enrollment at September 30, 2011 and 2010 represents individual students who attended a course during the last two months of the calendar quarter.</w:t>
      </w:r>
    </w:p>
    <w:p>
      <w:pPr>
        <w:spacing w:after="0" w:line="21" w:lineRule="exact"/>
        <w:rPr>
          <w:rFonts w:ascii="Arial" w:cs="Arial" w:eastAsia="Arial" w:hAnsi="Arial"/>
          <w:sz w:val="15"/>
          <w:szCs w:val="15"/>
          <w:color w:val="auto"/>
        </w:rPr>
      </w:pPr>
    </w:p>
    <w:p>
      <w:pPr>
        <w:ind w:left="720" w:hanging="388"/>
        <w:spacing w:after="0"/>
        <w:tabs>
          <w:tab w:leader="none" w:pos="7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Includes 1,808 and 977 students pursuing doctoral degrees at September 30, 2011 and 2010, respectively.</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10"/>
        </w:numPr>
        <w:rPr>
          <w:rFonts w:ascii="Arial" w:cs="Arial" w:eastAsia="Arial" w:hAnsi="Arial"/>
          <w:sz w:val="14"/>
          <w:szCs w:val="14"/>
          <w:color w:val="auto"/>
        </w:rPr>
      </w:pPr>
      <w:r>
        <w:rPr>
          <w:rFonts w:ascii="Arial" w:cs="Arial" w:eastAsia="Arial" w:hAnsi="Arial"/>
          <w:sz w:val="17"/>
          <w:szCs w:val="17"/>
          <w:color w:val="auto"/>
        </w:rPr>
        <w:t>As of September 30, 2011 and 2010, 42.3% and 45.5%, respectively, of our online students are pursuing graduate degrees.</w:t>
      </w:r>
    </w:p>
    <w:p>
      <w:pPr>
        <w:spacing w:after="0" w:line="88" w:lineRule="exact"/>
        <w:rPr>
          <w:rFonts w:ascii="Arial" w:cs="Arial" w:eastAsia="Arial" w:hAnsi="Arial"/>
          <w:sz w:val="14"/>
          <w:szCs w:val="14"/>
          <w:color w:val="auto"/>
        </w:rPr>
      </w:pPr>
    </w:p>
    <w:p>
      <w:pPr>
        <w:ind w:left="720" w:hanging="388"/>
        <w:spacing w:after="0"/>
        <w:tabs>
          <w:tab w:leader="none" w:pos="7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as well as our professional studies students.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89" w:lineRule="exact"/>
        <w:rPr>
          <w:sz w:val="20"/>
          <w:szCs w:val="20"/>
          <w:color w:val="auto"/>
        </w:rPr>
      </w:pPr>
    </w:p>
    <w:p>
      <w:pPr>
        <w:ind w:left="340" w:right="399" w:firstLine="389"/>
        <w:spacing w:after="0" w:line="342" w:lineRule="auto"/>
        <w:rPr>
          <w:sz w:val="20"/>
          <w:szCs w:val="20"/>
          <w:color w:val="auto"/>
        </w:rPr>
      </w:pPr>
      <w:r>
        <w:rPr>
          <w:rFonts w:ascii="Arial" w:cs="Arial" w:eastAsia="Arial" w:hAnsi="Arial"/>
          <w:sz w:val="16"/>
          <w:szCs w:val="16"/>
          <w:color w:val="auto"/>
        </w:rPr>
        <w:t>Our critical accounting policies are disclosed in our Annual Report on Form 10-K/A for the fiscal year ended December 31, 2010. During the nine months ended September 30, 2011, there have been no significant changes in our critical accounting policies.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202" w:lineRule="exact"/>
        <w:rPr>
          <w:sz w:val="20"/>
          <w:szCs w:val="20"/>
          <w:color w:val="auto"/>
        </w:rPr>
      </w:pPr>
    </w:p>
    <w:p>
      <w:pPr>
        <w:ind w:left="340" w:right="339" w:firstLine="389"/>
        <w:spacing w:after="0" w:line="254" w:lineRule="auto"/>
        <w:rPr>
          <w:sz w:val="20"/>
          <w:szCs w:val="20"/>
          <w:color w:val="auto"/>
        </w:rPr>
      </w:pPr>
      <w:r>
        <w:rPr>
          <w:rFonts w:ascii="Arial" w:cs="Arial" w:eastAsia="Arial" w:hAnsi="Arial"/>
          <w:sz w:val="18"/>
          <w:szCs w:val="18"/>
          <w:color w:val="auto"/>
        </w:rPr>
        <w:t>Our key trends, developments and challenges are disclosed in our Annual Report on Form 10-K/A for the fiscal year ended December 31, 2010 and were updated in our Quarterly Report on Form 10-Q/A for the quarter ended June 30, 2011. See Item 7, “Management’s Discussion and Analysis of Financial Condition and Results of Operations — Key Trends, Developments and Challenges” in our Annual Report on Form 10-K/A for our fiscal year ended December 31, 2010, and Part I, Item 2, “Management’s Discussion and Analysis of Financial Condition and Results of Operations — Key Trends, Developments and Challenges” in our Quarterly Report on Form 10-Q/A for our fiscal quarter ended June 30, 2011, each of which is incorporated herein by reference. During the nine months ended September 30, 2011, there have been no significant changes in these trends, other than as referenced above.</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sets forth income statement data as a percentage of net revenue for each of the periods indicated: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82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4"/>
          </w:tcPr>
          <w:p>
            <w:pPr>
              <w:ind w:left="4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80" w:type="dxa"/>
            <w:vAlign w:val="bottom"/>
          </w:tcPr>
          <w:p>
            <w:pPr>
              <w:spacing w:after="0"/>
              <w:rPr>
                <w:sz w:val="20"/>
                <w:szCs w:val="20"/>
                <w:color w:val="auto"/>
              </w:rPr>
            </w:pPr>
          </w:p>
        </w:tc>
        <w:tc>
          <w:tcPr>
            <w:tcW w:w="282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September 30,</w:t>
            </w:r>
          </w:p>
        </w:tc>
        <w:tc>
          <w:tcPr>
            <w:tcW w:w="2520" w:type="dxa"/>
            <w:vAlign w:val="bottom"/>
            <w:gridSpan w:val="4"/>
          </w:tcPr>
          <w:p>
            <w:pPr>
              <w:ind w:left="62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3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18"/>
                <w:szCs w:val="18"/>
                <w:color w:val="auto"/>
              </w:rPr>
            </w:pPr>
          </w:p>
        </w:tc>
        <w:tc>
          <w:tcPr>
            <w:tcW w:w="9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 and services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44.9</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46.2</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w:t>
            </w: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28.7</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28.4</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28.3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Lease termination fee</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0.8</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Exit costs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r>
      <w:tr>
        <w:trPr>
          <w:trHeight w:val="230"/>
        </w:trPr>
        <w:tc>
          <w:tcPr>
            <w:tcW w:w="438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4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460" w:type="dxa"/>
            <w:vAlign w:val="bottom"/>
          </w:tcPr>
          <w:p>
            <w:pPr>
              <w:spacing w:after="0"/>
              <w:rPr>
                <w:sz w:val="20"/>
                <w:szCs w:val="20"/>
                <w:color w:val="auto"/>
              </w:rPr>
            </w:pP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79"/>
              </w:rPr>
              <w:t>81.2</w:t>
            </w:r>
          </w:p>
        </w:tc>
        <w:tc>
          <w:tcPr>
            <w:tcW w:w="4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6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19.0</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Interest expense</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4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460" w:type="dxa"/>
            <w:vAlign w:val="bottom"/>
          </w:tcPr>
          <w:p>
            <w:pPr>
              <w:spacing w:after="0"/>
              <w:rPr>
                <w:sz w:val="19"/>
                <w:szCs w:val="19"/>
                <w:color w:val="auto"/>
              </w:rPr>
            </w:pPr>
          </w:p>
        </w:tc>
        <w:tc>
          <w:tcPr>
            <w:tcW w:w="94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79"/>
              </w:rPr>
              <w:t>18.7</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19"/>
                <w:szCs w:val="19"/>
                <w:color w:val="auto"/>
              </w:rPr>
            </w:pP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79"/>
              </w:rPr>
              <w:t>11.2</w:t>
            </w:r>
          </w:p>
        </w:tc>
        <w:tc>
          <w:tcPr>
            <w:tcW w:w="4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September 30, 2011 Compared to Three Months Ended September 30, 2010</w:t>
      </w:r>
    </w:p>
    <w:p>
      <w:pPr>
        <w:spacing w:after="0" w:line="185" w:lineRule="exact"/>
        <w:rPr>
          <w:sz w:val="20"/>
          <w:szCs w:val="20"/>
          <w:color w:val="auto"/>
        </w:rPr>
      </w:pPr>
    </w:p>
    <w:p>
      <w:pPr>
        <w:ind w:left="340" w:right="199" w:firstLine="389"/>
        <w:spacing w:after="0" w:line="272"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quarter ended September 30, 2011 was $108.9 million, an increase of $10.0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10.1%, as compared to net revenue of $98.9 million for the quarter ended September 30, 2010. This increase was primarily due to an increase in ground and online enrollment and, to a lesser extent, increases in the average tuition per student as a result of tuition price increases, partially offset by an increase in institutional scholarships. End-of-period enrollment increased to approximately 44,500, as we were able to continue our growth and increase our recruitment, marketing, and enrollment operations. We are anticipating increased pressure on new and continuing enrollments due primarily to the increasing challenges presented in the economy, the impact of new and proposed regulations, and increased competition.</w:t>
      </w:r>
    </w:p>
    <w:p>
      <w:pPr>
        <w:spacing w:after="0" w:line="151" w:lineRule="exact"/>
        <w:rPr>
          <w:sz w:val="20"/>
          <w:szCs w:val="20"/>
          <w:color w:val="auto"/>
        </w:rPr>
      </w:pPr>
    </w:p>
    <w:p>
      <w:pPr>
        <w:ind w:left="340" w:right="559" w:firstLine="389"/>
        <w:spacing w:after="0" w:line="291"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quarter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2011 were $48.9 million, an increase of $3.2 million, or 7.0%, as compared to instructional costs and services expenses of</w:t>
      </w:r>
    </w:p>
    <w:p>
      <w:pPr>
        <w:ind w:left="340" w:right="579"/>
        <w:spacing w:after="0" w:line="281" w:lineRule="auto"/>
        <w:rPr>
          <w:sz w:val="20"/>
          <w:szCs w:val="20"/>
          <w:color w:val="auto"/>
        </w:rPr>
      </w:pPr>
      <w:r>
        <w:rPr>
          <w:rFonts w:ascii="Arial" w:cs="Arial" w:eastAsia="Arial" w:hAnsi="Arial"/>
          <w:sz w:val="16"/>
          <w:szCs w:val="16"/>
          <w:color w:val="auto"/>
        </w:rPr>
        <w:t>$45.7 million for the quarter ended September 30, 2010. This increase was primarily due to increases in employee compensation, depreciation and amortization, and other instructional compensation and related expenses, of $2.2 million, $0.9 million and</w:t>
      </w:r>
    </w:p>
    <w:p>
      <w:pPr>
        <w:spacing w:after="0" w:line="1" w:lineRule="exact"/>
        <w:rPr>
          <w:sz w:val="20"/>
          <w:szCs w:val="20"/>
          <w:color w:val="auto"/>
        </w:rPr>
      </w:pPr>
    </w:p>
    <w:p>
      <w:pPr>
        <w:ind w:left="340" w:right="199"/>
        <w:spacing w:after="0" w:line="267" w:lineRule="auto"/>
        <w:rPr>
          <w:sz w:val="20"/>
          <w:szCs w:val="20"/>
          <w:color w:val="auto"/>
        </w:rPr>
      </w:pPr>
      <w:r>
        <w:rPr>
          <w:rFonts w:ascii="Arial" w:cs="Arial" w:eastAsia="Arial" w:hAnsi="Arial"/>
          <w:sz w:val="17"/>
          <w:szCs w:val="17"/>
          <w:color w:val="auto"/>
        </w:rPr>
        <w:t>$0.1 million, respectively. The increase in employee compensation is primarily due to an increase in headcount (both staff and faculty) needed to provide student instruction and support services to support the increase in enrollments. The increase in depreciation and amortization is the result of us placing into service $74.9 million of new buildings for our ground traditional campus in the last twelve months. Our instructional costs and services expenses as a percentage of net revenues decreased by 1.3% to 49.9% for the quarter ended September 30, 2011, as compared to 46.2% for the quarter ended September 30, 2010 primarily due to improvements in bad debt expense. Bad debt expense decreased as a percentage of net revenues from 9.8% in the third quarter of 2010 to 8.8% in the third quarter of 2011 as a result of improved collections of receivables due from current students between periods due to operational improvements made during 2011 and a reduction in receivables due from former students. We also incurred an increase in employee compensation and instructional supplies due to increased licensing fees related to educational resources and increased miscellaneous costs associated with making continued improvements in curriculum development and developing new and enhanced innovative educational tools, partially offset by our ability to leverage the fixed cost structure of our campus-based facilities and ground faculty across an increasing revenue base.</w:t>
      </w:r>
    </w:p>
    <w:p>
      <w:pPr>
        <w:spacing w:after="0" w:line="145" w:lineRule="exact"/>
        <w:rPr>
          <w:sz w:val="20"/>
          <w:szCs w:val="20"/>
          <w:color w:val="auto"/>
        </w:rPr>
      </w:pPr>
    </w:p>
    <w:p>
      <w:pPr>
        <w:ind w:left="720"/>
        <w:spacing w:after="0"/>
        <w:rPr>
          <w:sz w:val="20"/>
          <w:szCs w:val="20"/>
          <w:color w:val="auto"/>
        </w:rPr>
      </w:pPr>
      <w:r>
        <w:rPr>
          <w:rFonts w:ascii="Arial" w:cs="Arial" w:eastAsia="Arial" w:hAnsi="Arial"/>
          <w:sz w:val="17"/>
          <w:szCs w:val="17"/>
          <w:i w:val="1"/>
          <w:iCs w:val="1"/>
          <w:color w:val="auto"/>
        </w:rPr>
        <w:t>Selling and promotional expenses</w:t>
      </w:r>
      <w:r>
        <w:rPr>
          <w:rFonts w:ascii="Arial" w:cs="Arial" w:eastAsia="Arial" w:hAnsi="Arial"/>
          <w:sz w:val="17"/>
          <w:szCs w:val="17"/>
          <w:color w:val="auto"/>
        </w:rPr>
        <w:t>. Our selling and promotional expenses for the quarter ended September 30, 2011 were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$31.2 million, an increase of $3.1 million, or 11.2%, as compared to selling and promotional expenses of $28.1 million for the quarter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ended September 30, 2010. This increase is primarily the result of increases in employee compensation and advertising of $3.6 million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and $0.6 million, respectively, which is partially offset by lower promotional expenses of $1.1 million for the quarter. Our selling and</w:t>
      </w:r>
    </w:p>
    <w:p>
      <w:pPr>
        <w:spacing w:after="0" w:line="32" w:lineRule="exact"/>
        <w:rPr>
          <w:sz w:val="20"/>
          <w:szCs w:val="20"/>
          <w:color w:val="auto"/>
        </w:rPr>
      </w:pPr>
    </w:p>
    <w:p>
      <w:pPr>
        <w:ind w:left="340" w:right="219"/>
        <w:spacing w:after="0" w:line="269" w:lineRule="auto"/>
        <w:rPr>
          <w:sz w:val="20"/>
          <w:szCs w:val="20"/>
          <w:color w:val="auto"/>
        </w:rPr>
      </w:pPr>
      <w:r>
        <w:rPr>
          <w:rFonts w:ascii="Arial" w:cs="Arial" w:eastAsia="Arial" w:hAnsi="Arial"/>
          <w:sz w:val="17"/>
          <w:szCs w:val="17"/>
          <w:color w:val="auto"/>
        </w:rPr>
        <w:t>promotional expenses as a percentage of net revenue increased by 0.3% to 28.7% for the quarter ended September 30, 2011, from 28.4% for the quarter ended September 30, 2010. This increase occurred due to an increase in employee compensation and related expenses as a percentage of revenue as a result of increasing the number of enrollment counselors between years primarily for our ground traditional campus. Although we incur immediate expenses in connection with hiring new ground traditional campus enrollment counselors, these counselors will typically not recruit students that are enrolled at the University until September 2012. We plan to continue to add additional enrollment counselors in the future, although the number of additional hires as a percentage of the total headcount is expected to remain flat or decrease.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319" w:firstLine="389"/>
        <w:spacing w:after="0" w:line="276"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for the quarter ended September 30, 2011 were</w:t>
      </w:r>
      <w:r>
        <w:rPr>
          <w:rFonts w:ascii="Arial" w:cs="Arial" w:eastAsia="Arial" w:hAnsi="Arial"/>
          <w:sz w:val="17"/>
          <w:szCs w:val="17"/>
          <w:i w:val="1"/>
          <w:iCs w:val="1"/>
          <w:color w:val="auto"/>
        </w:rPr>
        <w:t xml:space="preserve"> </w:t>
      </w:r>
      <w:r>
        <w:rPr>
          <w:rFonts w:ascii="Arial" w:cs="Arial" w:eastAsia="Arial" w:hAnsi="Arial"/>
          <w:sz w:val="17"/>
          <w:szCs w:val="17"/>
          <w:color w:val="auto"/>
        </w:rPr>
        <w:t>$7.1 million, an increase of $0.5 million, or 8.1%, as compared to general and administrative expenses of $6.6 million for the quarter ended September 30, 2010. This increase was primarily due to increases in employee compensation and related expenses of $0.5 million. Our general and administrative expenses as a percentage of net revenue decreased by 0.1% to 6.6% for the quarter ended September 30, 2011, from 6.7% for the quarter ended September 30, 2010.</w:t>
      </w:r>
    </w:p>
    <w:p>
      <w:pPr>
        <w:spacing w:after="0" w:line="146" w:lineRule="exact"/>
        <w:rPr>
          <w:sz w:val="20"/>
          <w:szCs w:val="20"/>
          <w:color w:val="auto"/>
        </w:rPr>
      </w:pPr>
    </w:p>
    <w:p>
      <w:pPr>
        <w:ind w:left="340" w:right="439" w:firstLine="389"/>
        <w:spacing w:after="0" w:line="257" w:lineRule="auto"/>
        <w:rPr>
          <w:sz w:val="20"/>
          <w:szCs w:val="20"/>
          <w:color w:val="auto"/>
        </w:rPr>
      </w:pPr>
      <w:r>
        <w:rPr>
          <w:rFonts w:ascii="Arial" w:cs="Arial" w:eastAsia="Arial" w:hAnsi="Arial"/>
          <w:sz w:val="18"/>
          <w:szCs w:val="18"/>
          <w:i w:val="1"/>
          <w:iCs w:val="1"/>
          <w:color w:val="auto"/>
        </w:rPr>
        <w:t xml:space="preserve">Lease termination fee. </w:t>
      </w:r>
      <w:r>
        <w:rPr>
          <w:rFonts w:ascii="Arial" w:cs="Arial" w:eastAsia="Arial" w:hAnsi="Arial"/>
          <w:sz w:val="18"/>
          <w:szCs w:val="18"/>
          <w:color w:val="auto"/>
        </w:rPr>
        <w:t>In July 2011, the University notified a current landlord of its intent to vacate leased space by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2011. As a result, the University was required to pay a termination fee to terminate the lease resulting in $0.9 million of expense in the current period. The termination fee was paid on our behalf by our new landlord. This payment was recorded as an expense in the third quarter of 2011 with the offset being to a deferred liability. The deferred rent liability will be amortized into income over the new lease term.</w:t>
      </w:r>
    </w:p>
    <w:p>
      <w:pPr>
        <w:spacing w:after="0" w:line="148" w:lineRule="exact"/>
        <w:rPr>
          <w:sz w:val="20"/>
          <w:szCs w:val="20"/>
          <w:color w:val="auto"/>
        </w:rPr>
      </w:pPr>
    </w:p>
    <w:p>
      <w:pPr>
        <w:jc w:val="both"/>
        <w:ind w:left="340" w:right="279" w:firstLine="389"/>
        <w:spacing w:after="0" w:line="279"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quarter ended September 30, 2011 and 2010 was $7.6 million. Our effective tax</w:t>
      </w:r>
      <w:r>
        <w:rPr>
          <w:rFonts w:ascii="Arial" w:cs="Arial" w:eastAsia="Arial" w:hAnsi="Arial"/>
          <w:sz w:val="17"/>
          <w:szCs w:val="17"/>
          <w:i w:val="1"/>
          <w:iCs w:val="1"/>
          <w:color w:val="auto"/>
        </w:rPr>
        <w:t xml:space="preserve"> </w:t>
      </w:r>
      <w:r>
        <w:rPr>
          <w:rFonts w:ascii="Arial" w:cs="Arial" w:eastAsia="Arial" w:hAnsi="Arial"/>
          <w:sz w:val="17"/>
          <w:szCs w:val="17"/>
          <w:color w:val="auto"/>
        </w:rPr>
        <w:t>rate was 37.3% during the third quarter of 2011 compared to 41.5% during the third quarter of 2010. The decrease in the effective tax rate was primarily due to certain non-recurring tax items, which had the effect of decreasing our effective tax rate in the third quarter of 2011 and increasing the effective tax rate in the third quarter of 2010.</w:t>
      </w:r>
    </w:p>
    <w:p>
      <w:pPr>
        <w:spacing w:after="0" w:line="131" w:lineRule="exact"/>
        <w:rPr>
          <w:sz w:val="20"/>
          <w:szCs w:val="20"/>
          <w:color w:val="auto"/>
        </w:rPr>
      </w:pPr>
    </w:p>
    <w:p>
      <w:pPr>
        <w:ind w:left="340" w:right="839" w:firstLine="389"/>
        <w:spacing w:after="0" w:line="308" w:lineRule="auto"/>
        <w:rPr>
          <w:sz w:val="20"/>
          <w:szCs w:val="20"/>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Our net income for the quarter ended September 30, 2011 was $12.9 million, an increase of $2.1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$10.7 million for the quarter ended September 30, 2010, due to the factors discussed above.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Nine Months Ended September 30, 2011 Compared to Nine Months Ended September 30, 2010</w:t>
      </w:r>
    </w:p>
    <w:p>
      <w:pPr>
        <w:spacing w:after="0" w:line="185" w:lineRule="exact"/>
        <w:rPr>
          <w:sz w:val="20"/>
          <w:szCs w:val="20"/>
          <w:color w:val="auto"/>
        </w:rPr>
      </w:pPr>
    </w:p>
    <w:p>
      <w:pPr>
        <w:ind w:left="340" w:right="159" w:firstLine="389"/>
        <w:spacing w:after="0" w:line="253" w:lineRule="auto"/>
        <w:rPr>
          <w:sz w:val="20"/>
          <w:szCs w:val="20"/>
          <w:color w:val="auto"/>
        </w:rPr>
      </w:pPr>
      <w:r>
        <w:rPr>
          <w:rFonts w:ascii="Arial" w:cs="Arial" w:eastAsia="Arial" w:hAnsi="Arial"/>
          <w:sz w:val="18"/>
          <w:szCs w:val="18"/>
          <w:i w:val="1"/>
          <w:iCs w:val="1"/>
          <w:color w:val="auto"/>
        </w:rPr>
        <w:t>Net revenue</w:t>
      </w:r>
      <w:r>
        <w:rPr>
          <w:rFonts w:ascii="Arial" w:cs="Arial" w:eastAsia="Arial" w:hAnsi="Arial"/>
          <w:sz w:val="18"/>
          <w:szCs w:val="18"/>
          <w:color w:val="auto"/>
        </w:rPr>
        <w:t>. Our net revenue for the nine months ended September 30, 2011 was $313.7 million, an increase of $28.1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9.9%, as compared to net revenue of $285.6 million for the nine months ended September 30, 2010. This increase was primarily due to increased ground and online enrollment and, to a lesser extent, increases in the average tuition per student as a result of tuition price increases and an increase in the number of students taking four credit courses between years, partially offset by an increase in institutional scholarships and reduced revenue caused by our transition to BBAY from a term-based financial aid system. End-of-period enrollment increased 5.2% between September 30, 2011 and 2010, as we were able to continue our growth and increase our recruitment, marketing, and enrollment operations. We are anticipating increased pressure on new and continuing enrollments due primarily to the increasing challenges presented in the economy, the impact of new and proposed regulations, and increased competition.</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Instructional cost and services expenses</w:t>
      </w:r>
      <w:r>
        <w:rPr>
          <w:rFonts w:ascii="Arial" w:cs="Arial" w:eastAsia="Arial" w:hAnsi="Arial"/>
          <w:sz w:val="16"/>
          <w:szCs w:val="16"/>
          <w:color w:val="auto"/>
        </w:rPr>
        <w:t>. Our instructional cost and services expenses for the nine months ended September 30,</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2011 were $144.1 million, an increase of $10.7 million, or 8.1%, as compared to instructional cost and services expenses of</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$133.4 million for the nine months ended September 30, 2010. This increase was primarily due to increases in instructional</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compensation and related expenses, faculty compensation, depreciation and amortization, and other miscellaneous instructional costs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services of $8.0 million, $4.2 million, $2.8 million, and $1.1 million, respectively, partially offset by a decrease in non-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capitalizable system conversion costs of $4.0 million and a decrease of $1.4 in bad debt expense. Bad debt expense decreased to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$27.9 million or 8.9% of net revenues in the nine months ended September 30, 2011 from $29.3 million or 10.3% of net revenues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nine months ended September 30, 2010 as a result of improved collections of receivables due from current students between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periods due to operational improvements made during 2011 and a reduction in receivables due from former students. The increase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instructional and faculty compensation are primarily attributable to an increase in headcount (both staff and faculty) needed to provide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student instruction and support services to support the increase in enrollments. The increase in depreciation and amortization is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result of us placing into service $74.9 million of new buildings for our ground traditional campus in the last twelve months. Our</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instructional cost and services expenses as a percentage of net revenue decreased by 0.7% to 46.0% for the nine months ended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September 30, 2011, as compared to 46.7% for the nine months ended September 30, 2010 primarily due to the decrease in bad debt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expense as a percentage of revenue. In addition, we experienced an increase in faculty compensation as a percentage of revenue as we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saw decreases in class size as the result of increasing the number of starts, increased instructional supplies due to increased licensing</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fees related to educational resources, and increased miscellaneous instructional costs associated with making continued improvements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curriculum development and developing new and enhanced innovative educational tools, offset by our ability to leverage the fixed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cost structure of our campus-based facilities and ground faculty across an increasing revenue base and the non-capitalizable system</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costs incurred in the second quarter of 2010.</w:t>
      </w:r>
    </w:p>
    <w:p>
      <w:pPr>
        <w:spacing w:after="0" w:line="184" w:lineRule="exact"/>
        <w:rPr>
          <w:sz w:val="20"/>
          <w:szCs w:val="20"/>
          <w:color w:val="auto"/>
        </w:rPr>
      </w:pPr>
    </w:p>
    <w:p>
      <w:pPr>
        <w:ind w:left="340" w:right="299" w:firstLine="389"/>
        <w:spacing w:after="0" w:line="270" w:lineRule="auto"/>
        <w:rPr>
          <w:sz w:val="20"/>
          <w:szCs w:val="20"/>
          <w:color w:val="auto"/>
        </w:rPr>
      </w:pPr>
      <w:r>
        <w:rPr>
          <w:rFonts w:ascii="Arial" w:cs="Arial" w:eastAsia="Arial" w:hAnsi="Arial"/>
          <w:sz w:val="17"/>
          <w:szCs w:val="17"/>
          <w:i w:val="1"/>
          <w:iCs w:val="1"/>
          <w:color w:val="auto"/>
        </w:rPr>
        <w:t>Selling and promotional expenses</w:t>
      </w:r>
      <w:r>
        <w:rPr>
          <w:rFonts w:ascii="Arial" w:cs="Arial" w:eastAsia="Arial" w:hAnsi="Arial"/>
          <w:sz w:val="17"/>
          <w:szCs w:val="17"/>
          <w:color w:val="auto"/>
        </w:rPr>
        <w:t>. Our selling and promotional expenses for the nine months ended September 30, 2011 were</w:t>
      </w:r>
      <w:r>
        <w:rPr>
          <w:rFonts w:ascii="Arial" w:cs="Arial" w:eastAsia="Arial" w:hAnsi="Arial"/>
          <w:sz w:val="17"/>
          <w:szCs w:val="17"/>
          <w:i w:val="1"/>
          <w:iCs w:val="1"/>
          <w:color w:val="auto"/>
        </w:rPr>
        <w:t xml:space="preserve"> </w:t>
      </w:r>
      <w:r>
        <w:rPr>
          <w:rFonts w:ascii="Arial" w:cs="Arial" w:eastAsia="Arial" w:hAnsi="Arial"/>
          <w:sz w:val="17"/>
          <w:szCs w:val="17"/>
          <w:color w:val="auto"/>
        </w:rPr>
        <w:t>$88.8 million, an increase of $4.8 million, or 5.8%, as compared to selling and promotional expenses of $84.0 million for the nine months ended September 30, 2010. This increase was primarily due to increases in selling and promotional employee compensation and related expenses, advertising and is partially offset by lower selling and promotional expenses of $4.2 million, $0.9 million and $0.3 million, respectively. These increases were driven by the continued expansion in our marketing efforts, which resulted in an increase in recruitment, marketing, and enrollment staffing especially for our ground traditional campus, partially offset by the termination of our revenue sharing arrangement with MindStreams, L.L.C. in December 2010. Our selling and promotional expenses as a percentage of net revenue decreased by 1.1% to 28.3% for the nine months ended September 30, 2010, from 29.4% for the nine months ended September 30, 2010. This decrease occurred primarily due to the termination of our revenue sharing arrangement with MindStreams, L.L.C. in December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99" w:firstLine="389"/>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for the nine months ended September 30, 2011</w:t>
      </w:r>
      <w:r>
        <w:rPr>
          <w:rFonts w:ascii="Arial" w:cs="Arial" w:eastAsia="Arial" w:hAnsi="Arial"/>
          <w:sz w:val="18"/>
          <w:szCs w:val="18"/>
          <w:i w:val="1"/>
          <w:iCs w:val="1"/>
          <w:color w:val="auto"/>
        </w:rPr>
        <w:t xml:space="preserve"> </w:t>
      </w:r>
      <w:r>
        <w:rPr>
          <w:rFonts w:ascii="Arial" w:cs="Arial" w:eastAsia="Arial" w:hAnsi="Arial"/>
          <w:sz w:val="18"/>
          <w:szCs w:val="18"/>
          <w:color w:val="auto"/>
        </w:rPr>
        <w:t>were $21.0 million, an increase of $2.1 million, or 11.3%, as compared to general and administrative expenses of $18.9 million for the nine months ended September 30, 2010. This increase was primarily due to increases in employee compensation, share based compensation, and other general and administrative expenses of $1.3 million, $0.4 million, and $0.4 million, respectfully. These increases were primarily as a result of hiring to support our continued growth. Our general and administrative expenses as a percentage of net revenue increased by 0.1% to 6.7% for the nine months ended September 30, 2011, from 6.6% for the nine months ended September 30, 2010.</w:t>
      </w:r>
    </w:p>
    <w:p>
      <w:pPr>
        <w:spacing w:after="0" w:line="162" w:lineRule="exact"/>
        <w:rPr>
          <w:sz w:val="20"/>
          <w:szCs w:val="20"/>
          <w:color w:val="auto"/>
        </w:rPr>
      </w:pPr>
    </w:p>
    <w:p>
      <w:pPr>
        <w:ind w:left="340" w:right="199" w:firstLine="389"/>
        <w:spacing w:after="0" w:line="257" w:lineRule="auto"/>
        <w:rPr>
          <w:sz w:val="20"/>
          <w:szCs w:val="20"/>
          <w:color w:val="auto"/>
        </w:rPr>
      </w:pPr>
      <w:r>
        <w:rPr>
          <w:rFonts w:ascii="Arial" w:cs="Arial" w:eastAsia="Arial" w:hAnsi="Arial"/>
          <w:sz w:val="18"/>
          <w:szCs w:val="18"/>
          <w:i w:val="1"/>
          <w:iCs w:val="1"/>
          <w:color w:val="auto"/>
        </w:rPr>
        <w:t xml:space="preserve">Lease termination fee. </w:t>
      </w:r>
      <w:r>
        <w:rPr>
          <w:rFonts w:ascii="Arial" w:cs="Arial" w:eastAsia="Arial" w:hAnsi="Arial"/>
          <w:sz w:val="18"/>
          <w:szCs w:val="18"/>
          <w:color w:val="auto"/>
        </w:rPr>
        <w:t>In July 2011, the University notified a current landlord of its intent to vacate leased space by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2011. As a result, the University was required to pay a termination fee to terminate the lease resulting in $0.9 million of expense in the nine months ended September 30, 2011. The termination fee was paid on our behalf by our new landlord. This payment was recorded as an expense in the third quarter of 2011 with the offset being to a deferred liability. The deferred rent liability will be amortized into income over the new lease term.</w:t>
      </w:r>
    </w:p>
    <w:p>
      <w:pPr>
        <w:spacing w:after="0" w:line="148" w:lineRule="exact"/>
        <w:rPr>
          <w:sz w:val="20"/>
          <w:szCs w:val="20"/>
          <w:color w:val="auto"/>
        </w:rPr>
      </w:pPr>
    </w:p>
    <w:p>
      <w:pPr>
        <w:ind w:left="720"/>
        <w:spacing w:after="0"/>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Our interest expense for the nine months ended September 30, 2011 was $0.3 million, a decrease of</w:t>
      </w:r>
    </w:p>
    <w:p>
      <w:pPr>
        <w:spacing w:after="0" w:line="35" w:lineRule="exact"/>
        <w:rPr>
          <w:sz w:val="20"/>
          <w:szCs w:val="20"/>
          <w:color w:val="auto"/>
        </w:rPr>
      </w:pPr>
    </w:p>
    <w:p>
      <w:pPr>
        <w:ind w:left="340" w:right="239"/>
        <w:spacing w:after="0" w:line="261" w:lineRule="auto"/>
        <w:rPr>
          <w:sz w:val="20"/>
          <w:szCs w:val="20"/>
          <w:color w:val="auto"/>
        </w:rPr>
      </w:pPr>
      <w:r>
        <w:rPr>
          <w:rFonts w:ascii="Arial" w:cs="Arial" w:eastAsia="Arial" w:hAnsi="Arial"/>
          <w:sz w:val="18"/>
          <w:szCs w:val="18"/>
          <w:color w:val="auto"/>
        </w:rPr>
        <w:t>$0.4 million from $0.7 million for the nine months ended September 30, 2010, as a higher amount of interest expense is capitalized in 2011 as compared to 2010 as a result of our continuing expansion of our ground infrastructure.</w:t>
      </w:r>
    </w:p>
    <w:p>
      <w:pPr>
        <w:spacing w:after="0" w:line="143" w:lineRule="exact"/>
        <w:rPr>
          <w:sz w:val="20"/>
          <w:szCs w:val="20"/>
          <w:color w:val="auto"/>
        </w:rPr>
      </w:pPr>
    </w:p>
    <w:p>
      <w:pPr>
        <w:ind w:left="340" w:right="199" w:firstLine="389"/>
        <w:spacing w:after="0" w:line="255"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Our income tax expense for the nine months ended September 30, 2011 was $23.4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$3.8 million from $19.6 million for the nine months ended September 30, 2010. This increase was primarily attributable to increased income before income taxes. Our effective tax rate was 39.9% during the first nine months of 2011 compared to 40.4% during the first nine months of 2010. The decrease in the effective tax rate was primarily due to certain non-recurring tax items, which had the effect of decreasing our effective tax rate in the nine months ended September 30, 2011 and increasing the effective tax rate in the nine months ended September 30, 2010.</w:t>
      </w:r>
    </w:p>
    <w:p>
      <w:pPr>
        <w:spacing w:after="0" w:line="166" w:lineRule="exact"/>
        <w:rPr>
          <w:sz w:val="20"/>
          <w:szCs w:val="20"/>
          <w:color w:val="auto"/>
        </w:rPr>
      </w:pPr>
    </w:p>
    <w:p>
      <w:pPr>
        <w:ind w:left="340" w:right="479" w:firstLine="389"/>
        <w:spacing w:after="0" w:line="308" w:lineRule="auto"/>
        <w:rPr>
          <w:sz w:val="20"/>
          <w:szCs w:val="20"/>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Our net income for the nine months ended September 30, 2011 was $35.2 million, an increase of $6.2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$29.0 million for the nine months ended September 30, 2010, due to the factors discussed above.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ind w:left="340" w:right="159" w:firstLine="389"/>
        <w:spacing w:after="0" w:line="268"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have increased the relative proportion of our online students, this summer effect has recently lessened. However, one of our current focuses is to accelerate the growth of our ground student enrollment. Thus, it is likely that this seasonal effect could be more pronounced in the future.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nine months ended September 30, 2011 and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2010 primarily through cash provided by operating activities. Our unrestricted cash and cash equivalents were $19.0 million and</w:t>
      </w:r>
    </w:p>
    <w:p>
      <w:pPr>
        <w:spacing w:after="0" w:line="21" w:lineRule="exact"/>
        <w:rPr>
          <w:sz w:val="20"/>
          <w:szCs w:val="20"/>
          <w:color w:val="auto"/>
        </w:rPr>
      </w:pPr>
    </w:p>
    <w:p>
      <w:pPr>
        <w:ind w:left="340" w:right="299"/>
        <w:spacing w:after="0" w:line="261" w:lineRule="auto"/>
        <w:rPr>
          <w:sz w:val="20"/>
          <w:szCs w:val="20"/>
          <w:color w:val="auto"/>
        </w:rPr>
      </w:pPr>
      <w:r>
        <w:rPr>
          <w:rFonts w:ascii="Arial" w:cs="Arial" w:eastAsia="Arial" w:hAnsi="Arial"/>
          <w:sz w:val="18"/>
          <w:szCs w:val="18"/>
          <w:color w:val="auto"/>
        </w:rPr>
        <w:t>$33.6 million at September 30, 2011 and December 31, 2010, respectively. Our restricted cash and cash equivalents at September 30, 2011 and December 31, 2010 were $47.7 million and $52.9 million, respectively.</w:t>
      </w:r>
    </w:p>
    <w:p>
      <w:pPr>
        <w:spacing w:after="0" w:line="143" w:lineRule="exact"/>
        <w:rPr>
          <w:sz w:val="20"/>
          <w:szCs w:val="20"/>
          <w:color w:val="auto"/>
        </w:rPr>
      </w:pPr>
    </w:p>
    <w:p>
      <w:pPr>
        <w:ind w:left="340" w:right="199" w:firstLine="389"/>
        <w:spacing w:after="0" w:line="270" w:lineRule="auto"/>
        <w:rPr>
          <w:sz w:val="20"/>
          <w:szCs w:val="20"/>
          <w:color w:val="auto"/>
        </w:rPr>
      </w:pPr>
      <w:r>
        <w:rPr>
          <w:rFonts w:ascii="Arial" w:cs="Arial" w:eastAsia="Arial" w:hAnsi="Arial"/>
          <w:sz w:val="17"/>
          <w:szCs w:val="17"/>
          <w:color w:val="auto"/>
        </w:rPr>
        <w:t>On April 8, 2011, the University entered into an amended and restated loan agreement with Bank of America, N.A. (the “Amended Agreement”). Under the Amended Agreement, the bank (a) extended the maturity date of the University’s existing loan from April 30, 2014 to March 31, 2016 and decreased the interest rate on the outstanding balance from the BBA Libor Rate plus 225 basis points to the BBA Libor Rate plus 200 basis points (all other terms of the existing loan remain the same), and (b) provided to the University a revolving line of credit in the amount of $50.0 million through March 31, 2016 to be utilized for working capital, capital expenditures, share repurchases and other general corporate purposes. The Amended Agreement contains standard covenants that are substantially consistent with those included in the prior agreement, including covenants that, among other things, restrict the University’s ability to incur additional debt or make certain investments, require the University to maintain compliance with certain applicable regulatory standards, and require the University to maintain a certain financial condition. Indebtedness under the Amended Agreement is secured by all of the University’s assets.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19" w:firstLine="389"/>
        <w:spacing w:after="0" w:line="259"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 No amounts are borrowed on the line of credit as of September 30, 2011.</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On July 28, 2011, our Board of Directors authorized the University to repurchase up to an additional $25 million ($50 million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of common stock, from time to time, depending on market conditions and other considerations. The original authorization of</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$25 million occurred on August 16, 2010 and the expiration date on the repurchase authorization is September 30, 2012. Repurchases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occur at the University’s discretion. The 2011 repurchase authorization is an expansion of, and does not replace the 2010 repurchase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authorization.</w:t>
      </w:r>
    </w:p>
    <w:p>
      <w:pPr>
        <w:spacing w:after="0" w:line="170" w:lineRule="exact"/>
        <w:rPr>
          <w:sz w:val="20"/>
          <w:szCs w:val="20"/>
          <w:color w:val="auto"/>
        </w:rPr>
      </w:pPr>
    </w:p>
    <w:p>
      <w:pPr>
        <w:ind w:left="340" w:right="179" w:firstLine="389"/>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54" w:lineRule="exact"/>
        <w:rPr>
          <w:sz w:val="20"/>
          <w:szCs w:val="20"/>
          <w:color w:val="auto"/>
        </w:rPr>
      </w:pPr>
    </w:p>
    <w:p>
      <w:pPr>
        <w:ind w:left="340" w:right="199" w:firstLine="389"/>
        <w:spacing w:after="0" w:line="259" w:lineRule="auto"/>
        <w:rPr>
          <w:sz w:val="20"/>
          <w:szCs w:val="20"/>
          <w:color w:val="auto"/>
        </w:rPr>
      </w:pPr>
      <w:r>
        <w:rPr>
          <w:rFonts w:ascii="Arial" w:cs="Arial" w:eastAsia="Arial" w:hAnsi="Arial"/>
          <w:sz w:val="18"/>
          <w:szCs w:val="18"/>
          <w:color w:val="auto"/>
        </w:rPr>
        <w:t>Since the approval of the initial share repurchase plan, the University has purchased 1,607,300 shares of common shock shares at an aggregate cost of $23.2 million which includes 1,557,300 shares of common stock at an aggregate cost of $22.4 million during the nine months ended September 30, 2011. At September 30, 2011, there remains $26.8 million available under our current share repurchase authorization.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340" w:right="199" w:firstLine="389"/>
        <w:spacing w:after="0" w:line="25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nine months ended September 30, 2011 was $65.5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compared to $80.5 million for the nine months ended September 30, 2010. Cash provided by operating activities in the nine months ended September 30, 2011 and 2010 resulted from our net income plus non cash charges for bad debts, depreciation and amortization, non-capitalizable system costs and share-based compensation and, in the nine months ended September 30, 2011, cash provided by operating activities has been reduced by $5.2 million related to the payment in connection with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matter and the $9.9 million paid to MindStreams, L.L.C.</w:t>
      </w:r>
    </w:p>
    <w:p>
      <w:pPr>
        <w:spacing w:after="0" w:line="166" w:lineRule="exact"/>
        <w:rPr>
          <w:sz w:val="20"/>
          <w:szCs w:val="20"/>
          <w:color w:val="auto"/>
        </w:rPr>
      </w:pPr>
    </w:p>
    <w:p>
      <w:pPr>
        <w:ind w:left="340" w:right="219" w:firstLine="389"/>
        <w:spacing w:after="0" w:line="288"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$56.3 million and $91.7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2011 and 2010, respectively. Cash used in investing activities in 2010 is primarily due to an increase in restricted cash during the second and third quarters of 2010 as a result of our transition from a term-based financial aid system to BBAY beginning in April 2010. Capital expenditures were $61.5 million and $39.6 million for the nine months ended September 30, 2011 and 2010, respectively. In 2011, capital expenditures primarily consisted of ground campus building projects such as a new dormitory and an events arena to support our increasing traditional ground student enrollment as well as purchases of computer equipment, other internal use software projects and furniture and equipment. In 2010, cash used in investing activities primarily consisted of capital expenditures such as ground campus building projects, purchases of computer equipment, and software costs to complete our transition from Datatel to CampusVue and Great Plains, other internal use software projects, furniture and equipment to support our increasing student enrollment and a significant increase in restricted cash associated with our transition to BBAY.</w:t>
      </w:r>
    </w:p>
    <w:p>
      <w:pPr>
        <w:spacing w:after="0" w:line="129" w:lineRule="exact"/>
        <w:rPr>
          <w:sz w:val="20"/>
          <w:szCs w:val="20"/>
          <w:color w:val="auto"/>
        </w:rPr>
      </w:pPr>
    </w:p>
    <w:p>
      <w:pPr>
        <w:ind w:left="340" w:right="199" w:firstLine="389"/>
        <w:spacing w:after="0" w:line="288"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used in financing activities was $23.8 million and $0.9 million in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2011 and 2010, respectively. During the first nine months of 2011, $22.4 million was used to purchase treasury stock in accordance with the University’s share repurchase program and principal payments on notes payable and capital leases totaled</w:t>
      </w:r>
    </w:p>
    <w:p>
      <w:pPr>
        <w:ind w:left="340" w:right="259"/>
        <w:spacing w:after="0" w:line="277" w:lineRule="auto"/>
        <w:rPr>
          <w:sz w:val="20"/>
          <w:szCs w:val="20"/>
          <w:color w:val="auto"/>
        </w:rPr>
      </w:pPr>
      <w:r>
        <w:rPr>
          <w:rFonts w:ascii="Arial" w:cs="Arial" w:eastAsia="Arial" w:hAnsi="Arial"/>
          <w:sz w:val="17"/>
          <w:szCs w:val="17"/>
          <w:color w:val="auto"/>
        </w:rPr>
        <w:t>$2.9 million were partially offset by proceeds of $1.5 million from the exercise of stock options. During the first nine months of 2010 principal payments on notes payable and capital lease obligations and the repurchase of our common stock were partially offset by proceeds from the exercise of stock options and the excess tax benefits from share-based compensation.</w:t>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left="340" w:right="459" w:firstLine="389"/>
        <w:spacing w:after="0" w:line="277" w:lineRule="auto"/>
        <w:rPr>
          <w:sz w:val="20"/>
          <w:szCs w:val="20"/>
          <w:color w:val="auto"/>
        </w:rPr>
      </w:pPr>
      <w:r>
        <w:rPr>
          <w:rFonts w:ascii="Arial" w:cs="Arial" w:eastAsia="Arial" w:hAnsi="Arial"/>
          <w:sz w:val="18"/>
          <w:szCs w:val="18"/>
          <w:color w:val="auto"/>
        </w:rPr>
        <w:t>The following table sets forth, as of September 30, 2011, the aggregate amounts of our significant contractual obligations and commitments with definitive payment terms due in each of the periods presented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w w:val="91"/>
              </w:rPr>
              <w:t>Payments Due by Period</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Less than</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6"/>
                <w:szCs w:val="16"/>
                <w:color w:val="auto"/>
              </w:rPr>
            </w:pPr>
          </w:p>
        </w:tc>
      </w:tr>
      <w:tr>
        <w:trPr>
          <w:trHeight w:val="234"/>
        </w:trPr>
        <w:tc>
          <w:tcPr>
            <w:tcW w:w="3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1 Year</w:t>
            </w:r>
            <w:r>
              <w:rPr>
                <w:rFonts w:ascii="Arial" w:cs="Arial" w:eastAsia="Arial" w:hAnsi="Arial"/>
                <w:sz w:val="18"/>
                <w:szCs w:val="18"/>
                <w:color w:val="auto"/>
                <w:w w:val="94"/>
              </w:rPr>
              <w:t>(1)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2-3 Years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4-5 Years</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5 Years</w:t>
            </w:r>
          </w:p>
        </w:tc>
        <w:tc>
          <w:tcPr>
            <w:tcW w:w="100" w:type="dxa"/>
            <w:vAlign w:val="bottom"/>
          </w:tcPr>
          <w:p>
            <w:pPr>
              <w:spacing w:after="0"/>
              <w:rPr>
                <w:sz w:val="20"/>
                <w:szCs w:val="20"/>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r>
      <w:tr>
        <w:trPr>
          <w:trHeight w:val="27"/>
        </w:trPr>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r>
      <w:tr>
        <w:trPr>
          <w:trHeight w:val="20"/>
        </w:trPr>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hanging="388"/>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one year represents expected expenditures from October 1, 2011 through December 31, 2011.</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purchase obligation amounts include expected spending by period under contracts that were in effect at September 30, 2011.</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340" w:right="479" w:firstLine="389"/>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5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left="340" w:right="199" w:firstLine="389"/>
        <w:spacing w:after="0" w:line="264"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2011 or 2010. There can be no assurance that future inflation will not have an adverse impact on our operating results and financial condition.</w:t>
      </w:r>
    </w:p>
    <w:p>
      <w:pPr>
        <w:spacing w:after="0" w:line="141" w:lineRule="exact"/>
        <w:rPr>
          <w:sz w:val="20"/>
          <w:szCs w:val="20"/>
          <w:color w:val="auto"/>
        </w:rPr>
      </w:pPr>
    </w:p>
    <w:p>
      <w:pPr>
        <w:ind w:left="340" w:right="179" w:firstLine="389"/>
        <w:spacing w:after="0" w:line="270" w:lineRule="auto"/>
        <w:rPr>
          <w:sz w:val="20"/>
          <w:szCs w:val="20"/>
          <w:color w:val="auto"/>
        </w:rPr>
      </w:pPr>
      <w:r>
        <w:rPr>
          <w:rFonts w:ascii="Arial" w:cs="Arial" w:eastAsia="Arial" w:hAnsi="Arial"/>
          <w:sz w:val="17"/>
          <w:szCs w:val="17"/>
          <w:i w:val="1"/>
          <w:iCs w:val="1"/>
          <w:color w:val="auto"/>
        </w:rPr>
        <w:t>Market risk</w:t>
      </w:r>
      <w:r>
        <w:rPr>
          <w:rFonts w:ascii="Arial" w:cs="Arial" w:eastAsia="Arial" w:hAnsi="Arial"/>
          <w:sz w:val="17"/>
          <w:szCs w:val="17"/>
          <w:color w:val="auto"/>
        </w:rPr>
        <w:t>. On June 30, 2009, we entered into two derivative agreements to manage our 30 Day LIBOR interest exposure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variable rate debt we incurred in connection with the repurchase of shares of our common stock and the land and buildings that comprise our ground campus, which debt matures in March 2016. The corridor instrument, which hedges variable interest rate risk starting July 1, 2009 through April 30, 2014 with a notional amount of $10.8 million as of September 30, 2011, permits us to hedge our interest rate risk at several thresholds. Under this arrangement, in addition to the credit spread we will pay variable interest rates based on the 30 Day LIBOR rates monthly until that index reaches 4%. If 30 Day LIBOR is equal to 4% through 6%, we will continue to pay 4%. If 30 Day LIBOR exceeds 6%, we will pay actual 30 Day LIBOR less 2%. The interest rate swap commenced on May 1, 2010, continues each month thereafter until April 30, 2014, and has a notional amount of $10.8 million as of September 30, 2011. Under this arrangement, we will receive 30 Day LIBOR and pay 3.245% fixed rate on the amortizing notional amount plus the credit spread.</w:t>
      </w:r>
    </w:p>
    <w:p>
      <w:pPr>
        <w:spacing w:after="0" w:line="151" w:lineRule="exact"/>
        <w:rPr>
          <w:sz w:val="20"/>
          <w:szCs w:val="20"/>
          <w:color w:val="auto"/>
        </w:rPr>
      </w:pPr>
    </w:p>
    <w:p>
      <w:pPr>
        <w:ind w:left="340" w:right="279" w:firstLine="389"/>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41" w:lineRule="exact"/>
        <w:rPr>
          <w:sz w:val="20"/>
          <w:szCs w:val="20"/>
          <w:color w:val="auto"/>
        </w:rPr>
      </w:pPr>
    </w:p>
    <w:p>
      <w:pPr>
        <w:ind w:left="340" w:right="199" w:firstLine="389"/>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and AAA-rated marketable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September 30, 2011, a 10% increase or decrease in interest rates would not have a material impact on our future earnings, fair values, or cash flows. For information regarding our variable rate debt, see “Market risk” above.</w:t>
      </w:r>
    </w:p>
    <w:p>
      <w:pPr>
        <w:spacing w:after="0" w:line="149"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left="340" w:right="199" w:firstLine="389"/>
        <w:spacing w:after="0" w:line="286" w:lineRule="auto"/>
        <w:rPr>
          <w:sz w:val="20"/>
          <w:szCs w:val="20"/>
          <w:color w:val="auto"/>
        </w:rPr>
      </w:pPr>
      <w:r>
        <w:rPr>
          <w:rFonts w:ascii="Arial" w:cs="Arial" w:eastAsia="Arial" w:hAnsi="Arial"/>
          <w:sz w:val="16"/>
          <w:szCs w:val="16"/>
          <w:color w:val="auto"/>
        </w:rPr>
        <w:t>We maintain disclosure controls and procedures (as defined in Rules 13a-15(e) and 15d-15(e) of the Exchange Act) that are designed to ensure that information required to be disclosed in reports filed by us under the Exchange Act is recorded, processed, summarized and reported within the time periods specified in the SEC’s rules and forms and that such information is accumulated and communicated to management, including our Principal Executive Officer and Principal Financial Officer, as appropriate, to allow for timely decisions regarding required disclosure. In connection with the restatement discussed in Note 2 to our consolidated financial statements, under the direction of our Principal Executive Officer and Principal Financial Officer, management conducted a reevaluation of the effectiveness of our internal control over financial reporting as of September 30, 2011. The framework on which such evaluation was based is contained in the report entitled “Internal Control — Integrated Framework” issued by the Committee of Sponsoring Organizations of the Treadway Commission (the “COSO Report”). Based on the evaluation and the criteria set forth in the COSO Report, management identified a material weakness in internal control over financial reporting described in the management’s report on internal control over financial reporting included in Item 9A to our 2010 Form 10-K/A related to our calculation of the allowance for doubtful accounts that continued to exist as of September 30, 2011. Under Audit Standard No. 5, a material weakness is a control deficiency, or combination of control deficiencies, that results in more than a remote likelihood that a material misstatement of the annual or interim financial statements will not be prevented or detected.</w:t>
      </w:r>
    </w:p>
    <w:p>
      <w:pPr>
        <w:spacing w:after="0" w:line="131" w:lineRule="exact"/>
        <w:rPr>
          <w:sz w:val="20"/>
          <w:szCs w:val="20"/>
          <w:color w:val="auto"/>
        </w:rPr>
      </w:pPr>
    </w:p>
    <w:p>
      <w:pPr>
        <w:jc w:val="both"/>
        <w:ind w:left="340" w:right="479" w:firstLine="389"/>
        <w:spacing w:after="0" w:line="264" w:lineRule="auto"/>
        <w:rPr>
          <w:sz w:val="20"/>
          <w:szCs w:val="20"/>
          <w:color w:val="auto"/>
        </w:rPr>
      </w:pPr>
      <w:r>
        <w:rPr>
          <w:rFonts w:ascii="Arial" w:cs="Arial" w:eastAsia="Arial" w:hAnsi="Arial"/>
          <w:sz w:val="18"/>
          <w:szCs w:val="18"/>
          <w:color w:val="auto"/>
        </w:rPr>
        <w:t>Based on its reevaluation, including consideration of the aforementioned material weakness, and the criteria discussed above, management has concluded that our internal control over financial reporting was not effective at a reasonable assurance level as of September 30, 2011.</w:t>
      </w:r>
    </w:p>
    <w:p>
      <w:pPr>
        <w:sectPr>
          <w:pgSz w:w="11900" w:h="16838" w:orient="portrait"/>
          <w:cols w:equalWidth="0" w:num="1">
            <w:col w:w="10219"/>
          </w:cols>
          <w:pgMar w:left="240" w:top="419" w:right="1440" w:bottom="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Remediation Steps to Address Material Weakness</w:t>
      </w:r>
    </w:p>
    <w:p>
      <w:pPr>
        <w:spacing w:after="0" w:line="189" w:lineRule="exact"/>
        <w:rPr>
          <w:sz w:val="20"/>
          <w:szCs w:val="20"/>
          <w:color w:val="auto"/>
        </w:rPr>
      </w:pPr>
    </w:p>
    <w:p>
      <w:pPr>
        <w:ind w:right="419" w:firstLine="389"/>
        <w:spacing w:after="0" w:line="279" w:lineRule="auto"/>
        <w:rPr>
          <w:sz w:val="20"/>
          <w:szCs w:val="20"/>
          <w:color w:val="auto"/>
        </w:rPr>
      </w:pPr>
      <w:r>
        <w:rPr>
          <w:rFonts w:ascii="Arial" w:cs="Arial" w:eastAsia="Arial" w:hAnsi="Arial"/>
          <w:sz w:val="17"/>
          <w:szCs w:val="17"/>
          <w:color w:val="auto"/>
        </w:rPr>
        <w:t>Management has dedicated significant resources to correct the methodology relating to the calculation of our allowance for doubtful accounts and to ensure that we take proper steps to improve our internal controls and remedy our material weakness in our internal control over financial reporting and disclosure controls. Management has implemented effective control policies and procedures and remediated the underlying control deficiencies by taking the following actions:</w:t>
      </w:r>
    </w:p>
    <w:p>
      <w:pPr>
        <w:spacing w:after="0" w:line="171" w:lineRule="exact"/>
        <w:rPr>
          <w:sz w:val="20"/>
          <w:szCs w:val="20"/>
          <w:color w:val="auto"/>
        </w:rPr>
      </w:pPr>
    </w:p>
    <w:p>
      <w:pPr>
        <w:ind w:left="740" w:hanging="370"/>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conducted a full review of our methodology for estimating the allowance for doubtful accounts</w:t>
      </w:r>
    </w:p>
    <w:p>
      <w:pPr>
        <w:spacing w:after="0" w:line="225" w:lineRule="exact"/>
        <w:rPr>
          <w:rFonts w:ascii="Arial" w:cs="Arial" w:eastAsia="Arial" w:hAnsi="Arial"/>
          <w:sz w:val="18"/>
          <w:szCs w:val="18"/>
          <w:color w:val="auto"/>
        </w:rPr>
      </w:pPr>
    </w:p>
    <w:p>
      <w:pPr>
        <w:ind w:left="740" w:hanging="370"/>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established controls and procedures adequate to timely identify changes to the composition of our accounts receivable</w:t>
      </w:r>
    </w:p>
    <w:p>
      <w:pPr>
        <w:spacing w:after="0" w:line="248" w:lineRule="exact"/>
        <w:rPr>
          <w:rFonts w:ascii="Arial" w:cs="Arial" w:eastAsia="Arial" w:hAnsi="Arial"/>
          <w:sz w:val="16"/>
          <w:szCs w:val="16"/>
          <w:color w:val="auto"/>
        </w:rPr>
      </w:pPr>
    </w:p>
    <w:p>
      <w:pPr>
        <w:ind w:left="740" w:hanging="370"/>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established controls and procedures to enhance our ability to monitor collection trends.</w:t>
      </w:r>
    </w:p>
    <w:p>
      <w:pPr>
        <w:spacing w:after="0" w:line="225" w:lineRule="exact"/>
        <w:rPr>
          <w:sz w:val="20"/>
          <w:szCs w:val="20"/>
          <w:color w:val="auto"/>
        </w:rPr>
      </w:pPr>
    </w:p>
    <w:p>
      <w:pPr>
        <w:ind w:right="419" w:firstLine="389"/>
        <w:spacing w:after="0" w:line="277" w:lineRule="auto"/>
        <w:rPr>
          <w:sz w:val="20"/>
          <w:szCs w:val="20"/>
          <w:color w:val="auto"/>
        </w:rPr>
      </w:pPr>
      <w:r>
        <w:rPr>
          <w:rFonts w:ascii="Arial" w:cs="Arial" w:eastAsia="Arial" w:hAnsi="Arial"/>
          <w:sz w:val="18"/>
          <w:szCs w:val="18"/>
          <w:color w:val="auto"/>
        </w:rPr>
        <w:t>Management believes that the actions described above have remediated the identified material weakness and strengthened our internal control over financial reporting as of the date of this filing.</w:t>
      </w:r>
    </w:p>
    <w:p>
      <w:pPr>
        <w:spacing w:after="0" w:line="200" w:lineRule="exact"/>
        <w:rPr>
          <w:sz w:val="20"/>
          <w:szCs w:val="20"/>
          <w:color w:val="auto"/>
        </w:rPr>
      </w:pPr>
    </w:p>
    <w:p>
      <w:pPr>
        <w:spacing w:after="0" w:line="3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ind w:left="340" w:right="299" w:firstLine="389"/>
        <w:spacing w:after="0" w:line="257" w:lineRule="auto"/>
        <w:rPr>
          <w:sz w:val="20"/>
          <w:szCs w:val="20"/>
          <w:color w:val="auto"/>
        </w:rPr>
      </w:pPr>
      <w:r>
        <w:rPr>
          <w:rFonts w:ascii="Arial" w:cs="Arial" w:eastAsia="Arial" w:hAnsi="Arial"/>
          <w:sz w:val="18"/>
          <w:szCs w:val="18"/>
          <w:color w:val="auto"/>
        </w:rPr>
        <w:t>Except as noted above, based on an evaluation, under the supervision and with the participation of our management, including our Principal Executive Officer and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left="340" w:right="439" w:firstLine="389"/>
        <w:spacing w:after="0" w:line="286" w:lineRule="auto"/>
        <w:rPr>
          <w:sz w:val="20"/>
          <w:szCs w:val="20"/>
          <w:color w:val="auto"/>
        </w:rPr>
      </w:pPr>
      <w:r>
        <w:rPr>
          <w:rFonts w:ascii="Arial" w:cs="Arial" w:eastAsia="Arial" w:hAnsi="Arial"/>
          <w:sz w:val="17"/>
          <w:szCs w:val="17"/>
          <w:color w:val="auto"/>
        </w:rPr>
        <w:t>There have been no material changes to the risk factors disclosed in the “Risk Factors” section of our Annual Report on Form 10-K/A for the year ended December 31, 2010, as updated by the risks disclosed in the “Risk Factors” sections of our Quarterly Reports on Form 10-Q/A for the quarters ended March 31, 2011 and June 30, 2011, except as set forth below:</w:t>
      </w:r>
    </w:p>
    <w:p>
      <w:pPr>
        <w:spacing w:after="0" w:line="139" w:lineRule="exact"/>
        <w:rPr>
          <w:sz w:val="20"/>
          <w:szCs w:val="20"/>
          <w:color w:val="auto"/>
        </w:rPr>
      </w:pPr>
    </w:p>
    <w:p>
      <w:pPr>
        <w:ind w:left="340" w:right="279"/>
        <w:spacing w:after="0" w:line="264" w:lineRule="auto"/>
        <w:rPr>
          <w:sz w:val="20"/>
          <w:szCs w:val="20"/>
          <w:color w:val="auto"/>
        </w:rPr>
      </w:pPr>
      <w:r>
        <w:rPr>
          <w:rFonts w:ascii="Arial" w:cs="Arial" w:eastAsia="Arial" w:hAnsi="Arial"/>
          <w:sz w:val="18"/>
          <w:szCs w:val="18"/>
          <w:b w:val="1"/>
          <w:bCs w:val="1"/>
          <w:i w:val="1"/>
          <w:iCs w:val="1"/>
          <w:color w:val="auto"/>
        </w:rPr>
        <w:t>The Department of Education is conducting a program review of Grand Canyon University, which may result in the repayment of a substantial amount of Title IV funds and may lead to fines, penalties, or other sanctions, and damage to our reputation in the industry.</w:t>
      </w:r>
    </w:p>
    <w:p>
      <w:pPr>
        <w:spacing w:after="0" w:line="141" w:lineRule="exact"/>
        <w:rPr>
          <w:sz w:val="20"/>
          <w:szCs w:val="20"/>
          <w:color w:val="auto"/>
        </w:rPr>
      </w:pPr>
    </w:p>
    <w:p>
      <w:pPr>
        <w:ind w:left="340" w:right="199" w:firstLine="389"/>
        <w:spacing w:after="0" w:line="270" w:lineRule="auto"/>
        <w:rPr>
          <w:sz w:val="20"/>
          <w:szCs w:val="20"/>
          <w:color w:val="auto"/>
        </w:rPr>
      </w:pPr>
      <w:r>
        <w:rPr>
          <w:rFonts w:ascii="Arial" w:cs="Arial" w:eastAsia="Arial" w:hAnsi="Arial"/>
          <w:sz w:val="17"/>
          <w:szCs w:val="17"/>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the University’s campus in July 2010 and reviewed, and in some cases requested further information regarding, the University’s records, practices and policies relating to, among other things, financial aid, enrollment, enrollment counselor compensation, program eligibility and other Title IV compliance matters. Upon the conclusion of the site visit, the University was informed by the program review team that it would (i) conduct further review of the University’s documents and records offsite, (ii) upon completion of such review, schedule a formal exit interview to be followed by a preliminary program review report in which any preliminary findings of non-compliance would be presented, and (iii) conclude the review by issuance of a final program review determination letter.</w:t>
      </w:r>
    </w:p>
    <w:p>
      <w:pPr>
        <w:spacing w:after="0" w:line="137" w:lineRule="exact"/>
        <w:rPr>
          <w:sz w:val="20"/>
          <w:szCs w:val="20"/>
          <w:color w:val="auto"/>
        </w:rPr>
      </w:pPr>
    </w:p>
    <w:p>
      <w:pPr>
        <w:ind w:left="340" w:right="339" w:firstLine="389"/>
        <w:spacing w:after="0" w:line="255" w:lineRule="auto"/>
        <w:rPr>
          <w:sz w:val="20"/>
          <w:szCs w:val="20"/>
          <w:color w:val="auto"/>
        </w:rPr>
      </w:pPr>
      <w:r>
        <w:rPr>
          <w:rFonts w:ascii="Arial" w:cs="Arial" w:eastAsia="Arial" w:hAnsi="Arial"/>
          <w:sz w:val="18"/>
          <w:szCs w:val="18"/>
          <w:color w:val="auto"/>
        </w:rPr>
        <w:t>Following the conclusion of the site visit in July 2010, but before it had yet received notification of the timing of its exit interview or the Department of Education’s preliminary program review report or final program review determination letter, the University became aware, and promptly disclosed, that the program review team had two preliminary findings of concern, the incentive compensation issue and the gainful employment issue (each as described below). However, from August 2010 until August 2011, the University received no further communications from the Department of Education regarding these two concerns or the program review generally.</w:t>
      </w:r>
    </w:p>
    <w:p>
      <w:pPr>
        <w:spacing w:after="0" w:line="166" w:lineRule="exact"/>
        <w:rPr>
          <w:sz w:val="20"/>
          <w:szCs w:val="20"/>
          <w:color w:val="auto"/>
        </w:rPr>
      </w:pPr>
    </w:p>
    <w:p>
      <w:pPr>
        <w:ind w:left="340" w:right="219" w:firstLine="389"/>
        <w:spacing w:after="0" w:line="255" w:lineRule="auto"/>
        <w:rPr>
          <w:sz w:val="20"/>
          <w:szCs w:val="20"/>
          <w:color w:val="auto"/>
        </w:rPr>
      </w:pPr>
      <w:r>
        <w:rPr>
          <w:rFonts w:ascii="Arial" w:cs="Arial" w:eastAsia="Arial" w:hAnsi="Arial"/>
          <w:sz w:val="18"/>
          <w:szCs w:val="18"/>
          <w:color w:val="auto"/>
        </w:rPr>
        <w:t>While the University never received a formal exit interview, which the University had understood to be the typical step prior to the Department of Education’s issuance of a preliminary program review report, on August 24, 2011, the University received from the Department of Education a written preliminary program review report that included five findings, two of which involve individual student-specific errors concerning the monitoring of satisfactory academic progress for two students and the certification of one student’s Federal Family Educational Loan as an unsubsidized Stafford loan rather than a subsidized Stafford loan. The other three findings address the incentive compensation issue, the gainful employment issue and one additional issue not previously raised with the University, as follows:</w:t>
      </w:r>
    </w:p>
    <w:p>
      <w:pPr>
        <w:spacing w:after="0" w:line="149" w:lineRule="exact"/>
        <w:rPr>
          <w:sz w:val="20"/>
          <w:szCs w:val="20"/>
          <w:color w:val="auto"/>
        </w:rPr>
      </w:pPr>
    </w:p>
    <w:p>
      <w:pPr>
        <w:jc w:val="both"/>
        <w:ind w:left="1080" w:right="199" w:hanging="370"/>
        <w:spacing w:after="0" w:line="288" w:lineRule="auto"/>
        <w:tabs>
          <w:tab w:leader="none" w:pos="1080" w:val="left"/>
        </w:tabs>
        <w:numPr>
          <w:ilvl w:val="0"/>
          <w:numId w:val="13"/>
        </w:numPr>
        <w:rPr>
          <w:rFonts w:ascii="Arial" w:cs="Arial" w:eastAsia="Arial" w:hAnsi="Arial"/>
          <w:sz w:val="16"/>
          <w:szCs w:val="16"/>
          <w:b w:val="1"/>
          <w:bCs w:val="1"/>
          <w:color w:val="auto"/>
        </w:rPr>
      </w:pPr>
      <w:r>
        <w:rPr>
          <w:rFonts w:ascii="Arial" w:cs="Arial" w:eastAsia="Arial" w:hAnsi="Arial"/>
          <w:sz w:val="16"/>
          <w:szCs w:val="16"/>
          <w:i w:val="1"/>
          <w:iCs w:val="1"/>
          <w:color w:val="auto"/>
        </w:rPr>
        <w:t>Incentive compensation issue</w:t>
      </w:r>
      <w:r>
        <w:rPr>
          <w:rFonts w:ascii="Arial" w:cs="Arial" w:eastAsia="Arial" w:hAnsi="Arial"/>
          <w:sz w:val="16"/>
          <w:szCs w:val="16"/>
          <w:color w:val="auto"/>
        </w:rPr>
        <w:t>. During a portion of the period under review, the University had in place a compensation plan</w:t>
      </w:r>
      <w:r>
        <w:rPr>
          <w:rFonts w:ascii="Arial" w:cs="Arial" w:eastAsia="Arial" w:hAnsi="Arial"/>
          <w:sz w:val="16"/>
          <w:szCs w:val="16"/>
          <w:i w:val="1"/>
          <w:iCs w:val="1"/>
          <w:color w:val="auto"/>
        </w:rPr>
        <w:t xml:space="preserve"> </w:t>
      </w:r>
      <w:r>
        <w:rPr>
          <w:rFonts w:ascii="Arial" w:cs="Arial" w:eastAsia="Arial" w:hAnsi="Arial"/>
          <w:sz w:val="16"/>
          <w:szCs w:val="16"/>
          <w:color w:val="auto"/>
        </w:rPr>
        <w:t>for its enrollment counselors that was designed to comply with the regulatory “safe harbor” in effect during such period that allowed companies to make adjustments to fixed compensation for enrollment personnel, provided that any such adjustment</w:t>
      </w:r>
    </w:p>
    <w:p>
      <w:pPr>
        <w:ind w:left="1080" w:right="219"/>
        <w:spacing w:after="0" w:line="251" w:lineRule="auto"/>
        <w:rPr>
          <w:rFonts w:ascii="Arial" w:cs="Arial" w:eastAsia="Arial" w:hAnsi="Arial"/>
          <w:sz w:val="16"/>
          <w:szCs w:val="16"/>
          <w:b w:val="1"/>
          <w:bCs w:val="1"/>
          <w:color w:val="auto"/>
        </w:rPr>
      </w:pPr>
      <w:r>
        <w:rPr>
          <w:rFonts w:ascii="Arial" w:cs="Arial" w:eastAsia="Arial" w:hAnsi="Arial"/>
          <w:sz w:val="18"/>
          <w:szCs w:val="18"/>
          <w:color w:val="auto"/>
        </w:rPr>
        <w:t>(i) was not made more than twice during any twelve month period, and (ii) was not based solely on the number of students recruited, admitted, enrolled, or awarded financial aid. The plan at issue provided for enrollment counselor performance to be reviewed on a number of non-enrollment-related factors that could account for a substantial portion of any potential base compensation adjustment. The preliminary program review report does not appear to set forth any definitive finding regarding the plan, but the Department of Education has requested additional information from the University regarding its enrollment counselor compensation practices and policies in effect during the period under review. The University continues to believe that the plan at issue, both as designed and as applied, did not base compensation solely on success in enrolling students in violation of applicable law and will continue to communicate with the Department of Education to resolve this matter.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79" w:hanging="370"/>
        <w:spacing w:after="0" w:line="269" w:lineRule="auto"/>
        <w:tabs>
          <w:tab w:leader="none" w:pos="1080" w:val="left"/>
        </w:tabs>
        <w:numPr>
          <w:ilvl w:val="0"/>
          <w:numId w:val="14"/>
        </w:numPr>
        <w:rPr>
          <w:rFonts w:ascii="Arial" w:cs="Arial" w:eastAsia="Arial" w:hAnsi="Arial"/>
          <w:sz w:val="17"/>
          <w:szCs w:val="17"/>
          <w:b w:val="1"/>
          <w:bCs w:val="1"/>
          <w:color w:val="auto"/>
        </w:rPr>
      </w:pPr>
      <w:r>
        <w:rPr>
          <w:rFonts w:ascii="Arial" w:cs="Arial" w:eastAsia="Arial" w:hAnsi="Arial"/>
          <w:sz w:val="17"/>
          <w:szCs w:val="17"/>
          <w:i w:val="1"/>
          <w:iCs w:val="1"/>
          <w:color w:val="auto"/>
        </w:rPr>
        <w:t>Gainful employment issue</w:t>
      </w:r>
      <w:r>
        <w:rPr>
          <w:rFonts w:ascii="Arial" w:cs="Arial" w:eastAsia="Arial" w:hAnsi="Arial"/>
          <w:sz w:val="17"/>
          <w:szCs w:val="17"/>
          <w:color w:val="auto"/>
        </w:rPr>
        <w:t>. The preliminary program review report sets forth the Department of Education’s position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University’s Bachelor of Arts in Interdisciplinary Studies program was not an eligible program under Title IV because it did not provide students with training to prepare them for gainful employment in a recognized occupation. This “gainful employment” standard has been a requirement for Title IV eligibility for programs offered at proprietary institutions of higher education such as the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(the University has held a regional accreditation since 1968). The University believes that its Interdisciplinary Studies program, which it first offered in Fall 2007 in response to a request by one of the University’s employer-partners, was an eligible program under the “gainful employment” standard in effect prior to July 1, 2010 and intends to communicate with the Department of Education to resolve the matter.</w:t>
      </w:r>
    </w:p>
    <w:p>
      <w:pPr>
        <w:spacing w:after="0" w:line="155" w:lineRule="exact"/>
        <w:rPr>
          <w:rFonts w:ascii="Arial" w:cs="Arial" w:eastAsia="Arial" w:hAnsi="Arial"/>
          <w:sz w:val="17"/>
          <w:szCs w:val="17"/>
          <w:b w:val="1"/>
          <w:bCs w:val="1"/>
          <w:color w:val="auto"/>
        </w:rPr>
      </w:pPr>
    </w:p>
    <w:p>
      <w:pPr>
        <w:ind w:left="1080" w:right="159" w:hanging="370"/>
        <w:spacing w:after="0" w:line="288" w:lineRule="auto"/>
        <w:tabs>
          <w:tab w:leader="none" w:pos="1080" w:val="left"/>
        </w:tabs>
        <w:numPr>
          <w:ilvl w:val="0"/>
          <w:numId w:val="14"/>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Inadequate procedures related to non-passing grades. </w:t>
      </w:r>
      <w:r>
        <w:rPr>
          <w:rFonts w:ascii="Arial" w:cs="Arial" w:eastAsia="Arial" w:hAnsi="Arial"/>
          <w:sz w:val="16"/>
          <w:szCs w:val="16"/>
          <w:color w:val="auto"/>
        </w:rPr>
        <w:t>The preliminary program review report sets forth the Department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Education’s position that the University, during the period under review and prior to the time the University converted from a term-based financial aid system to a non-term, borrower-based financial aid system in mid-2010, failed to have an accurate system to determine if students with non-passing grades for a term had no documented attendance for the term or should have been treated as unofficial withdrawals for the term, thereby potentially requiring the University to return all or a portion of the Title IV monies previously received with respect to such students. Although the University is confident in the legal sufficiency of its policies that were in place during the period under review, the University is currently in discussions with the Department of Education regarding this finding. As part of the process of reviewing and responding to this finding, the Department of Education has requested that the University conduct a further review of student files and provide additional information to the Department of Education following the completion of such review.</w:t>
      </w:r>
    </w:p>
    <w:p>
      <w:pPr>
        <w:spacing w:after="0" w:line="129" w:lineRule="exact"/>
        <w:rPr>
          <w:sz w:val="20"/>
          <w:szCs w:val="20"/>
          <w:color w:val="auto"/>
        </w:rPr>
      </w:pPr>
    </w:p>
    <w:p>
      <w:pPr>
        <w:ind w:left="340" w:right="199" w:firstLine="389"/>
        <w:spacing w:after="0" w:line="259" w:lineRule="auto"/>
        <w:rPr>
          <w:sz w:val="20"/>
          <w:szCs w:val="20"/>
          <w:color w:val="auto"/>
        </w:rPr>
      </w:pPr>
      <w:r>
        <w:rPr>
          <w:rFonts w:ascii="Arial" w:cs="Arial" w:eastAsia="Arial" w:hAnsi="Arial"/>
          <w:sz w:val="18"/>
          <w:szCs w:val="18"/>
          <w:color w:val="auto"/>
        </w:rPr>
        <w:t>The University cannot presently predict whether or if further information requests will be made, how the foregoing issues will be resolved, when the final program review determination letter will be issued, or when the program review will be closed. At this time, the Department of Education has not specified the amount of any potential penalties, and the University has not accrued any amounts in connection with the program review.</w:t>
      </w:r>
    </w:p>
    <w:p>
      <w:pPr>
        <w:spacing w:after="0" w:line="146" w:lineRule="exact"/>
        <w:rPr>
          <w:sz w:val="20"/>
          <w:szCs w:val="20"/>
          <w:color w:val="auto"/>
        </w:rPr>
      </w:pPr>
    </w:p>
    <w:p>
      <w:pPr>
        <w:ind w:left="340" w:right="179" w:firstLine="389"/>
        <w:spacing w:after="0" w:line="253" w:lineRule="auto"/>
        <w:rPr>
          <w:sz w:val="20"/>
          <w:szCs w:val="20"/>
          <w:color w:val="auto"/>
        </w:rPr>
      </w:pPr>
      <w:r>
        <w:rPr>
          <w:rFonts w:ascii="Arial" w:cs="Arial" w:eastAsia="Arial" w:hAnsi="Arial"/>
          <w:sz w:val="18"/>
          <w:szCs w:val="18"/>
          <w:color w:val="auto"/>
        </w:rPr>
        <w:t>The University’s policies and procedures are planned and implemented to comply with the applicable standards and regulations under Title IV and the University is committed to resolving any issues of non-compliance identified in the final program review determination letter and ensuring that Grand Canyon University operates in compliance with all Department of Education requirements. If the Department of Education were to make significant findings of non-compliance in the final program review determination letter, then, after exhausting any administrative appeals available to the University, the University could be required to pay a fine, return Title IV monies previously received, or be subjected to other administrative sanctions. While the University cannot currently predict the final outcome of the Department of Education review, any such final adverse finding could damage the University’s reputation in the industry and have a material adverse effect on the University’s business, results of operations, cash flows and financial position.</w:t>
      </w:r>
    </w:p>
    <w:p>
      <w:pPr>
        <w:spacing w:after="0" w:line="170" w:lineRule="exact"/>
        <w:rPr>
          <w:sz w:val="20"/>
          <w:szCs w:val="20"/>
          <w:color w:val="auto"/>
        </w:rPr>
      </w:pPr>
    </w:p>
    <w:p>
      <w:pPr>
        <w:jc w:val="both"/>
        <w:ind w:left="340" w:right="679"/>
        <w:spacing w:after="0" w:line="264" w:lineRule="auto"/>
        <w:rPr>
          <w:sz w:val="20"/>
          <w:szCs w:val="20"/>
          <w:color w:val="auto"/>
        </w:rPr>
      </w:pPr>
      <w:r>
        <w:rPr>
          <w:rFonts w:ascii="Arial" w:cs="Arial" w:eastAsia="Arial" w:hAnsi="Arial"/>
          <w:sz w:val="18"/>
          <w:szCs w:val="18"/>
          <w:b w:val="1"/>
          <w:bCs w:val="1"/>
          <w:i w:val="1"/>
          <w:iCs w:val="1"/>
          <w:color w:val="auto"/>
        </w:rPr>
        <w:t>A reduction in funding or new restrictions on eligibility for the Federal Pell Grant Program, or the elimination of subsidized Stafford loans, could make college less affordable for certain students at our institutions, which could negatively impact our enrollments, revenue and results of operations.</w:t>
      </w:r>
    </w:p>
    <w:p>
      <w:pPr>
        <w:spacing w:after="0" w:line="141" w:lineRule="exact"/>
        <w:rPr>
          <w:sz w:val="20"/>
          <w:szCs w:val="20"/>
          <w:color w:val="auto"/>
        </w:rPr>
      </w:pPr>
    </w:p>
    <w:p>
      <w:pPr>
        <w:ind w:left="340" w:right="319" w:firstLine="389"/>
        <w:spacing w:after="0" w:line="302" w:lineRule="auto"/>
        <w:rPr>
          <w:sz w:val="20"/>
          <w:szCs w:val="20"/>
          <w:color w:val="auto"/>
        </w:rPr>
      </w:pPr>
      <w:r>
        <w:rPr>
          <w:rFonts w:ascii="Arial" w:cs="Arial" w:eastAsia="Arial" w:hAnsi="Arial"/>
          <w:sz w:val="16"/>
          <w:szCs w:val="16"/>
          <w:color w:val="auto"/>
        </w:rPr>
        <w:t>The U.S. Congress must periodically reauthorize the Higher Education Act and annually determine the funding level for each Title IV program. In 2008, the Higher Education Act was reauthorized through September 30, 2013 by the Higher Education Opportunity Act. Changes to the Higher Education Act, including changes in eligibility and funding for Title IV programs, are likely to occur in subsequent reauthorizations, but we cannot predict the scope or substance of any such changes.</w:t>
      </w:r>
    </w:p>
    <w:p>
      <w:pPr>
        <w:spacing w:after="0" w:line="114" w:lineRule="exact"/>
        <w:rPr>
          <w:sz w:val="20"/>
          <w:szCs w:val="20"/>
          <w:color w:val="auto"/>
        </w:rPr>
      </w:pPr>
    </w:p>
    <w:p>
      <w:pPr>
        <w:ind w:left="340" w:right="279" w:firstLine="389"/>
        <w:spacing w:after="0" w:line="255" w:lineRule="auto"/>
        <w:rPr>
          <w:sz w:val="20"/>
          <w:szCs w:val="20"/>
          <w:color w:val="auto"/>
        </w:rPr>
      </w:pPr>
      <w:r>
        <w:rPr>
          <w:rFonts w:ascii="Arial" w:cs="Arial" w:eastAsia="Arial" w:hAnsi="Arial"/>
          <w:sz w:val="18"/>
          <w:szCs w:val="18"/>
          <w:color w:val="auto"/>
        </w:rPr>
        <w:t>In April 2011, Congress permanently eliminated year-round Pell Grant awards beginning with the 2011-2012 award year as part of the fiscal year 2011 Continuing Resolution spending bill. We believe this change, which did not reduce the maximum annual grant level, will have only a nominal impact on our business. However, because the Pell Grant program is one of the largest non-defense discretionary spending programs in the federal budget, it is a target for reduction as Congress addresses the unprecedented budget deficits. A reduction in the maximum annual Pell Grant amount or changes in eligibility could result in increased student borrowing, which would make it more difficult for us to comply with other important regulatory requirements, and could negatively impact enrollment.</w:t>
      </w:r>
    </w:p>
    <w:p>
      <w:pPr>
        <w:spacing w:after="0" w:line="200" w:lineRule="exact"/>
        <w:rPr>
          <w:sz w:val="20"/>
          <w:szCs w:val="20"/>
          <w:color w:val="auto"/>
        </w:rPr>
      </w:pPr>
    </w:p>
    <w:p>
      <w:pPr>
        <w:spacing w:after="0" w:line="35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99" w:firstLine="389"/>
        <w:spacing w:after="0" w:line="270" w:lineRule="auto"/>
        <w:rPr>
          <w:sz w:val="20"/>
          <w:szCs w:val="20"/>
          <w:color w:val="auto"/>
        </w:rPr>
      </w:pPr>
      <w:r>
        <w:rPr>
          <w:rFonts w:ascii="Arial" w:cs="Arial" w:eastAsia="Arial" w:hAnsi="Arial"/>
          <w:sz w:val="17"/>
          <w:szCs w:val="17"/>
          <w:color w:val="auto"/>
        </w:rPr>
        <w:t>In August 2011, President Obama signed into law the Budget Control Act of 2011, which provides for an increase in the federal government borrowing limit and spending reductions in two phases. The first phase imposes various spending cuts, including the elimination of the partial in-school interest subsidy for graduate student loans beginning July 1, 2012. As a result, the cost of borrowing will increase for graduate students who defer payment of interest while enrolled, which could adversely impact enrollment. The second phase requires a bipartisan, joint Congressional committee to develop legislation to achieve future deficit reduction, which must be voted on by December 23, 2011. The outcome of this process is highly uncertain. If the committee does not achieve the required level of deficit reduction, an across-the-board cutting mechanism known as sequestration will take effect beginning with the federal fiscal year 2013. Although the Pell Grant program currently is exempt from the sequestration process, other federal programs and services that could impact our business would be included.</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 addition to Congress’s focus on the federal government’s funding challenges, in recent years, there has been increased focus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by Congress on the role that proprietary educational institutions play in higher education. This increased focus has included the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June 2010 hearing held by the Education and Labor Committee of the U.S. House of Representatives to examine the manner in which</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accrediting agencies review higher education institutions’ policies on credit hours and program length and the series of hearings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related actions beginning in June 2010 by the U.S. Senate Committee on Health, Education, Labor and Pensions (“HELP Committee”)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examining the proprietary education sector, including most recently on July 21, 2011, and we believe that future hearings may be held.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September 22, 2011, Sen. Tom Carper, the Chairman of the Senate Homeland Security and Government Affairs Subcommittee 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Federal Financial Management, Government Information, Federal Services and International Security, held a hearing on “Improving</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Educational Outcomes for Our Military and Veterans,” focusing on the quality of education for the military and veterans population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and the treatment of such funding for purposes of the 90/10 Rule calculation that, if enacted, would adversely impact our 90/10 Rule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percentage. We expect other Congressional hearings or roundtable discussions to be held regarding various aspects of the education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industry that may affect our business. We cannot predict what legislation, if any, may result from these Congressional committee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hearings or what impact any such legislation might have on the proprietary education sector and our business in particular.</w:t>
      </w:r>
    </w:p>
    <w:p>
      <w:pPr>
        <w:spacing w:after="0" w:line="182" w:lineRule="exact"/>
        <w:rPr>
          <w:sz w:val="20"/>
          <w:szCs w:val="20"/>
          <w:color w:val="auto"/>
        </w:rPr>
      </w:pPr>
    </w:p>
    <w:p>
      <w:pPr>
        <w:jc w:val="both"/>
        <w:ind w:left="340" w:right="179" w:firstLine="389"/>
        <w:spacing w:after="0" w:line="270" w:lineRule="auto"/>
        <w:rPr>
          <w:sz w:val="20"/>
          <w:szCs w:val="20"/>
          <w:color w:val="auto"/>
        </w:rPr>
      </w:pPr>
      <w:r>
        <w:rPr>
          <w:rFonts w:ascii="Arial" w:cs="Arial" w:eastAsia="Arial" w:hAnsi="Arial"/>
          <w:sz w:val="17"/>
          <w:szCs w:val="17"/>
          <w:color w:val="auto"/>
        </w:rPr>
        <w:t>The confluence of the increasing scrutiny in Congress of the proprietary education sector and the unprecedented budget deficits increases the likelihood of legislation that will adversely impact our business. For example, Congress could extend the elimination of the in-school interest subsidy to undergraduate students or to undergraduate students in proprietary institutions, reduce the maximum amount of or change the eligibility standards for student loans and/or Pell Grants or make other material changes in Title IV programs driven by policy considerations, economic considerations or both. Any action by Congress that significantly reduces Title IV program funding, whether through across-the-board funding reductions, sequestration or otherwise, or materially impacts the eligibility of our institutions or students to participate in Title IV programs would have a material adverse effect on our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137" w:lineRule="exact"/>
        <w:rPr>
          <w:sz w:val="20"/>
          <w:szCs w:val="20"/>
          <w:color w:val="auto"/>
        </w:rPr>
      </w:pPr>
    </w:p>
    <w:p>
      <w:pPr>
        <w:ind w:left="340" w:right="279" w:firstLine="389"/>
        <w:spacing w:after="0" w:line="255" w:lineRule="auto"/>
        <w:rPr>
          <w:sz w:val="20"/>
          <w:szCs w:val="20"/>
          <w:color w:val="auto"/>
        </w:rPr>
      </w:pPr>
      <w:r>
        <w:rPr>
          <w:rFonts w:ascii="Arial" w:cs="Arial" w:eastAsia="Arial" w:hAnsi="Arial"/>
          <w:sz w:val="18"/>
          <w:szCs w:val="18"/>
          <w:color w:val="auto"/>
        </w:rPr>
        <w:t>If Congress significantly reduced the amount of available Title IV program funding, we would attempt to arrange for alternative sources of financial aid for our students, which may include lending funds directly to our students, but private sources would not be able to provide as much funding to our students on as favorable terms as is currently provided by Title IV. In addition, private organizations could require us to guarantee all or part of this assistance and we might incur other additional costs. For these reasons, private, alternative sources of student financial aid would only partly offset, if at all, the impact on our business of reduced Title IV program funding.</w:t>
      </w:r>
    </w:p>
    <w:p>
      <w:pPr>
        <w:spacing w:after="0" w:line="162"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On July 28, 2011, our Board of Directors authorized the University to repurchase up to an additional $25 million ($50 million)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of common stock, from time to time, depending on market conditions and other considerations. The original authorization of</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$25 million occurred on August 16, 2010 and the expiration date on the repurchase authorization is September 30, 2012. Repurchases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occur at the University’s discretion. Repurchases may be made in the open market or in privately negotiated transactions, pursuant to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applicable Securities and Exchange Commission rules. The amount and timing of future share repurchases, if any, will be made as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market and business conditions warrant. During the quarter ended September 30, 2011, we purchased 100 shares of common stock at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 aggregate cost of $1,402 and for an average price of $14.02 per share. At September 30, 2011, there remains $26.8 million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available under our current share repurchase authorization.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share repurchases of common stock during each period in the third quarter of fiscal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Maximum Dollar</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5"/>
              </w:rPr>
              <w:t>Shares Purchased as</w:t>
            </w:r>
          </w:p>
        </w:tc>
        <w:tc>
          <w:tcPr>
            <w:tcW w:w="160" w:type="dxa"/>
            <w:vAlign w:val="bottom"/>
          </w:tcPr>
          <w:p>
            <w:pPr>
              <w:spacing w:after="0"/>
              <w:rPr>
                <w:sz w:val="18"/>
                <w:szCs w:val="18"/>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Value of Shares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Part of Publicly</w:t>
            </w:r>
          </w:p>
        </w:tc>
        <w:tc>
          <w:tcPr>
            <w:tcW w:w="16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That May Yet Be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32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Announced</w:t>
            </w:r>
          </w:p>
        </w:tc>
        <w:tc>
          <w:tcPr>
            <w:tcW w:w="16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5"/>
              </w:rPr>
              <w:t>Purchased Under</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2640" w:type="dxa"/>
            <w:vAlign w:val="bottom"/>
          </w:tcPr>
          <w:p>
            <w:pPr>
              <w:spacing w:after="0"/>
              <w:rPr>
                <w:sz w:val="20"/>
                <w:szCs w:val="20"/>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320" w:type="dxa"/>
            <w:vAlign w:val="bottom"/>
          </w:tcPr>
          <w:p>
            <w:pPr>
              <w:spacing w:after="0"/>
              <w:rPr>
                <w:sz w:val="20"/>
                <w:szCs w:val="20"/>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Program</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the Program</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2011 – July 31, 2011</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3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26,847,000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August 1, 2011 – August 31, 2011</w:t>
            </w: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26,847,000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September 1, 2011 – September 30, 2011</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26,847,000</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40" w:type="dxa"/>
            <w:vAlign w:val="bottom"/>
          </w:tcPr>
          <w:p>
            <w:pPr>
              <w:spacing w:after="0"/>
              <w:rPr>
                <w:sz w:val="20"/>
                <w:szCs w:val="20"/>
                <w:color w:val="auto"/>
              </w:rPr>
            </w:pPr>
          </w:p>
        </w:tc>
        <w:tc>
          <w:tcPr>
            <w:tcW w:w="178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14.02</w:t>
            </w:r>
          </w:p>
        </w:tc>
        <w:tc>
          <w:tcPr>
            <w:tcW w:w="204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26,847,000</w:t>
            </w:r>
          </w:p>
        </w:tc>
        <w:tc>
          <w:tcPr>
            <w:tcW w:w="1360" w:type="dxa"/>
            <w:vAlign w:val="bottom"/>
          </w:tcPr>
          <w:p>
            <w:pPr>
              <w:spacing w:after="0"/>
              <w:rPr>
                <w:sz w:val="20"/>
                <w:szCs w:val="20"/>
                <w:color w:val="auto"/>
              </w:rPr>
            </w:pPr>
          </w:p>
        </w:tc>
      </w:tr>
      <w:tr>
        <w:trPr>
          <w:trHeight w:val="387"/>
        </w:trPr>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640" w:type="dxa"/>
            <w:vAlign w:val="bottom"/>
          </w:tcPr>
          <w:p>
            <w:pPr>
              <w:ind w:left="120"/>
              <w:spacing w:after="0"/>
              <w:rPr>
                <w:sz w:val="20"/>
                <w:szCs w:val="20"/>
                <w:color w:val="auto"/>
              </w:rPr>
            </w:pPr>
            <w:r>
              <w:rPr>
                <w:rFonts w:ascii="Arial" w:cs="Arial" w:eastAsia="Arial" w:hAnsi="Arial"/>
                <w:sz w:val="18"/>
                <w:szCs w:val="18"/>
                <w:b w:val="1"/>
                <w:bCs w:val="1"/>
                <w:color w:val="auto"/>
                <w:w w:val="91"/>
              </w:rPr>
              <w:t>Defaults Upon Senior Securities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3280" w:type="dxa"/>
            <w:vAlign w:val="bottom"/>
            <w:gridSpan w:val="2"/>
          </w:tcPr>
          <w:p>
            <w:pPr>
              <w:ind w:left="38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640" w:type="dxa"/>
            <w:vAlign w:val="bottom"/>
          </w:tcPr>
          <w:p>
            <w:pPr>
              <w:ind w:left="120"/>
              <w:spacing w:after="0"/>
              <w:rPr>
                <w:sz w:val="20"/>
                <w:szCs w:val="20"/>
                <w:color w:val="auto"/>
              </w:rPr>
            </w:pPr>
            <w:r>
              <w:rPr>
                <w:rFonts w:ascii="Arial" w:cs="Arial" w:eastAsia="Arial" w:hAnsi="Arial"/>
                <w:sz w:val="18"/>
                <w:szCs w:val="18"/>
                <w:b w:val="1"/>
                <w:bCs w:val="1"/>
                <w:color w:val="auto"/>
              </w:rPr>
              <w:t>Reserved</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2640" w:type="dxa"/>
            <w:vAlign w:val="bottom"/>
          </w:tcPr>
          <w:p>
            <w:pPr>
              <w:ind w:left="120"/>
              <w:spacing w:after="0"/>
              <w:rPr>
                <w:sz w:val="20"/>
                <w:szCs w:val="20"/>
                <w:color w:val="auto"/>
              </w:rPr>
            </w:pPr>
            <w:r>
              <w:rPr>
                <w:rFonts w:ascii="Arial" w:cs="Arial" w:eastAsia="Arial" w:hAnsi="Arial"/>
                <w:sz w:val="18"/>
                <w:szCs w:val="18"/>
                <w:b w:val="1"/>
                <w:bCs w:val="1"/>
                <w:color w:val="auto"/>
              </w:rPr>
              <w:t>Other Information</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3280" w:type="dxa"/>
            <w:vAlign w:val="bottom"/>
            <w:gridSpan w:val="2"/>
          </w:tcPr>
          <w:p>
            <w:pPr>
              <w:ind w:left="38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797"/>
        </w:trPr>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80" w:type="dxa"/>
            <w:vAlign w:val="bottom"/>
            <w:gridSpan w:val="3"/>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260" w:type="dxa"/>
            <w:vAlign w:val="bottom"/>
          </w:tcPr>
          <w:p>
            <w:pPr>
              <w:jc w:val="right"/>
              <w:spacing w:after="0"/>
              <w:rPr>
                <w:sz w:val="20"/>
                <w:szCs w:val="20"/>
                <w:color w:val="auto"/>
              </w:rPr>
            </w:pPr>
            <w:r>
              <w:rPr>
                <w:rFonts w:ascii="Arial" w:cs="Arial" w:eastAsia="Arial" w:hAnsi="Arial"/>
                <w:sz w:val="18"/>
                <w:szCs w:val="18"/>
                <w:color w:val="auto"/>
              </w:rPr>
              <w:t>(a) Exhibits</w:t>
            </w:r>
          </w:p>
        </w:tc>
        <w:tc>
          <w:tcPr>
            <w:tcW w:w="2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432"/>
        </w:trPr>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4"/>
                <w:szCs w:val="24"/>
                <w:color w:val="auto"/>
              </w:rPr>
            </w:pPr>
          </w:p>
        </w:tc>
        <w:tc>
          <w:tcPr>
            <w:tcW w:w="398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Description</w:t>
            </w:r>
          </w:p>
        </w:tc>
        <w:tc>
          <w:tcPr>
            <w:tcW w:w="300" w:type="dxa"/>
            <w:vAlign w:val="bottom"/>
          </w:tcPr>
          <w:p>
            <w:pPr>
              <w:spacing w:after="0"/>
              <w:rPr>
                <w:sz w:val="24"/>
                <w:szCs w:val="24"/>
                <w:color w:val="auto"/>
              </w:rPr>
            </w:pPr>
          </w:p>
        </w:tc>
        <w:tc>
          <w:tcPr>
            <w:tcW w:w="390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126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w w:val="96"/>
              </w:rPr>
              <w:t>Amended and Restated Certificate of Incorporation.</w:t>
            </w:r>
          </w:p>
        </w:tc>
        <w:tc>
          <w:tcPr>
            <w:tcW w:w="30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Incorporated by reference to Exhibit 3.1 to</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8"/>
              </w:rPr>
              <w:t>Amendment No. 6 to the University’s Registration</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418"/>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4260" w:type="dxa"/>
            <w:vAlign w:val="bottom"/>
            <w:gridSpan w:val="2"/>
          </w:tcPr>
          <w:p>
            <w:pPr>
              <w:ind w:left="280"/>
              <w:spacing w:after="0"/>
              <w:rPr>
                <w:sz w:val="20"/>
                <w:szCs w:val="20"/>
                <w:color w:val="auto"/>
              </w:rPr>
            </w:pPr>
            <w:r>
              <w:rPr>
                <w:rFonts w:ascii="Arial" w:cs="Arial" w:eastAsia="Arial" w:hAnsi="Arial"/>
                <w:sz w:val="18"/>
                <w:szCs w:val="18"/>
                <w:color w:val="auto"/>
              </w:rPr>
              <w:t>Second Amended and Restated Bylaws.</w:t>
            </w:r>
          </w:p>
        </w:tc>
        <w:tc>
          <w:tcPr>
            <w:tcW w:w="3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Incorporated by reference to Exhibit 3.1 to the</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7"/>
              </w:rPr>
              <w:t>University’s Current Report on Form 8-K filed with</w:t>
            </w:r>
          </w:p>
        </w:tc>
      </w:t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the SEC on August 2, 2010.</w:t>
            </w:r>
          </w:p>
        </w:tc>
      </w:tr>
      <w:tr>
        <w:trPr>
          <w:trHeight w:val="418"/>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4.1</w:t>
            </w:r>
          </w:p>
        </w:tc>
        <w:tc>
          <w:tcPr>
            <w:tcW w:w="4260" w:type="dxa"/>
            <w:vAlign w:val="bottom"/>
            <w:gridSpan w:val="2"/>
          </w:tcPr>
          <w:p>
            <w:pPr>
              <w:ind w:left="280"/>
              <w:spacing w:after="0"/>
              <w:rPr>
                <w:sz w:val="20"/>
                <w:szCs w:val="20"/>
                <w:color w:val="auto"/>
              </w:rPr>
            </w:pPr>
            <w:r>
              <w:rPr>
                <w:rFonts w:ascii="Arial" w:cs="Arial" w:eastAsia="Arial" w:hAnsi="Arial"/>
                <w:sz w:val="18"/>
                <w:szCs w:val="18"/>
                <w:color w:val="auto"/>
              </w:rPr>
              <w:t>Specimen of Stock Certificate.</w:t>
            </w:r>
          </w:p>
        </w:tc>
        <w:tc>
          <w:tcPr>
            <w:tcW w:w="3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Incorporated by reference to Exhibit 4.1 to</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8"/>
              </w:rPr>
              <w:t>Amendment No. 2 to the University’s Registration</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September 29, 2008.</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2"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80" w:type="dxa"/>
            <w:vAlign w:val="bottom"/>
          </w:tcPr>
          <w:p>
            <w:pPr>
              <w:jc w:val="right"/>
              <w:ind w:right="290"/>
              <w:spacing w:after="0"/>
              <w:rPr>
                <w:sz w:val="20"/>
                <w:szCs w:val="20"/>
                <w:color w:val="auto"/>
              </w:rPr>
            </w:pPr>
            <w:r>
              <w:rPr>
                <w:rFonts w:ascii="Arial" w:cs="Arial" w:eastAsia="Arial" w:hAnsi="Arial"/>
                <w:sz w:val="18"/>
                <w:szCs w:val="18"/>
                <w:color w:val="auto"/>
              </w:rPr>
              <w:t>4.2</w:t>
            </w:r>
          </w:p>
        </w:tc>
        <w:tc>
          <w:tcPr>
            <w:tcW w:w="4300" w:type="dxa"/>
            <w:vAlign w:val="bottom"/>
          </w:tcPr>
          <w:p>
            <w:pPr>
              <w:ind w:left="380"/>
              <w:spacing w:after="0"/>
              <w:rPr>
                <w:sz w:val="20"/>
                <w:szCs w:val="20"/>
                <w:color w:val="auto"/>
              </w:rPr>
            </w:pPr>
            <w:r>
              <w:rPr>
                <w:rFonts w:ascii="Arial" w:cs="Arial" w:eastAsia="Arial" w:hAnsi="Arial"/>
                <w:sz w:val="18"/>
                <w:szCs w:val="18"/>
                <w:color w:val="auto"/>
                <w:w w:val="94"/>
              </w:rPr>
              <w:t>Amended and Restated Investor Rights Agreement,</w:t>
            </w:r>
          </w:p>
        </w:tc>
      </w:tr>
      <w:tr>
        <w:trPr>
          <w:trHeight w:val="216"/>
        </w:trPr>
        <w:tc>
          <w:tcPr>
            <w:tcW w:w="68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Arial" w:cs="Arial" w:eastAsia="Arial" w:hAnsi="Arial"/>
                <w:sz w:val="18"/>
                <w:szCs w:val="18"/>
                <w:color w:val="auto"/>
                <w:w w:val="99"/>
              </w:rPr>
              <w:t>dated September 17, 2008, by and among Grand</w:t>
            </w:r>
          </w:p>
        </w:tc>
      </w:tr>
      <w:tr>
        <w:trPr>
          <w:trHeight w:val="216"/>
        </w:trPr>
        <w:tc>
          <w:tcPr>
            <w:tcW w:w="68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Arial" w:cs="Arial" w:eastAsia="Arial" w:hAnsi="Arial"/>
                <w:sz w:val="18"/>
                <w:szCs w:val="18"/>
                <w:color w:val="auto"/>
                <w:w w:val="93"/>
              </w:rPr>
              <w:t>Canyon Education, Inc. and the other parties named</w:t>
            </w:r>
          </w:p>
        </w:tc>
      </w:tr>
      <w:tr>
        <w:trPr>
          <w:trHeight w:val="230"/>
        </w:trPr>
        <w:tc>
          <w:tcPr>
            <w:tcW w:w="680" w:type="dxa"/>
            <w:vAlign w:val="bottom"/>
          </w:tcPr>
          <w:p>
            <w:pPr>
              <w:spacing w:after="0"/>
              <w:rPr>
                <w:sz w:val="20"/>
                <w:szCs w:val="20"/>
                <w:color w:val="auto"/>
              </w:rPr>
            </w:pPr>
          </w:p>
        </w:tc>
        <w:tc>
          <w:tcPr>
            <w:tcW w:w="4300" w:type="dxa"/>
            <w:vAlign w:val="bottom"/>
          </w:tcPr>
          <w:p>
            <w:pPr>
              <w:ind w:left="380"/>
              <w:spacing w:after="0"/>
              <w:rPr>
                <w:sz w:val="20"/>
                <w:szCs w:val="20"/>
                <w:color w:val="auto"/>
              </w:rPr>
            </w:pPr>
            <w:r>
              <w:rPr>
                <w:rFonts w:ascii="Arial" w:cs="Arial" w:eastAsia="Arial" w:hAnsi="Arial"/>
                <w:sz w:val="18"/>
                <w:szCs w:val="18"/>
                <w:color w:val="auto"/>
              </w:rPr>
              <w:t>therein.</w:t>
            </w:r>
          </w:p>
        </w:tc>
      </w:tr>
      <w:tr>
        <w:trPr>
          <w:trHeight w:val="432"/>
        </w:trPr>
        <w:tc>
          <w:tcPr>
            <w:tcW w:w="680" w:type="dxa"/>
            <w:vAlign w:val="bottom"/>
          </w:tcPr>
          <w:p>
            <w:pPr>
              <w:jc w:val="right"/>
              <w:ind w:right="290"/>
              <w:spacing w:after="0"/>
              <w:rPr>
                <w:sz w:val="20"/>
                <w:szCs w:val="20"/>
                <w:color w:val="auto"/>
              </w:rPr>
            </w:pPr>
            <w:r>
              <w:rPr>
                <w:rFonts w:ascii="Arial" w:cs="Arial" w:eastAsia="Arial" w:hAnsi="Arial"/>
                <w:sz w:val="18"/>
                <w:szCs w:val="18"/>
                <w:color w:val="auto"/>
                <w:w w:val="79"/>
              </w:rPr>
              <w:t>10.1</w:t>
            </w:r>
          </w:p>
        </w:tc>
        <w:tc>
          <w:tcPr>
            <w:tcW w:w="4300" w:type="dxa"/>
            <w:vAlign w:val="bottom"/>
          </w:tcPr>
          <w:p>
            <w:pPr>
              <w:ind w:left="380"/>
              <w:spacing w:after="0"/>
              <w:rPr>
                <w:sz w:val="20"/>
                <w:szCs w:val="20"/>
                <w:color w:val="auto"/>
              </w:rPr>
            </w:pPr>
            <w:r>
              <w:rPr>
                <w:rFonts w:ascii="Arial" w:cs="Arial" w:eastAsia="Arial" w:hAnsi="Arial"/>
                <w:sz w:val="18"/>
                <w:szCs w:val="18"/>
                <w:color w:val="auto"/>
              </w:rPr>
              <w:t>2008 Equity Incentive Plan, as amended†</w:t>
            </w:r>
          </w:p>
        </w:tc>
      </w:tr>
      <w:tr>
        <w:trPr>
          <w:trHeight w:val="418"/>
        </w:trPr>
        <w:tc>
          <w:tcPr>
            <w:tcW w:w="680" w:type="dxa"/>
            <w:vAlign w:val="bottom"/>
          </w:tcPr>
          <w:p>
            <w:pPr>
              <w:jc w:val="right"/>
              <w:ind w:right="290"/>
              <w:spacing w:after="0"/>
              <w:rPr>
                <w:sz w:val="20"/>
                <w:szCs w:val="20"/>
                <w:color w:val="auto"/>
              </w:rPr>
            </w:pPr>
            <w:r>
              <w:rPr>
                <w:rFonts w:ascii="Arial" w:cs="Arial" w:eastAsia="Arial" w:hAnsi="Arial"/>
                <w:sz w:val="18"/>
                <w:szCs w:val="18"/>
                <w:color w:val="auto"/>
                <w:w w:val="79"/>
              </w:rPr>
              <w:t>31.1</w:t>
            </w:r>
          </w:p>
        </w:tc>
        <w:tc>
          <w:tcPr>
            <w:tcW w:w="4300" w:type="dxa"/>
            <w:vAlign w:val="bottom"/>
          </w:tcPr>
          <w:p>
            <w:pPr>
              <w:ind w:left="380"/>
              <w:spacing w:after="0"/>
              <w:rPr>
                <w:sz w:val="20"/>
                <w:szCs w:val="20"/>
                <w:color w:val="auto"/>
              </w:rPr>
            </w:pPr>
            <w:r>
              <w:rPr>
                <w:rFonts w:ascii="Arial" w:cs="Arial" w:eastAsia="Arial" w:hAnsi="Arial"/>
                <w:sz w:val="18"/>
                <w:szCs w:val="18"/>
                <w:color w:val="auto"/>
                <w:w w:val="97"/>
              </w:rPr>
              <w:t>Certification of Chief Executive Officer pursuant to</w:t>
            </w:r>
          </w:p>
        </w:tc>
      </w:tr>
      <w:tr>
        <w:trPr>
          <w:trHeight w:val="216"/>
        </w:trPr>
        <w:tc>
          <w:tcPr>
            <w:tcW w:w="68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Arial" w:cs="Arial" w:eastAsia="Arial" w:hAnsi="Arial"/>
                <w:sz w:val="18"/>
                <w:szCs w:val="18"/>
                <w:color w:val="auto"/>
                <w:w w:val="88"/>
              </w:rPr>
              <w:t>Rules 13a-14(a) and 15d-14(a), as adopted pursuant to</w:t>
            </w:r>
          </w:p>
        </w:tc>
      </w:tr>
      <w:tr>
        <w:trPr>
          <w:trHeight w:val="230"/>
        </w:trPr>
        <w:tc>
          <w:tcPr>
            <w:tcW w:w="680" w:type="dxa"/>
            <w:vAlign w:val="bottom"/>
          </w:tcPr>
          <w:p>
            <w:pPr>
              <w:spacing w:after="0"/>
              <w:rPr>
                <w:sz w:val="20"/>
                <w:szCs w:val="20"/>
                <w:color w:val="auto"/>
              </w:rPr>
            </w:pPr>
          </w:p>
        </w:tc>
        <w:tc>
          <w:tcPr>
            <w:tcW w:w="4300" w:type="dxa"/>
            <w:vAlign w:val="bottom"/>
          </w:tcPr>
          <w:p>
            <w:pPr>
              <w:ind w:left="380"/>
              <w:spacing w:after="0"/>
              <w:rPr>
                <w:sz w:val="20"/>
                <w:szCs w:val="20"/>
                <w:color w:val="auto"/>
              </w:rPr>
            </w:pPr>
            <w:r>
              <w:rPr>
                <w:rFonts w:ascii="Arial" w:cs="Arial" w:eastAsia="Arial" w:hAnsi="Arial"/>
                <w:sz w:val="18"/>
                <w:szCs w:val="18"/>
                <w:color w:val="auto"/>
              </w:rPr>
              <w:t>Section 302 of the Sarbanes-Oxley Act of 2002.</w:t>
            </w:r>
          </w:p>
        </w:tc>
      </w:tr>
    </w:tbl>
    <w:p>
      <w:pPr>
        <w:spacing w:after="0" w:line="20" w:lineRule="exact"/>
        <w:rPr>
          <w:sz w:val="20"/>
          <w:szCs w:val="20"/>
          <w:color w:val="auto"/>
        </w:rPr>
      </w:pPr>
      <w:r>
        <w:rPr>
          <w:sz w:val="20"/>
          <w:szCs w:val="20"/>
          <w:color w:val="auto"/>
        </w:rPr>
        <w:br w:type="column"/>
      </w:r>
    </w:p>
    <w:p>
      <w:pPr>
        <w:ind w:right="439"/>
        <w:spacing w:after="0" w:line="259" w:lineRule="auto"/>
        <w:rPr>
          <w:sz w:val="20"/>
          <w:szCs w:val="20"/>
          <w:color w:val="auto"/>
        </w:rPr>
      </w:pPr>
      <w:r>
        <w:rPr>
          <w:rFonts w:ascii="Arial" w:cs="Arial" w:eastAsia="Arial" w:hAnsi="Arial"/>
          <w:sz w:val="18"/>
          <w:szCs w:val="18"/>
          <w:color w:val="auto"/>
        </w:rPr>
        <w:t>Incorporated by reference to Exhibit 4.2 to Amendment No. 2 to the University’s Registration Statement on Form S-1 filed with the SEC on September 29,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800" w:space="360"/>
            <w:col w:w="4059"/>
          </w:cols>
          <w:pgMar w:left="240" w:top="419" w:right="1440" w:bottom="1440" w:gutter="0" w:footer="0" w:header="0"/>
          <w:type w:val="continuous"/>
        </w:sectPr>
      </w:pPr>
    </w:p>
    <w:p>
      <w:pPr>
        <w:spacing w:after="0" w:line="2"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80" w:type="dxa"/>
            <w:vAlign w:val="bottom"/>
          </w:tcPr>
          <w:p>
            <w:pPr>
              <w:jc w:val="right"/>
              <w:ind w:right="290"/>
              <w:spacing w:after="0"/>
              <w:rPr>
                <w:sz w:val="20"/>
                <w:szCs w:val="20"/>
                <w:color w:val="auto"/>
              </w:rPr>
            </w:pPr>
            <w:r>
              <w:rPr>
                <w:rFonts w:ascii="Arial" w:cs="Arial" w:eastAsia="Arial" w:hAnsi="Arial"/>
                <w:sz w:val="18"/>
                <w:szCs w:val="18"/>
                <w:color w:val="auto"/>
                <w:w w:val="79"/>
              </w:rPr>
              <w:t>31.2</w:t>
            </w:r>
          </w:p>
        </w:tc>
        <w:tc>
          <w:tcPr>
            <w:tcW w:w="450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pursuant to</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w w:val="92"/>
              </w:rPr>
              <w:t>Rules 13a-14(a) and 15d-14(a), as adopted pursuant to</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rPr>
              <w:t>Section 302 of the Sarbanes-Oxley Act of 2002.</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90"/>
              <w:spacing w:after="0"/>
              <w:rPr>
                <w:sz w:val="20"/>
                <w:szCs w:val="20"/>
                <w:color w:val="auto"/>
              </w:rPr>
            </w:pPr>
            <w:r>
              <w:rPr>
                <w:rFonts w:ascii="Arial" w:cs="Arial" w:eastAsia="Arial" w:hAnsi="Arial"/>
                <w:sz w:val="18"/>
                <w:szCs w:val="18"/>
                <w:color w:val="auto"/>
                <w:w w:val="79"/>
              </w:rPr>
              <w:t>32.1</w:t>
            </w:r>
          </w:p>
        </w:tc>
        <w:tc>
          <w:tcPr>
            <w:tcW w:w="4500" w:type="dxa"/>
            <w:vAlign w:val="bottom"/>
          </w:tcPr>
          <w:p>
            <w:pPr>
              <w:ind w:left="380"/>
              <w:spacing w:after="0"/>
              <w:rPr>
                <w:sz w:val="20"/>
                <w:szCs w:val="20"/>
                <w:color w:val="auto"/>
              </w:rPr>
            </w:pPr>
            <w:r>
              <w:rPr>
                <w:rFonts w:ascii="Arial" w:cs="Arial" w:eastAsia="Arial" w:hAnsi="Arial"/>
                <w:sz w:val="18"/>
                <w:szCs w:val="18"/>
                <w:color w:val="auto"/>
                <w:w w:val="96"/>
              </w:rPr>
              <w:t>Certification of Chief Executive Officer pursuant to 18</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rPr>
              <w:t>U.S.C. Section 1350, as adopted pursuant to</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rPr>
              <w:t>Section 906 of the Sarbanes-Oxley Act of 2002. ††</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90"/>
              <w:spacing w:after="0"/>
              <w:rPr>
                <w:sz w:val="20"/>
                <w:szCs w:val="20"/>
                <w:color w:val="auto"/>
              </w:rPr>
            </w:pPr>
            <w:r>
              <w:rPr>
                <w:rFonts w:ascii="Arial" w:cs="Arial" w:eastAsia="Arial" w:hAnsi="Arial"/>
                <w:sz w:val="18"/>
                <w:szCs w:val="18"/>
                <w:color w:val="auto"/>
                <w:w w:val="79"/>
              </w:rPr>
              <w:t>32.2</w:t>
            </w:r>
          </w:p>
        </w:tc>
        <w:tc>
          <w:tcPr>
            <w:tcW w:w="4500" w:type="dxa"/>
            <w:vAlign w:val="bottom"/>
          </w:tcPr>
          <w:p>
            <w:pPr>
              <w:ind w:left="380"/>
              <w:spacing w:after="0"/>
              <w:rPr>
                <w:sz w:val="20"/>
                <w:szCs w:val="20"/>
                <w:color w:val="auto"/>
              </w:rPr>
            </w:pPr>
            <w:r>
              <w:rPr>
                <w:rFonts w:ascii="Arial" w:cs="Arial" w:eastAsia="Arial" w:hAnsi="Arial"/>
                <w:sz w:val="18"/>
                <w:szCs w:val="18"/>
                <w:color w:val="auto"/>
                <w:w w:val="98"/>
              </w:rPr>
              <w:t>Certification of Chief Financial Officer pursuant to 18</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rPr>
              <w:t>U.S.C. Section 1350, as adopted pursuant to</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rPr>
              <w:t>Section 906 of the Sarbanes-Oxley Act of 2002. ††</w:t>
            </w:r>
          </w:p>
        </w:tc>
        <w:tc>
          <w:tcPr>
            <w:tcW w:w="1240" w:type="dxa"/>
            <w:vAlign w:val="bottom"/>
          </w:tcPr>
          <w:p>
            <w:pPr>
              <w:spacing w:after="0"/>
              <w:rPr>
                <w:sz w:val="20"/>
                <w:szCs w:val="20"/>
                <w:color w:val="auto"/>
              </w:rPr>
            </w:pPr>
          </w:p>
        </w:tc>
      </w:tr>
    </w:tbl>
    <w:p>
      <w:pPr>
        <w:spacing w:after="0" w:line="107" w:lineRule="exact"/>
        <w:rPr>
          <w:sz w:val="20"/>
          <w:szCs w:val="20"/>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77" w:lineRule="exact"/>
        <w:rPr>
          <w:sz w:val="20"/>
          <w:szCs w:val="20"/>
          <w:color w:val="auto"/>
        </w:rPr>
      </w:pPr>
    </w:p>
    <w:p>
      <w:pPr>
        <w:ind w:left="720" w:right="419" w:hanging="388"/>
        <w:spacing w:after="0" w:line="286"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400"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5800" w:type="dxa"/>
            <w:vAlign w:val="bottom"/>
            <w:gridSpan w:val="2"/>
          </w:tcPr>
          <w:p>
            <w:pPr>
              <w:ind w:left="940"/>
              <w:spacing w:after="0"/>
              <w:rPr>
                <w:sz w:val="20"/>
                <w:szCs w:val="20"/>
                <w:color w:val="auto"/>
              </w:rPr>
            </w:pPr>
            <w:r>
              <w:rPr>
                <w:rFonts w:ascii="Arial" w:cs="Arial" w:eastAsia="Arial" w:hAnsi="Arial"/>
                <w:sz w:val="18"/>
                <w:szCs w:val="18"/>
                <w:b w:val="1"/>
                <w:bCs w:val="1"/>
                <w:color w:val="auto"/>
              </w:rPr>
              <w:t>GRAND CANYON EDUCATION, INC.</w:t>
            </w:r>
          </w:p>
        </w:tc>
        <w:tc>
          <w:tcPr>
            <w:tcW w:w="2480" w:type="dxa"/>
            <w:vAlign w:val="bottom"/>
          </w:tcPr>
          <w:p>
            <w:pPr>
              <w:spacing w:after="0"/>
              <w:rPr>
                <w:sz w:val="20"/>
                <w:szCs w:val="20"/>
                <w:color w:val="auto"/>
              </w:rPr>
            </w:pPr>
          </w:p>
        </w:tc>
      </w:tr>
      <w:tr>
        <w:trPr>
          <w:trHeight w:val="432"/>
        </w:trPr>
        <w:tc>
          <w:tcPr>
            <w:tcW w:w="3140" w:type="dxa"/>
            <w:vAlign w:val="bottom"/>
          </w:tcPr>
          <w:p>
            <w:pPr>
              <w:ind w:left="340"/>
              <w:spacing w:after="0"/>
              <w:rPr>
                <w:sz w:val="20"/>
                <w:szCs w:val="20"/>
                <w:color w:val="auto"/>
              </w:rPr>
            </w:pPr>
            <w:r>
              <w:rPr>
                <w:rFonts w:ascii="Arial" w:cs="Arial" w:eastAsia="Arial" w:hAnsi="Arial"/>
                <w:sz w:val="18"/>
                <w:szCs w:val="18"/>
                <w:color w:val="auto"/>
              </w:rPr>
              <w:t>Date: November 14, 2011</w:t>
            </w:r>
          </w:p>
        </w:tc>
        <w:tc>
          <w:tcPr>
            <w:tcW w:w="5800" w:type="dxa"/>
            <w:vAlign w:val="bottom"/>
            <w:gridSpan w:val="2"/>
          </w:tcPr>
          <w:p>
            <w:pPr>
              <w:ind w:left="940"/>
              <w:spacing w:after="0"/>
              <w:rPr>
                <w:sz w:val="20"/>
                <w:szCs w:val="20"/>
                <w:color w:val="auto"/>
              </w:rPr>
            </w:pPr>
            <w:r>
              <w:rPr>
                <w:rFonts w:ascii="Arial" w:cs="Arial" w:eastAsia="Arial" w:hAnsi="Arial"/>
                <w:sz w:val="18"/>
                <w:szCs w:val="18"/>
                <w:color w:val="auto"/>
              </w:rPr>
              <w:t>By: /s/ Daniel E. Bachus</w:t>
            </w:r>
          </w:p>
        </w:tc>
        <w:tc>
          <w:tcPr>
            <w:tcW w:w="2480" w:type="dxa"/>
            <w:vAlign w:val="bottom"/>
          </w:tcPr>
          <w:p>
            <w:pPr>
              <w:spacing w:after="0"/>
              <w:rPr>
                <w:sz w:val="24"/>
                <w:szCs w:val="24"/>
                <w:color w:val="auto"/>
              </w:rPr>
            </w:pPr>
          </w:p>
        </w:tc>
      </w:tr>
      <w:tr>
        <w:trPr>
          <w:trHeight w:val="195"/>
        </w:trPr>
        <w:tc>
          <w:tcPr>
            <w:tcW w:w="3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2480" w:type="dxa"/>
            <w:vAlign w:val="bottom"/>
          </w:tcPr>
          <w:p>
            <w:pPr>
              <w:spacing w:after="0"/>
              <w:rPr>
                <w:sz w:val="16"/>
                <w:szCs w:val="16"/>
                <w:color w:val="auto"/>
              </w:rPr>
            </w:pPr>
          </w:p>
        </w:tc>
      </w:tr>
      <w:tr>
        <w:trPr>
          <w:trHeight w:val="216"/>
        </w:trPr>
        <w:tc>
          <w:tcPr>
            <w:tcW w:w="3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480" w:type="dxa"/>
            <w:vAlign w:val="bottom"/>
          </w:tcPr>
          <w:p>
            <w:pPr>
              <w:spacing w:after="0"/>
              <w:rPr>
                <w:sz w:val="18"/>
                <w:szCs w:val="18"/>
                <w:color w:val="auto"/>
              </w:rPr>
            </w:pPr>
          </w:p>
        </w:tc>
      </w:tr>
      <w:tr>
        <w:trPr>
          <w:trHeight w:val="230"/>
        </w:trPr>
        <w:tc>
          <w:tcPr>
            <w:tcW w:w="3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480" w:type="dxa"/>
            <w:vAlign w:val="bottom"/>
          </w:tcPr>
          <w:p>
            <w:pPr>
              <w:spacing w:after="0"/>
              <w:rPr>
                <w:sz w:val="20"/>
                <w:szCs w:val="20"/>
                <w:color w:val="auto"/>
              </w:rPr>
            </w:pPr>
          </w:p>
        </w:tc>
      </w:tr>
      <w:tr>
        <w:trPr>
          <w:trHeight w:val="783"/>
        </w:trPr>
        <w:tc>
          <w:tcPr>
            <w:tcW w:w="3140" w:type="dxa"/>
            <w:vAlign w:val="bottom"/>
          </w:tcPr>
          <w:p>
            <w:pPr>
              <w:spacing w:after="0"/>
              <w:rPr>
                <w:sz w:val="24"/>
                <w:szCs w:val="24"/>
                <w:color w:val="auto"/>
              </w:rPr>
            </w:pPr>
          </w:p>
        </w:tc>
        <w:tc>
          <w:tcPr>
            <w:tcW w:w="5800" w:type="dxa"/>
            <w:vAlign w:val="bottom"/>
            <w:gridSpan w:val="2"/>
          </w:tcPr>
          <w:p>
            <w:pPr>
              <w:jc w:val="right"/>
              <w:ind w:right="3570"/>
              <w:spacing w:after="0"/>
              <w:rPr>
                <w:sz w:val="20"/>
                <w:szCs w:val="20"/>
                <w:color w:val="auto"/>
              </w:rPr>
            </w:pPr>
            <w:r>
              <w:rPr>
                <w:rFonts w:ascii="Arial" w:cs="Arial" w:eastAsia="Arial" w:hAnsi="Arial"/>
                <w:sz w:val="18"/>
                <w:szCs w:val="18"/>
                <w:color w:val="auto"/>
              </w:rPr>
              <w:t>33</w:t>
            </w:r>
          </w:p>
        </w:tc>
        <w:tc>
          <w:tcPr>
            <w:tcW w:w="2480" w:type="dxa"/>
            <w:vAlign w:val="bottom"/>
          </w:tcPr>
          <w:p>
            <w:pPr>
              <w:spacing w:after="0"/>
              <w:rPr>
                <w:sz w:val="24"/>
                <w:szCs w:val="24"/>
                <w:color w:val="auto"/>
              </w:rPr>
            </w:pPr>
          </w:p>
        </w:tc>
      </w:tr>
      <w:tr>
        <w:trPr>
          <w:trHeight w:val="226"/>
        </w:trPr>
        <w:tc>
          <w:tcPr>
            <w:tcW w:w="31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92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3960" w:type="dxa"/>
            <w:vAlign w:val="bottom"/>
          </w:tcPr>
          <w:p>
            <w:pPr>
              <w:ind w:left="2620"/>
              <w:spacing w:after="0"/>
              <w:rPr>
                <w:sz w:val="20"/>
                <w:szCs w:val="20"/>
                <w:color w:val="auto"/>
              </w:rPr>
            </w:pPr>
            <w:r>
              <w:rPr>
                <w:rFonts w:ascii="Arial" w:cs="Arial" w:eastAsia="Arial" w:hAnsi="Arial"/>
                <w:sz w:val="18"/>
                <w:szCs w:val="18"/>
                <w:color w:val="auto"/>
              </w:rPr>
              <w:t>EXHIBIT INDEX</w:t>
            </w:r>
          </w:p>
        </w:tc>
        <w:tc>
          <w:tcPr>
            <w:tcW w:w="28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Number</w:t>
            </w:r>
          </w:p>
        </w:tc>
        <w:tc>
          <w:tcPr>
            <w:tcW w:w="3960" w:type="dxa"/>
            <w:vAlign w:val="bottom"/>
          </w:tcPr>
          <w:p>
            <w:pPr>
              <w:ind w:left="1540"/>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4"/>
                <w:szCs w:val="24"/>
                <w:color w:val="auto"/>
              </w:rPr>
            </w:pPr>
          </w:p>
        </w:tc>
        <w:tc>
          <w:tcPr>
            <w:tcW w:w="3900" w:type="dxa"/>
            <w:vAlign w:val="bottom"/>
          </w:tcPr>
          <w:p>
            <w:pPr>
              <w:ind w:left="1300"/>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34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Amended and Restated Certificate of Incorporation.</w:t>
            </w:r>
          </w:p>
        </w:tc>
        <w:tc>
          <w:tcPr>
            <w:tcW w:w="280" w:type="dxa"/>
            <w:vAlign w:val="bottom"/>
          </w:tcPr>
          <w:p>
            <w:pPr>
              <w:spacing w:after="0"/>
              <w:rPr>
                <w:sz w:val="16"/>
                <w:szCs w:val="16"/>
                <w:color w:val="auto"/>
              </w:rPr>
            </w:pPr>
          </w:p>
        </w:tc>
        <w:tc>
          <w:tcPr>
            <w:tcW w:w="3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Incorporated by reference to Exhibit 3.1 to</w:t>
            </w:r>
          </w:p>
        </w:tc>
      </w:tr>
      <w:tr>
        <w:trPr>
          <w:trHeight w:val="216"/>
        </w:trPr>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4180" w:type="dxa"/>
            <w:vAlign w:val="bottom"/>
            <w:gridSpan w:val="2"/>
          </w:tcPr>
          <w:p>
            <w:pPr>
              <w:ind w:left="280"/>
              <w:spacing w:after="0"/>
              <w:rPr>
                <w:sz w:val="20"/>
                <w:szCs w:val="20"/>
                <w:color w:val="auto"/>
              </w:rPr>
            </w:pPr>
            <w:r>
              <w:rPr>
                <w:rFonts w:ascii="Arial" w:cs="Arial" w:eastAsia="Arial" w:hAnsi="Arial"/>
                <w:sz w:val="18"/>
                <w:szCs w:val="18"/>
                <w:color w:val="auto"/>
                <w:w w:val="98"/>
              </w:rPr>
              <w:t>Amendment No. 6 to the University’s Registration</w:t>
            </w:r>
          </w:p>
        </w:tc>
      </w:tr>
      <w:tr>
        <w:trPr>
          <w:trHeight w:val="216"/>
        </w:trPr>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4180" w:type="dxa"/>
            <w:vAlign w:val="bottom"/>
            <w:gridSpan w:val="2"/>
          </w:tcPr>
          <w:p>
            <w:pPr>
              <w:ind w:left="280"/>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180" w:type="dxa"/>
            <w:vAlign w:val="bottom"/>
            <w:gridSpan w:val="2"/>
          </w:tcPr>
          <w:p>
            <w:pPr>
              <w:ind w:left="280"/>
              <w:spacing w:after="0"/>
              <w:rPr>
                <w:sz w:val="20"/>
                <w:szCs w:val="20"/>
                <w:color w:val="auto"/>
              </w:rPr>
            </w:pPr>
            <w:r>
              <w:rPr>
                <w:rFonts w:ascii="Arial" w:cs="Arial" w:eastAsia="Arial" w:hAnsi="Arial"/>
                <w:sz w:val="18"/>
                <w:szCs w:val="18"/>
                <w:color w:val="auto"/>
              </w:rPr>
              <w:t>November 12, 2008.</w:t>
            </w:r>
          </w:p>
        </w:tc>
      </w:tr>
      <w:tr>
        <w:trPr>
          <w:trHeight w:val="418"/>
        </w:trPr>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Second Amended and Restated Bylaws.</w:t>
            </w:r>
          </w:p>
        </w:tc>
        <w:tc>
          <w:tcPr>
            <w:tcW w:w="4180" w:type="dxa"/>
            <w:vAlign w:val="bottom"/>
            <w:gridSpan w:val="2"/>
          </w:tcPr>
          <w:p>
            <w:pPr>
              <w:ind w:left="280"/>
              <w:spacing w:after="0"/>
              <w:rPr>
                <w:sz w:val="20"/>
                <w:szCs w:val="20"/>
                <w:color w:val="auto"/>
              </w:rPr>
            </w:pPr>
            <w:r>
              <w:rPr>
                <w:rFonts w:ascii="Arial" w:cs="Arial" w:eastAsia="Arial" w:hAnsi="Arial"/>
                <w:sz w:val="18"/>
                <w:szCs w:val="18"/>
                <w:color w:val="auto"/>
              </w:rPr>
              <w:t>Incorporated by reference to Exhibit 3.1 to the</w:t>
            </w:r>
          </w:p>
        </w:tc>
      </w:tr>
      <w:tr>
        <w:trPr>
          <w:trHeight w:val="216"/>
        </w:trPr>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4180" w:type="dxa"/>
            <w:vAlign w:val="bottom"/>
            <w:gridSpan w:val="2"/>
          </w:tcPr>
          <w:p>
            <w:pPr>
              <w:ind w:left="280"/>
              <w:spacing w:after="0"/>
              <w:rPr>
                <w:sz w:val="20"/>
                <w:szCs w:val="20"/>
                <w:color w:val="auto"/>
              </w:rPr>
            </w:pPr>
            <w:r>
              <w:rPr>
                <w:rFonts w:ascii="Arial" w:cs="Arial" w:eastAsia="Arial" w:hAnsi="Arial"/>
                <w:sz w:val="18"/>
                <w:szCs w:val="18"/>
                <w:color w:val="auto"/>
                <w:w w:val="97"/>
              </w:rPr>
              <w:t>University’s Current Report on Form 8-K filed with</w:t>
            </w:r>
          </w:p>
        </w:tc>
      </w:tr>
      <w:tr>
        <w:trPr>
          <w:trHeight w:val="230"/>
        </w:trPr>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180" w:type="dxa"/>
            <w:vAlign w:val="bottom"/>
            <w:gridSpan w:val="2"/>
          </w:tcPr>
          <w:p>
            <w:pPr>
              <w:ind w:left="280"/>
              <w:spacing w:after="0"/>
              <w:rPr>
                <w:sz w:val="20"/>
                <w:szCs w:val="20"/>
                <w:color w:val="auto"/>
              </w:rPr>
            </w:pPr>
            <w:r>
              <w:rPr>
                <w:rFonts w:ascii="Arial" w:cs="Arial" w:eastAsia="Arial" w:hAnsi="Arial"/>
                <w:sz w:val="18"/>
                <w:szCs w:val="18"/>
                <w:color w:val="auto"/>
              </w:rPr>
              <w:t>the SEC on August 2, 2010.</w:t>
            </w:r>
          </w:p>
        </w:tc>
      </w:tr>
      <w:tr>
        <w:trPr>
          <w:trHeight w:val="418"/>
        </w:trPr>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Specimen of Stock Certificate.</w:t>
            </w:r>
          </w:p>
        </w:tc>
        <w:tc>
          <w:tcPr>
            <w:tcW w:w="4180" w:type="dxa"/>
            <w:vAlign w:val="bottom"/>
            <w:gridSpan w:val="2"/>
          </w:tcPr>
          <w:p>
            <w:pPr>
              <w:ind w:left="280"/>
              <w:spacing w:after="0"/>
              <w:rPr>
                <w:sz w:val="20"/>
                <w:szCs w:val="20"/>
                <w:color w:val="auto"/>
              </w:rPr>
            </w:pPr>
            <w:r>
              <w:rPr>
                <w:rFonts w:ascii="Arial" w:cs="Arial" w:eastAsia="Arial" w:hAnsi="Arial"/>
                <w:sz w:val="18"/>
                <w:szCs w:val="18"/>
                <w:color w:val="auto"/>
              </w:rPr>
              <w:t>Incorporated by reference to Exhibit 4.1 to</w:t>
            </w:r>
          </w:p>
        </w:tc>
      </w:tr>
      <w:tr>
        <w:trPr>
          <w:trHeight w:val="230"/>
        </w:trPr>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180" w:type="dxa"/>
            <w:vAlign w:val="bottom"/>
            <w:gridSpan w:val="2"/>
          </w:tcPr>
          <w:p>
            <w:pPr>
              <w:ind w:left="280"/>
              <w:spacing w:after="0"/>
              <w:rPr>
                <w:sz w:val="20"/>
                <w:szCs w:val="20"/>
                <w:color w:val="auto"/>
              </w:rPr>
            </w:pPr>
            <w:r>
              <w:rPr>
                <w:rFonts w:ascii="Arial" w:cs="Arial" w:eastAsia="Arial" w:hAnsi="Arial"/>
                <w:sz w:val="18"/>
                <w:szCs w:val="18"/>
                <w:color w:val="auto"/>
                <w:w w:val="98"/>
              </w:rPr>
              <w:t>Amendment No. 2 to the University’s Registration</w:t>
            </w:r>
          </w:p>
        </w:tc>
      </w:tr>
    </w:tbl>
    <w:p>
      <w:pPr>
        <w:ind w:left="6160"/>
        <w:spacing w:after="0"/>
        <w:rPr>
          <w:sz w:val="20"/>
          <w:szCs w:val="20"/>
          <w:color w:val="auto"/>
        </w:rPr>
      </w:pPr>
      <w:r>
        <w:rPr>
          <w:rFonts w:ascii="Arial" w:cs="Arial" w:eastAsia="Arial" w:hAnsi="Arial"/>
          <w:sz w:val="18"/>
          <w:szCs w:val="18"/>
          <w:color w:val="auto"/>
        </w:rPr>
        <w:t>Statement on Form S-1 filed with the SEC on</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September 29, 2008.</w:t>
      </w:r>
    </w:p>
    <w:p>
      <w:pPr>
        <w:sectPr>
          <w:pgSz w:w="11900" w:h="16838" w:orient="portrait"/>
          <w:cols w:equalWidth="0" w:num="1">
            <w:col w:w="10219"/>
          </w:cols>
          <w:pgMar w:left="240" w:top="405" w:right="1440" w:bottom="1440" w:gutter="0" w:footer="0" w:header="0"/>
        </w:sectPr>
      </w:pPr>
    </w:p>
    <w:p>
      <w:pPr>
        <w:spacing w:after="0" w:line="211"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4280" w:type="dxa"/>
            <w:vAlign w:val="bottom"/>
          </w:tcPr>
          <w:p>
            <w:pPr>
              <w:ind w:left="360"/>
              <w:spacing w:after="0"/>
              <w:rPr>
                <w:sz w:val="20"/>
                <w:szCs w:val="20"/>
                <w:color w:val="auto"/>
              </w:rPr>
            </w:pPr>
            <w:r>
              <w:rPr>
                <w:rFonts w:ascii="Arial" w:cs="Arial" w:eastAsia="Arial" w:hAnsi="Arial"/>
                <w:sz w:val="18"/>
                <w:szCs w:val="18"/>
                <w:color w:val="auto"/>
                <w:w w:val="94"/>
              </w:rPr>
              <w:t>Amended and Restated Investor Rights Agreement,</w:t>
            </w:r>
          </w:p>
        </w:tc>
      </w:tr>
      <w:tr>
        <w:trPr>
          <w:trHeight w:val="216"/>
        </w:trPr>
        <w:tc>
          <w:tcPr>
            <w:tcW w:w="68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w w:val="99"/>
              </w:rPr>
              <w:t>dated September 17, 2008, by and among Grand</w:t>
            </w:r>
          </w:p>
        </w:tc>
      </w:tr>
      <w:tr>
        <w:trPr>
          <w:trHeight w:val="216"/>
        </w:trPr>
        <w:tc>
          <w:tcPr>
            <w:tcW w:w="68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w w:val="93"/>
              </w:rPr>
              <w:t>Canyon Education, Inc. and the other parties named</w:t>
            </w:r>
          </w:p>
        </w:tc>
      </w:tr>
      <w:tr>
        <w:trPr>
          <w:trHeight w:val="230"/>
        </w:trPr>
        <w:tc>
          <w:tcPr>
            <w:tcW w:w="680" w:type="dxa"/>
            <w:vAlign w:val="bottom"/>
          </w:tcPr>
          <w:p>
            <w:pPr>
              <w:spacing w:after="0"/>
              <w:rPr>
                <w:sz w:val="20"/>
                <w:szCs w:val="20"/>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therein.</w:t>
            </w: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4280" w:type="dxa"/>
            <w:vAlign w:val="bottom"/>
          </w:tcPr>
          <w:p>
            <w:pPr>
              <w:ind w:left="360"/>
              <w:spacing w:after="0"/>
              <w:rPr>
                <w:sz w:val="20"/>
                <w:szCs w:val="20"/>
                <w:color w:val="auto"/>
              </w:rPr>
            </w:pPr>
            <w:r>
              <w:rPr>
                <w:rFonts w:ascii="Arial" w:cs="Arial" w:eastAsia="Arial" w:hAnsi="Arial"/>
                <w:sz w:val="18"/>
                <w:szCs w:val="18"/>
                <w:color w:val="auto"/>
                <w:w w:val="97"/>
              </w:rPr>
              <w:t>Certification of Chief Executive Officer pursuant to</w:t>
            </w:r>
          </w:p>
        </w:tc>
      </w:tr>
      <w:tr>
        <w:trPr>
          <w:trHeight w:val="216"/>
        </w:trPr>
        <w:tc>
          <w:tcPr>
            <w:tcW w:w="68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w w:val="88"/>
              </w:rPr>
              <w:t>Rules 13a-14(a) and 15d-14(a), as adopted pursuant to</w:t>
            </w:r>
          </w:p>
        </w:tc>
      </w:tr>
      <w:tr>
        <w:trPr>
          <w:trHeight w:val="230"/>
        </w:trPr>
        <w:tc>
          <w:tcPr>
            <w:tcW w:w="680" w:type="dxa"/>
            <w:vAlign w:val="bottom"/>
          </w:tcPr>
          <w:p>
            <w:pPr>
              <w:spacing w:after="0"/>
              <w:rPr>
                <w:sz w:val="20"/>
                <w:szCs w:val="20"/>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Section 302 of the Sarbanes-Oxley Act of 2002.</w:t>
            </w: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19"/>
        <w:spacing w:after="0" w:line="259" w:lineRule="auto"/>
        <w:rPr>
          <w:sz w:val="20"/>
          <w:szCs w:val="20"/>
          <w:color w:val="auto"/>
        </w:rPr>
      </w:pPr>
      <w:r>
        <w:rPr>
          <w:rFonts w:ascii="Arial" w:cs="Arial" w:eastAsia="Arial" w:hAnsi="Arial"/>
          <w:sz w:val="18"/>
          <w:szCs w:val="18"/>
          <w:color w:val="auto"/>
        </w:rPr>
        <w:t>Incorporated by reference to Exhibit 4.2 to Amendment No. 2 to the University’s Registration Statement on Form S-1 filed with the SEC on September 29,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840" w:space="320"/>
            <w:col w:w="4059"/>
          </w:cols>
          <w:pgMar w:left="240" w:top="405" w:right="1440" w:bottom="1440" w:gutter="0" w:footer="0" w:header="0"/>
          <w:type w:val="continuous"/>
        </w:sectPr>
      </w:pPr>
    </w:p>
    <w:p>
      <w:pPr>
        <w:spacing w:after="0" w:line="2"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446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w:t>
            </w:r>
          </w:p>
        </w:tc>
        <w:tc>
          <w:tcPr>
            <w:tcW w:w="1240" w:type="dxa"/>
            <w:vAlign w:val="bottom"/>
          </w:tcPr>
          <w:p>
            <w:pPr>
              <w:ind w:left="140"/>
              <w:spacing w:after="0"/>
              <w:rPr>
                <w:sz w:val="20"/>
                <w:szCs w:val="20"/>
                <w:color w:val="auto"/>
              </w:rPr>
            </w:pPr>
            <w:r>
              <w:rPr>
                <w:rFonts w:ascii="Arial" w:cs="Arial" w:eastAsia="Arial" w:hAnsi="Arial"/>
                <w:sz w:val="18"/>
                <w:szCs w:val="18"/>
                <w:color w:val="auto"/>
                <w:w w:val="92"/>
              </w:rPr>
              <w:t>Filed herewith.</w:t>
            </w:r>
          </w:p>
        </w:tc>
      </w:tr>
      <w:tr>
        <w:trPr>
          <w:trHeight w:val="216"/>
        </w:trPr>
        <w:tc>
          <w:tcPr>
            <w:tcW w:w="680" w:type="dxa"/>
            <w:vAlign w:val="bottom"/>
          </w:tcPr>
          <w:p>
            <w:pPr>
              <w:spacing w:after="0"/>
              <w:rPr>
                <w:sz w:val="18"/>
                <w:szCs w:val="18"/>
                <w:color w:val="auto"/>
              </w:rPr>
            </w:pPr>
          </w:p>
        </w:tc>
        <w:tc>
          <w:tcPr>
            <w:tcW w:w="4460" w:type="dxa"/>
            <w:vAlign w:val="bottom"/>
          </w:tcPr>
          <w:p>
            <w:pPr>
              <w:ind w:left="360"/>
              <w:spacing w:after="0"/>
              <w:rPr>
                <w:sz w:val="20"/>
                <w:szCs w:val="20"/>
                <w:color w:val="auto"/>
              </w:rPr>
            </w:pPr>
            <w:r>
              <w:rPr>
                <w:rFonts w:ascii="Arial" w:cs="Arial" w:eastAsia="Arial" w:hAnsi="Arial"/>
                <w:sz w:val="18"/>
                <w:szCs w:val="18"/>
                <w:color w:val="auto"/>
                <w:w w:val="92"/>
              </w:rPr>
              <w:t>Rules 13a-14(a) and 15d-14(a), as adopted pursuant to</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460" w:type="dxa"/>
            <w:vAlign w:val="bottom"/>
          </w:tcPr>
          <w:p>
            <w:pPr>
              <w:ind w:left="360"/>
              <w:spacing w:after="0"/>
              <w:rPr>
                <w:sz w:val="20"/>
                <w:szCs w:val="20"/>
                <w:color w:val="auto"/>
              </w:rPr>
            </w:pPr>
            <w:r>
              <w:rPr>
                <w:rFonts w:ascii="Arial" w:cs="Arial" w:eastAsia="Arial" w:hAnsi="Arial"/>
                <w:sz w:val="18"/>
                <w:szCs w:val="18"/>
                <w:color w:val="auto"/>
              </w:rPr>
              <w:t>Section 302 of the Sarbanes-Oxley Act of 2002.</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32.1</w:t>
            </w:r>
          </w:p>
        </w:tc>
        <w:tc>
          <w:tcPr>
            <w:tcW w:w="4460" w:type="dxa"/>
            <w:vAlign w:val="bottom"/>
          </w:tcPr>
          <w:p>
            <w:pPr>
              <w:ind w:left="360"/>
              <w:spacing w:after="0"/>
              <w:rPr>
                <w:sz w:val="20"/>
                <w:szCs w:val="20"/>
                <w:color w:val="auto"/>
              </w:rPr>
            </w:pPr>
            <w:r>
              <w:rPr>
                <w:rFonts w:ascii="Arial" w:cs="Arial" w:eastAsia="Arial" w:hAnsi="Arial"/>
                <w:sz w:val="18"/>
                <w:szCs w:val="18"/>
                <w:color w:val="auto"/>
                <w:w w:val="96"/>
              </w:rPr>
              <w:t>Certification of Chief Executive Officer pursuant to 18</w:t>
            </w:r>
          </w:p>
        </w:tc>
        <w:tc>
          <w:tcPr>
            <w:tcW w:w="1240" w:type="dxa"/>
            <w:vAlign w:val="bottom"/>
          </w:tcPr>
          <w:p>
            <w:pPr>
              <w:ind w:left="140"/>
              <w:spacing w:after="0"/>
              <w:rPr>
                <w:sz w:val="20"/>
                <w:szCs w:val="20"/>
                <w:color w:val="auto"/>
              </w:rPr>
            </w:pPr>
            <w:r>
              <w:rPr>
                <w:rFonts w:ascii="Arial" w:cs="Arial" w:eastAsia="Arial" w:hAnsi="Arial"/>
                <w:sz w:val="18"/>
                <w:szCs w:val="18"/>
                <w:color w:val="auto"/>
                <w:w w:val="92"/>
              </w:rPr>
              <w:t>Filed herewith.</w:t>
            </w:r>
          </w:p>
        </w:tc>
      </w:tr>
      <w:tr>
        <w:trPr>
          <w:trHeight w:val="216"/>
        </w:trPr>
        <w:tc>
          <w:tcPr>
            <w:tcW w:w="680" w:type="dxa"/>
            <w:vAlign w:val="bottom"/>
          </w:tcPr>
          <w:p>
            <w:pPr>
              <w:spacing w:after="0"/>
              <w:rPr>
                <w:sz w:val="18"/>
                <w:szCs w:val="18"/>
                <w:color w:val="auto"/>
              </w:rPr>
            </w:pPr>
          </w:p>
        </w:tc>
        <w:tc>
          <w:tcPr>
            <w:tcW w:w="4460" w:type="dxa"/>
            <w:vAlign w:val="bottom"/>
          </w:tcPr>
          <w:p>
            <w:pPr>
              <w:ind w:left="360"/>
              <w:spacing w:after="0"/>
              <w:rPr>
                <w:sz w:val="20"/>
                <w:szCs w:val="20"/>
                <w:color w:val="auto"/>
              </w:rPr>
            </w:pPr>
            <w:r>
              <w:rPr>
                <w:rFonts w:ascii="Arial" w:cs="Arial" w:eastAsia="Arial" w:hAnsi="Arial"/>
                <w:sz w:val="18"/>
                <w:szCs w:val="18"/>
                <w:color w:val="auto"/>
              </w:rPr>
              <w:t>U.S.C. Section 1350, as adopted pursuant to</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460" w:type="dxa"/>
            <w:vAlign w:val="bottom"/>
          </w:tcPr>
          <w:p>
            <w:pPr>
              <w:ind w:left="360"/>
              <w:spacing w:after="0"/>
              <w:rPr>
                <w:sz w:val="20"/>
                <w:szCs w:val="20"/>
                <w:color w:val="auto"/>
              </w:rPr>
            </w:pPr>
            <w:r>
              <w:rPr>
                <w:rFonts w:ascii="Arial" w:cs="Arial" w:eastAsia="Arial" w:hAnsi="Arial"/>
                <w:sz w:val="18"/>
                <w:szCs w:val="18"/>
                <w:color w:val="auto"/>
              </w:rPr>
              <w:t>Section 906 of the Sarbanes-Oxley Act of 2002. †</w:t>
            </w:r>
          </w:p>
        </w:tc>
        <w:tc>
          <w:tcPr>
            <w:tcW w:w="124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32.2</w:t>
            </w:r>
          </w:p>
        </w:tc>
        <w:tc>
          <w:tcPr>
            <w:tcW w:w="4460" w:type="dxa"/>
            <w:vAlign w:val="bottom"/>
          </w:tcPr>
          <w:p>
            <w:pPr>
              <w:ind w:left="360"/>
              <w:spacing w:after="0"/>
              <w:rPr>
                <w:sz w:val="20"/>
                <w:szCs w:val="20"/>
                <w:color w:val="auto"/>
              </w:rPr>
            </w:pPr>
            <w:r>
              <w:rPr>
                <w:rFonts w:ascii="Arial" w:cs="Arial" w:eastAsia="Arial" w:hAnsi="Arial"/>
                <w:sz w:val="18"/>
                <w:szCs w:val="18"/>
                <w:color w:val="auto"/>
                <w:w w:val="97"/>
              </w:rPr>
              <w:t>Certification of Chief Financial Officer pursuant to 18</w:t>
            </w:r>
          </w:p>
        </w:tc>
        <w:tc>
          <w:tcPr>
            <w:tcW w:w="1240" w:type="dxa"/>
            <w:vAlign w:val="bottom"/>
          </w:tcPr>
          <w:p>
            <w:pPr>
              <w:ind w:left="140"/>
              <w:spacing w:after="0"/>
              <w:rPr>
                <w:sz w:val="20"/>
                <w:szCs w:val="20"/>
                <w:color w:val="auto"/>
              </w:rPr>
            </w:pPr>
            <w:r>
              <w:rPr>
                <w:rFonts w:ascii="Arial" w:cs="Arial" w:eastAsia="Arial" w:hAnsi="Arial"/>
                <w:sz w:val="18"/>
                <w:szCs w:val="18"/>
                <w:color w:val="auto"/>
                <w:w w:val="92"/>
              </w:rPr>
              <w:t>Filed herewith.</w:t>
            </w:r>
          </w:p>
        </w:tc>
      </w:tr>
      <w:tr>
        <w:trPr>
          <w:trHeight w:val="216"/>
        </w:trPr>
        <w:tc>
          <w:tcPr>
            <w:tcW w:w="680" w:type="dxa"/>
            <w:vAlign w:val="bottom"/>
          </w:tcPr>
          <w:p>
            <w:pPr>
              <w:spacing w:after="0"/>
              <w:rPr>
                <w:sz w:val="18"/>
                <w:szCs w:val="18"/>
                <w:color w:val="auto"/>
              </w:rPr>
            </w:pPr>
          </w:p>
        </w:tc>
        <w:tc>
          <w:tcPr>
            <w:tcW w:w="4460" w:type="dxa"/>
            <w:vAlign w:val="bottom"/>
          </w:tcPr>
          <w:p>
            <w:pPr>
              <w:ind w:left="360"/>
              <w:spacing w:after="0"/>
              <w:rPr>
                <w:sz w:val="20"/>
                <w:szCs w:val="20"/>
                <w:color w:val="auto"/>
              </w:rPr>
            </w:pPr>
            <w:r>
              <w:rPr>
                <w:rFonts w:ascii="Arial" w:cs="Arial" w:eastAsia="Arial" w:hAnsi="Arial"/>
                <w:sz w:val="18"/>
                <w:szCs w:val="18"/>
                <w:color w:val="auto"/>
              </w:rPr>
              <w:t>U.S.C. Section 1350, as adopted pursuant to</w:t>
            </w:r>
          </w:p>
        </w:tc>
        <w:tc>
          <w:tcPr>
            <w:tcW w:w="12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460" w:type="dxa"/>
            <w:vAlign w:val="bottom"/>
          </w:tcPr>
          <w:p>
            <w:pPr>
              <w:ind w:left="360"/>
              <w:spacing w:after="0"/>
              <w:rPr>
                <w:sz w:val="20"/>
                <w:szCs w:val="20"/>
                <w:color w:val="auto"/>
              </w:rPr>
            </w:pPr>
            <w:r>
              <w:rPr>
                <w:rFonts w:ascii="Arial" w:cs="Arial" w:eastAsia="Arial" w:hAnsi="Arial"/>
                <w:sz w:val="18"/>
                <w:szCs w:val="18"/>
                <w:color w:val="auto"/>
              </w:rPr>
              <w:t>Section 906 of the Sarbanes-Oxley Act of 2002. †</w:t>
            </w:r>
          </w:p>
        </w:tc>
        <w:tc>
          <w:tcPr>
            <w:tcW w:w="1240" w:type="dxa"/>
            <w:vAlign w:val="bottom"/>
          </w:tcPr>
          <w:p>
            <w:pPr>
              <w:spacing w:after="0"/>
              <w:rPr>
                <w:sz w:val="20"/>
                <w:szCs w:val="20"/>
                <w:color w:val="auto"/>
              </w:rPr>
            </w:pPr>
          </w:p>
        </w:tc>
      </w:tr>
    </w:tbl>
    <w:p>
      <w:pPr>
        <w:spacing w:after="0" w:line="107" w:lineRule="exact"/>
        <w:rPr>
          <w:sz w:val="20"/>
          <w:szCs w:val="20"/>
          <w:color w:val="auto"/>
        </w:rPr>
      </w:pPr>
    </w:p>
    <w:p>
      <w:pPr>
        <w:ind w:left="720" w:right="419" w:hanging="388"/>
        <w:spacing w:after="0" w:line="286"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ectPr>
          <w:pgSz w:w="11900" w:h="16838" w:orient="portrait"/>
          <w:cols w:equalWidth="0" w:num="1">
            <w:col w:w="10219"/>
          </w:cols>
          <w:pgMar w:left="240" w:top="405" w:right="1440" w:bottom="1440" w:gutter="0" w:footer="0" w:header="0"/>
          <w:type w:val="continuous"/>
        </w:sectPr>
      </w:pPr>
    </w:p>
    <w:bookmarkStart w:id="38" w:name="page39"/>
    <w:bookmarkEnd w:id="38"/>
    <w:p>
      <w:pPr>
        <w:jc w:val="right"/>
        <w:ind w:right="159"/>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2008 Equity Incentive Plan</w:t>
      </w:r>
    </w:p>
    <w:p>
      <w:pPr>
        <w:spacing w:after="0" w:line="185" w:lineRule="exact"/>
        <w:rPr>
          <w:sz w:val="20"/>
          <w:szCs w:val="20"/>
          <w:color w:val="auto"/>
        </w:rPr>
      </w:pPr>
    </w:p>
    <w:p>
      <w:pPr>
        <w:jc w:val="center"/>
        <w:ind w:right="1039"/>
        <w:spacing w:after="0"/>
        <w:rPr>
          <w:sz w:val="20"/>
          <w:szCs w:val="20"/>
          <w:color w:val="auto"/>
        </w:rPr>
      </w:pPr>
      <w:r>
        <w:rPr>
          <w:rFonts w:ascii="Arial" w:cs="Arial" w:eastAsia="Arial" w:hAnsi="Arial"/>
          <w:sz w:val="16"/>
          <w:szCs w:val="16"/>
          <w:b w:val="1"/>
          <w:bCs w:val="1"/>
          <w:color w:val="auto"/>
        </w:rPr>
        <w:t>(As Amended Through March 24,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415925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8220" w:type="dxa"/>
            <w:vAlign w:val="bottom"/>
          </w:tcPr>
          <w:p>
            <w:pPr>
              <w:ind w:left="3500"/>
              <w:spacing w:after="0"/>
              <w:rPr>
                <w:sz w:val="20"/>
                <w:szCs w:val="20"/>
                <w:color w:val="auto"/>
              </w:rPr>
            </w:pPr>
            <w:r>
              <w:rPr>
                <w:rFonts w:ascii="Arial" w:cs="Arial" w:eastAsia="Arial" w:hAnsi="Arial"/>
                <w:sz w:val="18"/>
                <w:szCs w:val="18"/>
                <w:color w:val="auto"/>
              </w:rPr>
              <w:t>TABLE OF CONTENTS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Page</w:t>
            </w:r>
          </w:p>
        </w:tc>
      </w:tr>
      <w:tr>
        <w:trPr>
          <w:trHeight w:val="210"/>
        </w:trPr>
        <w:tc>
          <w:tcPr>
            <w:tcW w:w="44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Establishment, Purpose and Term of Plan</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8220" w:type="dxa"/>
            <w:vAlign w:val="bottom"/>
          </w:tcPr>
          <w:p>
            <w:pPr>
              <w:ind w:left="20"/>
              <w:spacing w:after="0"/>
              <w:rPr>
                <w:sz w:val="20"/>
                <w:szCs w:val="20"/>
                <w:color w:val="auto"/>
              </w:rPr>
            </w:pPr>
            <w:r>
              <w:rPr>
                <w:rFonts w:ascii="Arial" w:cs="Arial" w:eastAsia="Arial" w:hAnsi="Arial"/>
                <w:sz w:val="18"/>
                <w:szCs w:val="18"/>
                <w:color w:val="auto"/>
              </w:rPr>
              <w:t>Establishment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Purpose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30"/>
        </w:trPr>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8220" w:type="dxa"/>
            <w:vAlign w:val="bottom"/>
          </w:tcPr>
          <w:p>
            <w:pPr>
              <w:ind w:left="20"/>
              <w:spacing w:after="0"/>
              <w:rPr>
                <w:sz w:val="20"/>
                <w:szCs w:val="20"/>
                <w:color w:val="auto"/>
              </w:rPr>
            </w:pPr>
            <w:r>
              <w:rPr>
                <w:rFonts w:ascii="Arial" w:cs="Arial" w:eastAsia="Arial" w:hAnsi="Arial"/>
                <w:sz w:val="18"/>
                <w:szCs w:val="18"/>
                <w:color w:val="auto"/>
              </w:rPr>
              <w:t>Term of Plan</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02"/>
        </w:trPr>
        <w:tc>
          <w:tcPr>
            <w:tcW w:w="86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 Definitions and Construction</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8220" w:type="dxa"/>
            <w:vAlign w:val="bottom"/>
          </w:tcPr>
          <w:p>
            <w:pPr>
              <w:ind w:left="20"/>
              <w:spacing w:after="0"/>
              <w:rPr>
                <w:sz w:val="20"/>
                <w:szCs w:val="20"/>
                <w:color w:val="auto"/>
              </w:rPr>
            </w:pPr>
            <w:r>
              <w:rPr>
                <w:rFonts w:ascii="Arial" w:cs="Arial" w:eastAsia="Arial" w:hAnsi="Arial"/>
                <w:sz w:val="18"/>
                <w:szCs w:val="18"/>
                <w:color w:val="auto"/>
              </w:rPr>
              <w:t>Definitions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3. Administration</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Administration by the Committee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8220" w:type="dxa"/>
            <w:vAlign w:val="bottom"/>
          </w:tcPr>
          <w:p>
            <w:pPr>
              <w:ind w:left="20"/>
              <w:spacing w:after="0"/>
              <w:rPr>
                <w:sz w:val="20"/>
                <w:szCs w:val="20"/>
                <w:color w:val="auto"/>
              </w:rPr>
            </w:pPr>
            <w:r>
              <w:rPr>
                <w:rFonts w:ascii="Arial" w:cs="Arial" w:eastAsia="Arial" w:hAnsi="Arial"/>
                <w:sz w:val="18"/>
                <w:szCs w:val="18"/>
                <w:color w:val="auto"/>
              </w:rPr>
              <w:t>Authority of Officers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Administration with Respect to Insiders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8220" w:type="dxa"/>
            <w:vAlign w:val="bottom"/>
          </w:tcPr>
          <w:p>
            <w:pPr>
              <w:ind w:left="20"/>
              <w:spacing w:after="0"/>
              <w:rPr>
                <w:sz w:val="20"/>
                <w:szCs w:val="20"/>
                <w:color w:val="auto"/>
              </w:rPr>
            </w:pPr>
            <w:r>
              <w:rPr>
                <w:rFonts w:ascii="Arial" w:cs="Arial" w:eastAsia="Arial" w:hAnsi="Arial"/>
                <w:sz w:val="18"/>
                <w:szCs w:val="18"/>
                <w:color w:val="auto"/>
              </w:rPr>
              <w:t>Committee Complying with Section 162(m)</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Powers of the Committee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30"/>
        </w:trPr>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8220" w:type="dxa"/>
            <w:vAlign w:val="bottom"/>
          </w:tcPr>
          <w:p>
            <w:pPr>
              <w:ind w:left="20"/>
              <w:spacing w:after="0"/>
              <w:rPr>
                <w:sz w:val="20"/>
                <w:szCs w:val="20"/>
                <w:color w:val="auto"/>
              </w:rPr>
            </w:pPr>
            <w:r>
              <w:rPr>
                <w:rFonts w:ascii="Arial" w:cs="Arial" w:eastAsia="Arial" w:hAnsi="Arial"/>
                <w:sz w:val="18"/>
                <w:szCs w:val="18"/>
                <w:color w:val="auto"/>
              </w:rPr>
              <w:t>Indemnification</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02"/>
        </w:trPr>
        <w:tc>
          <w:tcPr>
            <w:tcW w:w="86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 Shares Subject to Plan</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8220" w:type="dxa"/>
            <w:vAlign w:val="bottom"/>
          </w:tcPr>
          <w:p>
            <w:pPr>
              <w:ind w:left="20"/>
              <w:spacing w:after="0"/>
              <w:rPr>
                <w:sz w:val="20"/>
                <w:szCs w:val="20"/>
                <w:color w:val="auto"/>
              </w:rPr>
            </w:pPr>
            <w:r>
              <w:rPr>
                <w:rFonts w:ascii="Arial" w:cs="Arial" w:eastAsia="Arial" w:hAnsi="Arial"/>
                <w:sz w:val="18"/>
                <w:szCs w:val="18"/>
                <w:color w:val="auto"/>
              </w:rPr>
              <w:t>Maximum Number of Shares Issuable</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Increase in Maximum Number of Shares Issuable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8220" w:type="dxa"/>
            <w:vAlign w:val="bottom"/>
          </w:tcPr>
          <w:p>
            <w:pPr>
              <w:ind w:left="20"/>
              <w:spacing w:after="0"/>
              <w:rPr>
                <w:sz w:val="20"/>
                <w:szCs w:val="20"/>
                <w:color w:val="auto"/>
              </w:rPr>
            </w:pPr>
            <w:r>
              <w:rPr>
                <w:rFonts w:ascii="Arial" w:cs="Arial" w:eastAsia="Arial" w:hAnsi="Arial"/>
                <w:sz w:val="18"/>
                <w:szCs w:val="18"/>
                <w:color w:val="auto"/>
              </w:rPr>
              <w:t>Share Accounting</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for Changes in Capital Structure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5. Eligibility, Participation and Award Limitations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Persons Eligible for Awards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8220" w:type="dxa"/>
            <w:vAlign w:val="bottom"/>
          </w:tcPr>
          <w:p>
            <w:pPr>
              <w:ind w:left="20"/>
              <w:spacing w:after="0"/>
              <w:rPr>
                <w:sz w:val="20"/>
                <w:szCs w:val="20"/>
                <w:color w:val="auto"/>
              </w:rPr>
            </w:pPr>
            <w:r>
              <w:rPr>
                <w:rFonts w:ascii="Arial" w:cs="Arial" w:eastAsia="Arial" w:hAnsi="Arial"/>
                <w:sz w:val="18"/>
                <w:szCs w:val="18"/>
                <w:color w:val="auto"/>
              </w:rPr>
              <w:t>Participation in the Plan</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Incentive Stock Option Limitations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30"/>
        </w:trPr>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8220" w:type="dxa"/>
            <w:vAlign w:val="bottom"/>
          </w:tcPr>
          <w:p>
            <w:pPr>
              <w:ind w:left="20"/>
              <w:spacing w:after="0"/>
              <w:rPr>
                <w:sz w:val="20"/>
                <w:szCs w:val="20"/>
                <w:color w:val="auto"/>
              </w:rPr>
            </w:pPr>
            <w:r>
              <w:rPr>
                <w:rFonts w:ascii="Arial" w:cs="Arial" w:eastAsia="Arial" w:hAnsi="Arial"/>
                <w:sz w:val="18"/>
                <w:szCs w:val="18"/>
                <w:color w:val="auto"/>
              </w:rPr>
              <w:t>Section 162(m) Award Limits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02"/>
        </w:trPr>
        <w:tc>
          <w:tcPr>
            <w:tcW w:w="86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Stock Options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822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Exercisability and Term of Options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8220" w:type="dxa"/>
            <w:vAlign w:val="bottom"/>
          </w:tcPr>
          <w:p>
            <w:pPr>
              <w:ind w:left="20"/>
              <w:spacing w:after="0"/>
              <w:rPr>
                <w:sz w:val="20"/>
                <w:szCs w:val="20"/>
                <w:color w:val="auto"/>
              </w:rPr>
            </w:pPr>
            <w:r>
              <w:rPr>
                <w:rFonts w:ascii="Arial" w:cs="Arial" w:eastAsia="Arial" w:hAnsi="Arial"/>
                <w:sz w:val="18"/>
                <w:szCs w:val="18"/>
                <w:color w:val="auto"/>
              </w:rPr>
              <w:t>Payment of Exercise Price</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Termination of Service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30"/>
        </w:trPr>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8220" w:type="dxa"/>
            <w:vAlign w:val="bottom"/>
          </w:tcPr>
          <w:p>
            <w:pPr>
              <w:ind w:left="20"/>
              <w:spacing w:after="0"/>
              <w:rPr>
                <w:sz w:val="20"/>
                <w:szCs w:val="20"/>
                <w:color w:val="auto"/>
              </w:rPr>
            </w:pPr>
            <w:r>
              <w:rPr>
                <w:rFonts w:ascii="Arial" w:cs="Arial" w:eastAsia="Arial" w:hAnsi="Arial"/>
                <w:sz w:val="18"/>
                <w:szCs w:val="18"/>
                <w:color w:val="auto"/>
              </w:rPr>
              <w:t>Transferability of Options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02"/>
        </w:trPr>
        <w:tc>
          <w:tcPr>
            <w:tcW w:w="86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 Stock Appreciation Rights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8220" w:type="dxa"/>
            <w:vAlign w:val="bottom"/>
          </w:tcPr>
          <w:p>
            <w:pPr>
              <w:ind w:left="20"/>
              <w:spacing w:after="0"/>
              <w:rPr>
                <w:sz w:val="20"/>
                <w:szCs w:val="20"/>
                <w:color w:val="auto"/>
              </w:rPr>
            </w:pPr>
            <w:r>
              <w:rPr>
                <w:rFonts w:ascii="Arial" w:cs="Arial" w:eastAsia="Arial" w:hAnsi="Arial"/>
                <w:sz w:val="18"/>
                <w:szCs w:val="18"/>
                <w:color w:val="auto"/>
              </w:rPr>
              <w:t>Types of SARs Authorized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30"/>
        </w:trPr>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8220" w:type="dxa"/>
            <w:vAlign w:val="bottom"/>
          </w:tcPr>
          <w:p>
            <w:pPr>
              <w:ind w:left="20"/>
              <w:spacing w:after="0"/>
              <w:rPr>
                <w:sz w:val="20"/>
                <w:szCs w:val="20"/>
                <w:color w:val="auto"/>
              </w:rPr>
            </w:pPr>
            <w:r>
              <w:rPr>
                <w:rFonts w:ascii="Arial" w:cs="Arial" w:eastAsia="Arial" w:hAnsi="Arial"/>
                <w:sz w:val="18"/>
                <w:szCs w:val="18"/>
                <w:color w:val="auto"/>
              </w:rPr>
              <w:t>Exercisability and Term of SARs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bl>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20" w:type="dxa"/>
            <w:vAlign w:val="bottom"/>
          </w:tcPr>
          <w:p>
            <w:pPr>
              <w:ind w:left="3400"/>
              <w:spacing w:after="0"/>
              <w:rPr>
                <w:sz w:val="20"/>
                <w:szCs w:val="20"/>
                <w:color w:val="auto"/>
              </w:rPr>
            </w:pPr>
            <w:r>
              <w:rPr>
                <w:rFonts w:ascii="Arial" w:cs="Arial" w:eastAsia="Arial" w:hAnsi="Arial"/>
                <w:sz w:val="18"/>
                <w:szCs w:val="18"/>
                <w:color w:val="auto"/>
              </w:rPr>
              <w:t>TABLE OF CONTENTS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120" w:type="dxa"/>
            <w:vAlign w:val="bottom"/>
          </w:tcPr>
          <w:p>
            <w:pPr>
              <w:ind w:left="3900"/>
              <w:spacing w:after="0"/>
              <w:rPr>
                <w:sz w:val="20"/>
                <w:szCs w:val="20"/>
                <w:color w:val="auto"/>
              </w:rPr>
            </w:pPr>
            <w:r>
              <w:rPr>
                <w:rFonts w:ascii="Arial" w:cs="Arial" w:eastAsia="Arial" w:hAnsi="Arial"/>
                <w:sz w:val="18"/>
                <w:szCs w:val="18"/>
                <w:color w:val="auto"/>
              </w:rPr>
              <w:t>(continued)</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Page</w:t>
            </w:r>
          </w:p>
        </w:tc>
      </w:t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7.4</w:t>
            </w:r>
          </w:p>
        </w:tc>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 of SARs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440" w:type="dxa"/>
            <w:vAlign w:val="bottom"/>
          </w:tcPr>
          <w:p>
            <w:pPr>
              <w:ind w:left="200"/>
              <w:spacing w:after="0"/>
              <w:rPr>
                <w:sz w:val="20"/>
                <w:szCs w:val="20"/>
                <w:color w:val="auto"/>
              </w:rPr>
            </w:pPr>
            <w:r>
              <w:rPr>
                <w:rFonts w:ascii="Arial" w:cs="Arial" w:eastAsia="Arial" w:hAnsi="Arial"/>
                <w:sz w:val="18"/>
                <w:szCs w:val="18"/>
                <w:color w:val="auto"/>
                <w:w w:val="87"/>
              </w:rPr>
              <w:t>7.5</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Deemed Exercise of SARs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7.6</w:t>
            </w:r>
          </w:p>
        </w:tc>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Termination of Service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30"/>
        </w:trPr>
        <w:tc>
          <w:tcPr>
            <w:tcW w:w="440" w:type="dxa"/>
            <w:vAlign w:val="bottom"/>
          </w:tcPr>
          <w:p>
            <w:pPr>
              <w:ind w:left="200"/>
              <w:spacing w:after="0"/>
              <w:rPr>
                <w:sz w:val="20"/>
                <w:szCs w:val="20"/>
                <w:color w:val="auto"/>
              </w:rPr>
            </w:pPr>
            <w:r>
              <w:rPr>
                <w:rFonts w:ascii="Arial" w:cs="Arial" w:eastAsia="Arial" w:hAnsi="Arial"/>
                <w:sz w:val="18"/>
                <w:szCs w:val="18"/>
                <w:color w:val="auto"/>
                <w:w w:val="87"/>
              </w:rPr>
              <w:t>7.7</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Transferability of SARs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02"/>
        </w:trPr>
        <w:tc>
          <w:tcPr>
            <w:tcW w:w="86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8. Restricted Stock Awards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40" w:type="dxa"/>
            <w:vAlign w:val="bottom"/>
          </w:tcPr>
          <w:p>
            <w:pPr>
              <w:ind w:left="200"/>
              <w:spacing w:after="0"/>
              <w:rPr>
                <w:sz w:val="20"/>
                <w:szCs w:val="20"/>
                <w:color w:val="auto"/>
              </w:rPr>
            </w:pPr>
            <w:r>
              <w:rPr>
                <w:rFonts w:ascii="Arial" w:cs="Arial" w:eastAsia="Arial" w:hAnsi="Arial"/>
                <w:sz w:val="18"/>
                <w:szCs w:val="18"/>
                <w:color w:val="auto"/>
                <w:w w:val="87"/>
              </w:rPr>
              <w:t>8.1</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Types of Restricted Stock Awards Authorized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8.2</w:t>
            </w:r>
          </w:p>
        </w:tc>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40" w:type="dxa"/>
            <w:vAlign w:val="bottom"/>
          </w:tcPr>
          <w:p>
            <w:pPr>
              <w:ind w:left="200"/>
              <w:spacing w:after="0"/>
              <w:rPr>
                <w:sz w:val="20"/>
                <w:szCs w:val="20"/>
                <w:color w:val="auto"/>
              </w:rPr>
            </w:pPr>
            <w:r>
              <w:rPr>
                <w:rFonts w:ascii="Arial" w:cs="Arial" w:eastAsia="Arial" w:hAnsi="Arial"/>
                <w:sz w:val="18"/>
                <w:szCs w:val="18"/>
                <w:color w:val="auto"/>
                <w:w w:val="87"/>
              </w:rPr>
              <w:t>8.3</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Purchase Period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8.4</w:t>
            </w:r>
          </w:p>
        </w:tc>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 of Purchase Price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40" w:type="dxa"/>
            <w:vAlign w:val="bottom"/>
          </w:tcPr>
          <w:p>
            <w:pPr>
              <w:ind w:left="200"/>
              <w:spacing w:after="0"/>
              <w:rPr>
                <w:sz w:val="20"/>
                <w:szCs w:val="20"/>
                <w:color w:val="auto"/>
              </w:rPr>
            </w:pPr>
            <w:r>
              <w:rPr>
                <w:rFonts w:ascii="Arial" w:cs="Arial" w:eastAsia="Arial" w:hAnsi="Arial"/>
                <w:sz w:val="18"/>
                <w:szCs w:val="18"/>
                <w:color w:val="auto"/>
                <w:w w:val="87"/>
              </w:rPr>
              <w:t>8.5</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Vesting and Restrictions on Transfer</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8.6</w:t>
            </w:r>
          </w:p>
        </w:tc>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Voting Rights; Dividends and Distributions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440" w:type="dxa"/>
            <w:vAlign w:val="bottom"/>
          </w:tcPr>
          <w:p>
            <w:pPr>
              <w:ind w:left="200"/>
              <w:spacing w:after="0"/>
              <w:rPr>
                <w:sz w:val="20"/>
                <w:szCs w:val="20"/>
                <w:color w:val="auto"/>
              </w:rPr>
            </w:pPr>
            <w:r>
              <w:rPr>
                <w:rFonts w:ascii="Arial" w:cs="Arial" w:eastAsia="Arial" w:hAnsi="Arial"/>
                <w:sz w:val="18"/>
                <w:szCs w:val="18"/>
                <w:color w:val="auto"/>
                <w:w w:val="87"/>
              </w:rPr>
              <w:t>8.7</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Effect of Termination of Service</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8.8</w:t>
            </w:r>
          </w:p>
        </w:tc>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Nontransferability of Restricted Stock Award Rights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432"/>
        </w:trPr>
        <w:tc>
          <w:tcPr>
            <w:tcW w:w="8660" w:type="dxa"/>
            <w:vAlign w:val="bottom"/>
            <w:gridSpan w:val="3"/>
          </w:tcPr>
          <w:p>
            <w:pPr>
              <w:spacing w:after="0"/>
              <w:rPr>
                <w:sz w:val="20"/>
                <w:szCs w:val="20"/>
                <w:color w:val="auto"/>
              </w:rPr>
            </w:pPr>
            <w:r>
              <w:rPr>
                <w:rFonts w:ascii="Arial" w:cs="Arial" w:eastAsia="Arial" w:hAnsi="Arial"/>
                <w:sz w:val="18"/>
                <w:szCs w:val="18"/>
                <w:color w:val="auto"/>
              </w:rPr>
              <w:t>9. Restricted Stock Unit Awards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9.1</w:t>
            </w:r>
          </w:p>
        </w:tc>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 of Restricted Stock Unit Awards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440" w:type="dxa"/>
            <w:vAlign w:val="bottom"/>
          </w:tcPr>
          <w:p>
            <w:pPr>
              <w:ind w:left="200"/>
              <w:spacing w:after="0"/>
              <w:rPr>
                <w:sz w:val="20"/>
                <w:szCs w:val="20"/>
                <w:color w:val="auto"/>
              </w:rPr>
            </w:pPr>
            <w:r>
              <w:rPr>
                <w:rFonts w:ascii="Arial" w:cs="Arial" w:eastAsia="Arial" w:hAnsi="Arial"/>
                <w:sz w:val="18"/>
                <w:szCs w:val="18"/>
                <w:color w:val="auto"/>
                <w:w w:val="87"/>
              </w:rPr>
              <w:t>9.2</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Purchase Price</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9.3</w:t>
            </w:r>
          </w:p>
        </w:tc>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Vesting</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440" w:type="dxa"/>
            <w:vAlign w:val="bottom"/>
          </w:tcPr>
          <w:p>
            <w:pPr>
              <w:ind w:left="200"/>
              <w:spacing w:after="0"/>
              <w:rPr>
                <w:sz w:val="20"/>
                <w:szCs w:val="20"/>
                <w:color w:val="auto"/>
              </w:rPr>
            </w:pPr>
            <w:r>
              <w:rPr>
                <w:rFonts w:ascii="Arial" w:cs="Arial" w:eastAsia="Arial" w:hAnsi="Arial"/>
                <w:sz w:val="18"/>
                <w:szCs w:val="18"/>
                <w:color w:val="auto"/>
                <w:w w:val="87"/>
              </w:rPr>
              <w:t>9.4</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Voting Rights, Dividend Equivalent Rights and Distributions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9.5</w:t>
            </w:r>
          </w:p>
        </w:tc>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Termination of Service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440" w:type="dxa"/>
            <w:vAlign w:val="bottom"/>
          </w:tcPr>
          <w:p>
            <w:pPr>
              <w:ind w:left="200"/>
              <w:spacing w:after="0"/>
              <w:rPr>
                <w:sz w:val="20"/>
                <w:szCs w:val="20"/>
                <w:color w:val="auto"/>
              </w:rPr>
            </w:pPr>
            <w:r>
              <w:rPr>
                <w:rFonts w:ascii="Arial" w:cs="Arial" w:eastAsia="Arial" w:hAnsi="Arial"/>
                <w:sz w:val="18"/>
                <w:szCs w:val="18"/>
                <w:color w:val="auto"/>
                <w:w w:val="87"/>
              </w:rPr>
              <w:t>9.6</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Settlement of Restricted Stock Unit Awards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9.7</w:t>
            </w:r>
          </w:p>
        </w:tc>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Nontransferability of Restricted Stock Unit Awards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432"/>
        </w:trPr>
        <w:tc>
          <w:tcPr>
            <w:tcW w:w="8660" w:type="dxa"/>
            <w:vAlign w:val="bottom"/>
            <w:gridSpan w:val="3"/>
          </w:tcPr>
          <w:p>
            <w:pPr>
              <w:spacing w:after="0"/>
              <w:rPr>
                <w:sz w:val="20"/>
                <w:szCs w:val="20"/>
                <w:color w:val="auto"/>
              </w:rPr>
            </w:pPr>
            <w:r>
              <w:rPr>
                <w:rFonts w:ascii="Arial" w:cs="Arial" w:eastAsia="Arial" w:hAnsi="Arial"/>
                <w:sz w:val="18"/>
                <w:szCs w:val="18"/>
                <w:color w:val="auto"/>
              </w:rPr>
              <w:t>10. Performance Awards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10.1</w:t>
            </w: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Types of Performance Awards Authorized</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gridSpan w:val="2"/>
          </w:tcPr>
          <w:p>
            <w:pPr>
              <w:ind w:left="200"/>
              <w:spacing w:after="0"/>
              <w:rPr>
                <w:sz w:val="20"/>
                <w:szCs w:val="20"/>
                <w:color w:val="auto"/>
              </w:rPr>
            </w:pPr>
            <w:r>
              <w:rPr>
                <w:rFonts w:ascii="Arial" w:cs="Arial" w:eastAsia="Arial" w:hAnsi="Arial"/>
                <w:sz w:val="18"/>
                <w:szCs w:val="18"/>
                <w:color w:val="auto"/>
                <w:w w:val="91"/>
              </w:rPr>
              <w:t>10.2</w:t>
            </w:r>
          </w:p>
        </w:tc>
        <w:tc>
          <w:tcPr>
            <w:tcW w:w="8120" w:type="dxa"/>
            <w:vAlign w:val="bottom"/>
          </w:tcPr>
          <w:p>
            <w:pPr>
              <w:ind w:left="20"/>
              <w:spacing w:after="0"/>
              <w:rPr>
                <w:sz w:val="20"/>
                <w:szCs w:val="20"/>
                <w:color w:val="auto"/>
              </w:rPr>
            </w:pPr>
            <w:r>
              <w:rPr>
                <w:rFonts w:ascii="Arial" w:cs="Arial" w:eastAsia="Arial" w:hAnsi="Arial"/>
                <w:sz w:val="18"/>
                <w:szCs w:val="18"/>
                <w:color w:val="auto"/>
              </w:rPr>
              <w:t>Initial Value of Performance Shares and Performance Units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10.3</w:t>
            </w: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Establishment of Performance Period, Performance Goals and Performance Award Formula</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gridSpan w:val="2"/>
          </w:tcPr>
          <w:p>
            <w:pPr>
              <w:ind w:left="200"/>
              <w:spacing w:after="0"/>
              <w:rPr>
                <w:sz w:val="20"/>
                <w:szCs w:val="20"/>
                <w:color w:val="auto"/>
              </w:rPr>
            </w:pPr>
            <w:r>
              <w:rPr>
                <w:rFonts w:ascii="Arial" w:cs="Arial" w:eastAsia="Arial" w:hAnsi="Arial"/>
                <w:sz w:val="18"/>
                <w:szCs w:val="18"/>
                <w:color w:val="auto"/>
                <w:w w:val="91"/>
              </w:rPr>
              <w:t>10.4</w:t>
            </w:r>
          </w:p>
        </w:tc>
        <w:tc>
          <w:tcPr>
            <w:tcW w:w="8120" w:type="dxa"/>
            <w:vAlign w:val="bottom"/>
          </w:tcPr>
          <w:p>
            <w:pPr>
              <w:ind w:left="20"/>
              <w:spacing w:after="0"/>
              <w:rPr>
                <w:sz w:val="20"/>
                <w:szCs w:val="20"/>
                <w:color w:val="auto"/>
              </w:rPr>
            </w:pPr>
            <w:r>
              <w:rPr>
                <w:rFonts w:ascii="Arial" w:cs="Arial" w:eastAsia="Arial" w:hAnsi="Arial"/>
                <w:sz w:val="18"/>
                <w:szCs w:val="18"/>
                <w:color w:val="auto"/>
              </w:rPr>
              <w:t>Measurement of Performance Goals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10.5</w:t>
            </w: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Performance Awards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40" w:type="dxa"/>
            <w:vAlign w:val="bottom"/>
            <w:gridSpan w:val="2"/>
          </w:tcPr>
          <w:p>
            <w:pPr>
              <w:ind w:left="200"/>
              <w:spacing w:after="0"/>
              <w:rPr>
                <w:sz w:val="20"/>
                <w:szCs w:val="20"/>
                <w:color w:val="auto"/>
              </w:rPr>
            </w:pPr>
            <w:r>
              <w:rPr>
                <w:rFonts w:ascii="Arial" w:cs="Arial" w:eastAsia="Arial" w:hAnsi="Arial"/>
                <w:sz w:val="18"/>
                <w:szCs w:val="18"/>
                <w:color w:val="auto"/>
                <w:w w:val="91"/>
              </w:rPr>
              <w:t>10.6</w:t>
            </w:r>
          </w:p>
        </w:tc>
        <w:tc>
          <w:tcPr>
            <w:tcW w:w="8120" w:type="dxa"/>
            <w:vAlign w:val="bottom"/>
          </w:tcPr>
          <w:p>
            <w:pPr>
              <w:ind w:left="20"/>
              <w:spacing w:after="0"/>
              <w:rPr>
                <w:sz w:val="20"/>
                <w:szCs w:val="20"/>
                <w:color w:val="auto"/>
              </w:rPr>
            </w:pPr>
            <w:r>
              <w:rPr>
                <w:rFonts w:ascii="Arial" w:cs="Arial" w:eastAsia="Arial" w:hAnsi="Arial"/>
                <w:sz w:val="18"/>
                <w:szCs w:val="18"/>
                <w:color w:val="auto"/>
              </w:rPr>
              <w:t>Voting Rights; Dividend Equivalent Rights and Distributions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10.7</w:t>
            </w: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Termination of Service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30"/>
        </w:trPr>
        <w:tc>
          <w:tcPr>
            <w:tcW w:w="540" w:type="dxa"/>
            <w:vAlign w:val="bottom"/>
            <w:gridSpan w:val="2"/>
          </w:tcPr>
          <w:p>
            <w:pPr>
              <w:ind w:left="200"/>
              <w:spacing w:after="0"/>
              <w:rPr>
                <w:sz w:val="20"/>
                <w:szCs w:val="20"/>
                <w:color w:val="auto"/>
              </w:rPr>
            </w:pPr>
            <w:r>
              <w:rPr>
                <w:rFonts w:ascii="Arial" w:cs="Arial" w:eastAsia="Arial" w:hAnsi="Arial"/>
                <w:sz w:val="18"/>
                <w:szCs w:val="18"/>
                <w:color w:val="auto"/>
                <w:w w:val="91"/>
              </w:rPr>
              <w:t>10.8</w:t>
            </w:r>
          </w:p>
        </w:tc>
        <w:tc>
          <w:tcPr>
            <w:tcW w:w="8120" w:type="dxa"/>
            <w:vAlign w:val="bottom"/>
          </w:tcPr>
          <w:p>
            <w:pPr>
              <w:ind w:left="20"/>
              <w:spacing w:after="0"/>
              <w:rPr>
                <w:sz w:val="20"/>
                <w:szCs w:val="20"/>
                <w:color w:val="auto"/>
              </w:rPr>
            </w:pPr>
            <w:r>
              <w:rPr>
                <w:rFonts w:ascii="Arial" w:cs="Arial" w:eastAsia="Arial" w:hAnsi="Arial"/>
                <w:sz w:val="18"/>
                <w:szCs w:val="18"/>
                <w:color w:val="auto"/>
              </w:rPr>
              <w:t>Nontransferability of Performance Awards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02"/>
        </w:trPr>
        <w:tc>
          <w:tcPr>
            <w:tcW w:w="86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 Cash-Based Awards and Other Stock-Based Awards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8660" w:type="dxa"/>
            <w:vAlign w:val="bottom"/>
            <w:gridSpan w:val="3"/>
          </w:tcPr>
          <w:p>
            <w:pPr>
              <w:ind w:left="200"/>
              <w:spacing w:after="0"/>
              <w:rPr>
                <w:sz w:val="20"/>
                <w:szCs w:val="20"/>
                <w:color w:val="auto"/>
              </w:rPr>
            </w:pPr>
            <w:r>
              <w:rPr>
                <w:rFonts w:ascii="Arial" w:cs="Arial" w:eastAsia="Arial" w:hAnsi="Arial"/>
                <w:sz w:val="18"/>
                <w:szCs w:val="18"/>
                <w:color w:val="auto"/>
              </w:rPr>
              <w:t>11.1 Grant of Cash-Based Awards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8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11.2 Grant of Other Stock-Based Awards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8660" w:type="dxa"/>
            <w:vAlign w:val="bottom"/>
            <w:gridSpan w:val="3"/>
          </w:tcPr>
          <w:p>
            <w:pPr>
              <w:ind w:left="200"/>
              <w:spacing w:after="0"/>
              <w:rPr>
                <w:sz w:val="20"/>
                <w:szCs w:val="20"/>
                <w:color w:val="auto"/>
              </w:rPr>
            </w:pPr>
            <w:r>
              <w:rPr>
                <w:rFonts w:ascii="Arial" w:cs="Arial" w:eastAsia="Arial" w:hAnsi="Arial"/>
                <w:sz w:val="18"/>
                <w:szCs w:val="18"/>
                <w:color w:val="auto"/>
              </w:rPr>
              <w:t>11.3 Value of Cash-Based and Other Stock-Based Awards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8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11.4 Payment or Settlement of Cash-Based Awards and Other Stock-Based Awards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30"/>
        </w:trPr>
        <w:tc>
          <w:tcPr>
            <w:tcW w:w="8660" w:type="dxa"/>
            <w:vAlign w:val="bottom"/>
            <w:gridSpan w:val="3"/>
          </w:tcPr>
          <w:p>
            <w:pPr>
              <w:ind w:left="200"/>
              <w:spacing w:after="0"/>
              <w:rPr>
                <w:sz w:val="20"/>
                <w:szCs w:val="20"/>
                <w:color w:val="auto"/>
              </w:rPr>
            </w:pPr>
            <w:r>
              <w:rPr>
                <w:rFonts w:ascii="Arial" w:cs="Arial" w:eastAsia="Arial" w:hAnsi="Arial"/>
                <w:sz w:val="18"/>
                <w:szCs w:val="18"/>
                <w:color w:val="auto"/>
              </w:rPr>
              <w:t>11.5 Voting Rights; Dividend Equivalent Rights and Distributions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1" w:name="page42"/>
    <w:bookmarkEnd w:id="41"/>
    <w:p>
      <w:pPr>
        <w:jc w:val="center"/>
        <w:ind w:right="179"/>
        <w:spacing w:after="0"/>
        <w:rPr>
          <w:sz w:val="20"/>
          <w:szCs w:val="20"/>
          <w:color w:val="auto"/>
        </w:rPr>
      </w:pPr>
      <w:r>
        <w:rPr>
          <w:rFonts w:ascii="Arial" w:cs="Arial" w:eastAsia="Arial" w:hAnsi="Arial"/>
          <w:sz w:val="18"/>
          <w:szCs w:val="18"/>
          <w:color w:val="auto"/>
        </w:rPr>
        <w:t>TABLE OF CONTENTS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Page</w:t>
            </w:r>
          </w:p>
        </w:tc>
      </w:tr>
      <w:tr>
        <w:trPr>
          <w:trHeight w:val="210"/>
        </w:trPr>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11.6 Effect of Termination of Service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30"/>
        </w:trPr>
        <w:tc>
          <w:tcPr>
            <w:tcW w:w="8660" w:type="dxa"/>
            <w:vAlign w:val="bottom"/>
            <w:gridSpan w:val="3"/>
          </w:tcPr>
          <w:p>
            <w:pPr>
              <w:ind w:left="200"/>
              <w:spacing w:after="0"/>
              <w:rPr>
                <w:sz w:val="20"/>
                <w:szCs w:val="20"/>
                <w:color w:val="auto"/>
              </w:rPr>
            </w:pPr>
            <w:r>
              <w:rPr>
                <w:rFonts w:ascii="Arial" w:cs="Arial" w:eastAsia="Arial" w:hAnsi="Arial"/>
                <w:sz w:val="18"/>
                <w:szCs w:val="18"/>
                <w:color w:val="auto"/>
              </w:rPr>
              <w:t>11.7 Nontransferability of Cash-Based Awards and Other Stock-Based Awards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02"/>
        </w:trPr>
        <w:tc>
          <w:tcPr>
            <w:tcW w:w="240" w:type="dxa"/>
            <w:vAlign w:val="bottom"/>
          </w:tcPr>
          <w:p>
            <w:pPr>
              <w:spacing w:after="0"/>
              <w:rPr>
                <w:sz w:val="17"/>
                <w:szCs w:val="17"/>
                <w:color w:val="auto"/>
              </w:rPr>
            </w:pPr>
          </w:p>
        </w:tc>
        <w:tc>
          <w:tcPr>
            <w:tcW w:w="84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7"/>
              </w:rPr>
              <w:t>12.</w:t>
            </w:r>
          </w:p>
        </w:tc>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Nonemployee Director Awards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w w:val="87"/>
              </w:rPr>
              <w:t>13.</w:t>
            </w: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Standard Forms of Award Agreement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13.1</w:t>
            </w: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 Agreements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30"/>
        </w:trPr>
        <w:tc>
          <w:tcPr>
            <w:tcW w:w="540" w:type="dxa"/>
            <w:vAlign w:val="bottom"/>
            <w:gridSpan w:val="2"/>
          </w:tcPr>
          <w:p>
            <w:pPr>
              <w:ind w:left="200"/>
              <w:spacing w:after="0"/>
              <w:rPr>
                <w:sz w:val="20"/>
                <w:szCs w:val="20"/>
                <w:color w:val="auto"/>
              </w:rPr>
            </w:pPr>
            <w:r>
              <w:rPr>
                <w:rFonts w:ascii="Arial" w:cs="Arial" w:eastAsia="Arial" w:hAnsi="Arial"/>
                <w:sz w:val="18"/>
                <w:szCs w:val="18"/>
                <w:color w:val="auto"/>
                <w:w w:val="91"/>
              </w:rPr>
              <w:t>13.2</w:t>
            </w:r>
          </w:p>
        </w:tc>
        <w:tc>
          <w:tcPr>
            <w:tcW w:w="8120" w:type="dxa"/>
            <w:vAlign w:val="bottom"/>
          </w:tcPr>
          <w:p>
            <w:pPr>
              <w:ind w:left="20"/>
              <w:spacing w:after="0"/>
              <w:rPr>
                <w:sz w:val="20"/>
                <w:szCs w:val="20"/>
                <w:color w:val="auto"/>
              </w:rPr>
            </w:pPr>
            <w:r>
              <w:rPr>
                <w:rFonts w:ascii="Arial" w:cs="Arial" w:eastAsia="Arial" w:hAnsi="Arial"/>
                <w:sz w:val="18"/>
                <w:szCs w:val="18"/>
                <w:color w:val="auto"/>
              </w:rPr>
              <w:t>Authority to Vary Terms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02"/>
        </w:trPr>
        <w:tc>
          <w:tcPr>
            <w:tcW w:w="240" w:type="dxa"/>
            <w:vAlign w:val="bottom"/>
          </w:tcPr>
          <w:p>
            <w:pPr>
              <w:spacing w:after="0"/>
              <w:rPr>
                <w:sz w:val="17"/>
                <w:szCs w:val="17"/>
                <w:color w:val="auto"/>
              </w:rPr>
            </w:pPr>
          </w:p>
        </w:tc>
        <w:tc>
          <w:tcPr>
            <w:tcW w:w="84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7"/>
              </w:rPr>
              <w:t>14.</w:t>
            </w:r>
          </w:p>
        </w:tc>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Control</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gridSpan w:val="2"/>
          </w:tcPr>
          <w:p>
            <w:pPr>
              <w:ind w:left="200"/>
              <w:spacing w:after="0"/>
              <w:rPr>
                <w:sz w:val="20"/>
                <w:szCs w:val="20"/>
                <w:color w:val="auto"/>
              </w:rPr>
            </w:pPr>
            <w:r>
              <w:rPr>
                <w:rFonts w:ascii="Arial" w:cs="Arial" w:eastAsia="Arial" w:hAnsi="Arial"/>
                <w:sz w:val="18"/>
                <w:szCs w:val="18"/>
                <w:color w:val="auto"/>
                <w:w w:val="91"/>
              </w:rPr>
              <w:t>14.1</w:t>
            </w:r>
          </w:p>
        </w:tc>
        <w:tc>
          <w:tcPr>
            <w:tcW w:w="8120" w:type="dxa"/>
            <w:vAlign w:val="bottom"/>
          </w:tcPr>
          <w:p>
            <w:pPr>
              <w:ind w:left="20"/>
              <w:spacing w:after="0"/>
              <w:rPr>
                <w:sz w:val="20"/>
                <w:szCs w:val="20"/>
                <w:color w:val="auto"/>
              </w:rPr>
            </w:pPr>
            <w:r>
              <w:rPr>
                <w:rFonts w:ascii="Arial" w:cs="Arial" w:eastAsia="Arial" w:hAnsi="Arial"/>
                <w:sz w:val="18"/>
                <w:szCs w:val="18"/>
                <w:color w:val="auto"/>
              </w:rPr>
              <w:t>Effect of Change in Control on Awards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14.2</w:t>
            </w: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Change in Control on Nonemployee Director Awards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30"/>
        </w:trPr>
        <w:tc>
          <w:tcPr>
            <w:tcW w:w="540" w:type="dxa"/>
            <w:vAlign w:val="bottom"/>
            <w:gridSpan w:val="2"/>
          </w:tcPr>
          <w:p>
            <w:pPr>
              <w:ind w:left="200"/>
              <w:spacing w:after="0"/>
              <w:rPr>
                <w:sz w:val="20"/>
                <w:szCs w:val="20"/>
                <w:color w:val="auto"/>
              </w:rPr>
            </w:pPr>
            <w:r>
              <w:rPr>
                <w:rFonts w:ascii="Arial" w:cs="Arial" w:eastAsia="Arial" w:hAnsi="Arial"/>
                <w:sz w:val="18"/>
                <w:szCs w:val="18"/>
                <w:color w:val="auto"/>
                <w:w w:val="91"/>
              </w:rPr>
              <w:t>14.3</w:t>
            </w:r>
          </w:p>
        </w:tc>
        <w:tc>
          <w:tcPr>
            <w:tcW w:w="8120" w:type="dxa"/>
            <w:vAlign w:val="bottom"/>
          </w:tcPr>
          <w:p>
            <w:pPr>
              <w:ind w:left="20"/>
              <w:spacing w:after="0"/>
              <w:rPr>
                <w:sz w:val="20"/>
                <w:szCs w:val="20"/>
                <w:color w:val="auto"/>
              </w:rPr>
            </w:pPr>
            <w:r>
              <w:rPr>
                <w:rFonts w:ascii="Arial" w:cs="Arial" w:eastAsia="Arial" w:hAnsi="Arial"/>
                <w:sz w:val="18"/>
                <w:szCs w:val="18"/>
                <w:color w:val="auto"/>
              </w:rPr>
              <w:t>Federal Excise Tax Under Section 4999 of the Code</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02"/>
        </w:trPr>
        <w:tc>
          <w:tcPr>
            <w:tcW w:w="240" w:type="dxa"/>
            <w:vAlign w:val="bottom"/>
          </w:tcPr>
          <w:p>
            <w:pPr>
              <w:spacing w:after="0"/>
              <w:rPr>
                <w:sz w:val="17"/>
                <w:szCs w:val="17"/>
                <w:color w:val="auto"/>
              </w:rPr>
            </w:pPr>
          </w:p>
        </w:tc>
        <w:tc>
          <w:tcPr>
            <w:tcW w:w="84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7"/>
              </w:rPr>
              <w:t>15.</w:t>
            </w:r>
          </w:p>
        </w:tc>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Compliance with Securities Law</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w w:val="87"/>
              </w:rPr>
              <w:t>16.</w:t>
            </w: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Compliance with Section 409A</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16.1</w:t>
            </w: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Subject to Section 409A</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540" w:type="dxa"/>
            <w:vAlign w:val="bottom"/>
            <w:gridSpan w:val="2"/>
          </w:tcPr>
          <w:p>
            <w:pPr>
              <w:ind w:left="200"/>
              <w:spacing w:after="0"/>
              <w:rPr>
                <w:sz w:val="20"/>
                <w:szCs w:val="20"/>
                <w:color w:val="auto"/>
              </w:rPr>
            </w:pPr>
            <w:r>
              <w:rPr>
                <w:rFonts w:ascii="Arial" w:cs="Arial" w:eastAsia="Arial" w:hAnsi="Arial"/>
                <w:sz w:val="18"/>
                <w:szCs w:val="18"/>
                <w:color w:val="auto"/>
                <w:w w:val="91"/>
              </w:rPr>
              <w:t>16.2</w:t>
            </w:r>
          </w:p>
        </w:tc>
        <w:tc>
          <w:tcPr>
            <w:tcW w:w="8120" w:type="dxa"/>
            <w:vAlign w:val="bottom"/>
          </w:tcPr>
          <w:p>
            <w:pPr>
              <w:ind w:left="20"/>
              <w:spacing w:after="0"/>
              <w:rPr>
                <w:sz w:val="20"/>
                <w:szCs w:val="20"/>
                <w:color w:val="auto"/>
              </w:rPr>
            </w:pPr>
            <w:r>
              <w:rPr>
                <w:rFonts w:ascii="Arial" w:cs="Arial" w:eastAsia="Arial" w:hAnsi="Arial"/>
                <w:sz w:val="18"/>
                <w:szCs w:val="18"/>
                <w:color w:val="auto"/>
              </w:rPr>
              <w:t>Deferral and/or Distribution Elections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16.3</w:t>
            </w: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Subsequent Elections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30"/>
        </w:trPr>
        <w:tc>
          <w:tcPr>
            <w:tcW w:w="540" w:type="dxa"/>
            <w:vAlign w:val="bottom"/>
            <w:gridSpan w:val="2"/>
          </w:tcPr>
          <w:p>
            <w:pPr>
              <w:ind w:left="200"/>
              <w:spacing w:after="0"/>
              <w:rPr>
                <w:sz w:val="20"/>
                <w:szCs w:val="20"/>
                <w:color w:val="auto"/>
              </w:rPr>
            </w:pPr>
            <w:r>
              <w:rPr>
                <w:rFonts w:ascii="Arial" w:cs="Arial" w:eastAsia="Arial" w:hAnsi="Arial"/>
                <w:sz w:val="18"/>
                <w:szCs w:val="18"/>
                <w:color w:val="auto"/>
                <w:w w:val="91"/>
              </w:rPr>
              <w:t>16.4</w:t>
            </w:r>
          </w:p>
        </w:tc>
        <w:tc>
          <w:tcPr>
            <w:tcW w:w="8120" w:type="dxa"/>
            <w:vAlign w:val="bottom"/>
          </w:tcPr>
          <w:p>
            <w:pPr>
              <w:ind w:left="20"/>
              <w:spacing w:after="0"/>
              <w:rPr>
                <w:sz w:val="20"/>
                <w:szCs w:val="20"/>
                <w:color w:val="auto"/>
              </w:rPr>
            </w:pPr>
            <w:r>
              <w:rPr>
                <w:rFonts w:ascii="Arial" w:cs="Arial" w:eastAsia="Arial" w:hAnsi="Arial"/>
                <w:sz w:val="18"/>
                <w:szCs w:val="18"/>
                <w:color w:val="auto"/>
              </w:rPr>
              <w:t>Payment of Section 409A Deferred Compensation</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02"/>
        </w:trPr>
        <w:tc>
          <w:tcPr>
            <w:tcW w:w="240" w:type="dxa"/>
            <w:vAlign w:val="bottom"/>
          </w:tcPr>
          <w:p>
            <w:pPr>
              <w:spacing w:after="0"/>
              <w:rPr>
                <w:sz w:val="17"/>
                <w:szCs w:val="17"/>
                <w:color w:val="auto"/>
              </w:rPr>
            </w:pPr>
          </w:p>
        </w:tc>
        <w:tc>
          <w:tcPr>
            <w:tcW w:w="84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7"/>
              </w:rPr>
              <w:t>17.</w:t>
            </w:r>
          </w:p>
        </w:tc>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Withholding</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540" w:type="dxa"/>
            <w:vAlign w:val="bottom"/>
            <w:gridSpan w:val="2"/>
          </w:tcPr>
          <w:p>
            <w:pPr>
              <w:ind w:left="200"/>
              <w:spacing w:after="0"/>
              <w:rPr>
                <w:sz w:val="20"/>
                <w:szCs w:val="20"/>
                <w:color w:val="auto"/>
              </w:rPr>
            </w:pPr>
            <w:r>
              <w:rPr>
                <w:rFonts w:ascii="Arial" w:cs="Arial" w:eastAsia="Arial" w:hAnsi="Arial"/>
                <w:sz w:val="18"/>
                <w:szCs w:val="18"/>
                <w:color w:val="auto"/>
                <w:w w:val="91"/>
              </w:rPr>
              <w:t>17.1</w:t>
            </w:r>
          </w:p>
        </w:tc>
        <w:tc>
          <w:tcPr>
            <w:tcW w:w="8120" w:type="dxa"/>
            <w:vAlign w:val="bottom"/>
          </w:tcPr>
          <w:p>
            <w:pPr>
              <w:ind w:left="20"/>
              <w:spacing w:after="0"/>
              <w:rPr>
                <w:sz w:val="20"/>
                <w:szCs w:val="20"/>
                <w:color w:val="auto"/>
              </w:rPr>
            </w:pPr>
            <w:r>
              <w:rPr>
                <w:rFonts w:ascii="Arial" w:cs="Arial" w:eastAsia="Arial" w:hAnsi="Arial"/>
                <w:sz w:val="18"/>
                <w:szCs w:val="18"/>
                <w:color w:val="auto"/>
              </w:rPr>
              <w:t>Tax Withholding in General</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17.2</w:t>
            </w: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Withholding in Shares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w w:val="87"/>
              </w:rPr>
              <w:t>18.</w:t>
            </w: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Amendment or Termination of Plan</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4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7"/>
              </w:rPr>
              <w:t>19.</w:t>
            </w:r>
          </w:p>
        </w:tc>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Miscellaneous Provisions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540" w:type="dxa"/>
            <w:vAlign w:val="bottom"/>
            <w:gridSpan w:val="2"/>
          </w:tcPr>
          <w:p>
            <w:pPr>
              <w:ind w:left="200"/>
              <w:spacing w:after="0"/>
              <w:rPr>
                <w:sz w:val="20"/>
                <w:szCs w:val="20"/>
                <w:color w:val="auto"/>
              </w:rPr>
            </w:pPr>
            <w:r>
              <w:rPr>
                <w:rFonts w:ascii="Arial" w:cs="Arial" w:eastAsia="Arial" w:hAnsi="Arial"/>
                <w:sz w:val="18"/>
                <w:szCs w:val="18"/>
                <w:color w:val="auto"/>
                <w:w w:val="91"/>
              </w:rPr>
              <w:t>19.1</w:t>
            </w:r>
          </w:p>
        </w:tc>
        <w:tc>
          <w:tcPr>
            <w:tcW w:w="8120" w:type="dxa"/>
            <w:vAlign w:val="bottom"/>
          </w:tcPr>
          <w:p>
            <w:pPr>
              <w:ind w:left="20"/>
              <w:spacing w:after="0"/>
              <w:rPr>
                <w:sz w:val="20"/>
                <w:szCs w:val="20"/>
                <w:color w:val="auto"/>
              </w:rPr>
            </w:pPr>
            <w:r>
              <w:rPr>
                <w:rFonts w:ascii="Arial" w:cs="Arial" w:eastAsia="Arial" w:hAnsi="Arial"/>
                <w:sz w:val="18"/>
                <w:szCs w:val="18"/>
                <w:color w:val="auto"/>
              </w:rPr>
              <w:t>Repurchase Rights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19.2</w:t>
            </w: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Forfeiture Events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540" w:type="dxa"/>
            <w:vAlign w:val="bottom"/>
            <w:gridSpan w:val="2"/>
          </w:tcPr>
          <w:p>
            <w:pPr>
              <w:ind w:left="200"/>
              <w:spacing w:after="0"/>
              <w:rPr>
                <w:sz w:val="20"/>
                <w:szCs w:val="20"/>
                <w:color w:val="auto"/>
              </w:rPr>
            </w:pPr>
            <w:r>
              <w:rPr>
                <w:rFonts w:ascii="Arial" w:cs="Arial" w:eastAsia="Arial" w:hAnsi="Arial"/>
                <w:sz w:val="18"/>
                <w:szCs w:val="18"/>
                <w:color w:val="auto"/>
                <w:w w:val="91"/>
              </w:rPr>
              <w:t>19.3</w:t>
            </w:r>
          </w:p>
        </w:tc>
        <w:tc>
          <w:tcPr>
            <w:tcW w:w="8120" w:type="dxa"/>
            <w:vAlign w:val="bottom"/>
          </w:tcPr>
          <w:p>
            <w:pPr>
              <w:ind w:left="20"/>
              <w:spacing w:after="0"/>
              <w:rPr>
                <w:sz w:val="20"/>
                <w:szCs w:val="20"/>
                <w:color w:val="auto"/>
              </w:rPr>
            </w:pPr>
            <w:r>
              <w:rPr>
                <w:rFonts w:ascii="Arial" w:cs="Arial" w:eastAsia="Arial" w:hAnsi="Arial"/>
                <w:sz w:val="18"/>
                <w:szCs w:val="18"/>
                <w:color w:val="auto"/>
              </w:rPr>
              <w:t>Provision of Information</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19.4</w:t>
            </w: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Rights as Employee, Consultant or Director</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540" w:type="dxa"/>
            <w:vAlign w:val="bottom"/>
            <w:gridSpan w:val="2"/>
          </w:tcPr>
          <w:p>
            <w:pPr>
              <w:ind w:left="200"/>
              <w:spacing w:after="0"/>
              <w:rPr>
                <w:sz w:val="20"/>
                <w:szCs w:val="20"/>
                <w:color w:val="auto"/>
              </w:rPr>
            </w:pPr>
            <w:r>
              <w:rPr>
                <w:rFonts w:ascii="Arial" w:cs="Arial" w:eastAsia="Arial" w:hAnsi="Arial"/>
                <w:sz w:val="18"/>
                <w:szCs w:val="18"/>
                <w:color w:val="auto"/>
                <w:w w:val="91"/>
              </w:rPr>
              <w:t>19.5</w:t>
            </w:r>
          </w:p>
        </w:tc>
        <w:tc>
          <w:tcPr>
            <w:tcW w:w="8120" w:type="dxa"/>
            <w:vAlign w:val="bottom"/>
          </w:tcPr>
          <w:p>
            <w:pPr>
              <w:ind w:left="20"/>
              <w:spacing w:after="0"/>
              <w:rPr>
                <w:sz w:val="20"/>
                <w:szCs w:val="20"/>
                <w:color w:val="auto"/>
              </w:rPr>
            </w:pPr>
            <w:r>
              <w:rPr>
                <w:rFonts w:ascii="Arial" w:cs="Arial" w:eastAsia="Arial" w:hAnsi="Arial"/>
                <w:sz w:val="18"/>
                <w:szCs w:val="18"/>
                <w:color w:val="auto"/>
              </w:rPr>
              <w:t>Rights as a Stockholder</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19.6</w:t>
            </w: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Delivery of Title to Shares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540" w:type="dxa"/>
            <w:vAlign w:val="bottom"/>
            <w:gridSpan w:val="2"/>
          </w:tcPr>
          <w:p>
            <w:pPr>
              <w:ind w:left="200"/>
              <w:spacing w:after="0"/>
              <w:rPr>
                <w:sz w:val="20"/>
                <w:szCs w:val="20"/>
                <w:color w:val="auto"/>
              </w:rPr>
            </w:pPr>
            <w:r>
              <w:rPr>
                <w:rFonts w:ascii="Arial" w:cs="Arial" w:eastAsia="Arial" w:hAnsi="Arial"/>
                <w:sz w:val="18"/>
                <w:szCs w:val="18"/>
                <w:color w:val="auto"/>
                <w:w w:val="91"/>
              </w:rPr>
              <w:t>19.7</w:t>
            </w:r>
          </w:p>
        </w:tc>
        <w:tc>
          <w:tcPr>
            <w:tcW w:w="8120" w:type="dxa"/>
            <w:vAlign w:val="bottom"/>
          </w:tcPr>
          <w:p>
            <w:pPr>
              <w:ind w:left="20"/>
              <w:spacing w:after="0"/>
              <w:rPr>
                <w:sz w:val="20"/>
                <w:szCs w:val="20"/>
                <w:color w:val="auto"/>
              </w:rPr>
            </w:pPr>
            <w:r>
              <w:rPr>
                <w:rFonts w:ascii="Arial" w:cs="Arial" w:eastAsia="Arial" w:hAnsi="Arial"/>
                <w:sz w:val="18"/>
                <w:szCs w:val="18"/>
                <w:color w:val="auto"/>
              </w:rPr>
              <w:t>Fractional Shares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19.8</w:t>
            </w: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and Welfare Plans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540" w:type="dxa"/>
            <w:vAlign w:val="bottom"/>
            <w:gridSpan w:val="2"/>
          </w:tcPr>
          <w:p>
            <w:pPr>
              <w:ind w:left="200"/>
              <w:spacing w:after="0"/>
              <w:rPr>
                <w:sz w:val="20"/>
                <w:szCs w:val="20"/>
                <w:color w:val="auto"/>
              </w:rPr>
            </w:pPr>
            <w:r>
              <w:rPr>
                <w:rFonts w:ascii="Arial" w:cs="Arial" w:eastAsia="Arial" w:hAnsi="Arial"/>
                <w:sz w:val="18"/>
                <w:szCs w:val="18"/>
                <w:color w:val="auto"/>
                <w:w w:val="91"/>
              </w:rPr>
              <w:t>19.9</w:t>
            </w:r>
          </w:p>
        </w:tc>
        <w:tc>
          <w:tcPr>
            <w:tcW w:w="8120" w:type="dxa"/>
            <w:vAlign w:val="bottom"/>
          </w:tcPr>
          <w:p>
            <w:pPr>
              <w:ind w:left="20"/>
              <w:spacing w:after="0"/>
              <w:rPr>
                <w:sz w:val="20"/>
                <w:szCs w:val="20"/>
                <w:color w:val="auto"/>
              </w:rPr>
            </w:pPr>
            <w:r>
              <w:rPr>
                <w:rFonts w:ascii="Arial" w:cs="Arial" w:eastAsia="Arial" w:hAnsi="Arial"/>
                <w:sz w:val="18"/>
                <w:szCs w:val="18"/>
                <w:color w:val="auto"/>
              </w:rPr>
              <w:t>Beneficiary Designation</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8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19.10 Severability</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8660" w:type="dxa"/>
            <w:vAlign w:val="bottom"/>
            <w:gridSpan w:val="3"/>
          </w:tcPr>
          <w:p>
            <w:pPr>
              <w:ind w:left="200"/>
              <w:spacing w:after="0"/>
              <w:rPr>
                <w:sz w:val="20"/>
                <w:szCs w:val="20"/>
                <w:color w:val="auto"/>
              </w:rPr>
            </w:pPr>
            <w:r>
              <w:rPr>
                <w:rFonts w:ascii="Arial" w:cs="Arial" w:eastAsia="Arial" w:hAnsi="Arial"/>
                <w:sz w:val="18"/>
                <w:szCs w:val="18"/>
                <w:color w:val="auto"/>
              </w:rPr>
              <w:t>19.11 No Constraint on Corporate Action</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8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19.12 Unfunded Obligation</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30"/>
        </w:trPr>
        <w:tc>
          <w:tcPr>
            <w:tcW w:w="8660" w:type="dxa"/>
            <w:vAlign w:val="bottom"/>
            <w:gridSpan w:val="3"/>
          </w:tcPr>
          <w:p>
            <w:pPr>
              <w:ind w:left="200"/>
              <w:spacing w:after="0"/>
              <w:rPr>
                <w:sz w:val="20"/>
                <w:szCs w:val="20"/>
                <w:color w:val="auto"/>
              </w:rPr>
            </w:pPr>
            <w:r>
              <w:rPr>
                <w:rFonts w:ascii="Arial" w:cs="Arial" w:eastAsia="Arial" w:hAnsi="Arial"/>
                <w:sz w:val="18"/>
                <w:szCs w:val="18"/>
                <w:color w:val="auto"/>
              </w:rPr>
              <w:t>19.13 Choice of Law</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bl>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42" w:name="page43"/>
    <w:bookmarkEnd w:id="42"/>
    <w:p>
      <w:pPr>
        <w:jc w:val="center"/>
        <w:ind w:right="1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2008 Equity Incentive Plan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Amended Through March 24, 2011)</w:t>
      </w:r>
    </w:p>
    <w:p>
      <w:pPr>
        <w:spacing w:after="0" w:line="180" w:lineRule="exact"/>
        <w:rPr>
          <w:sz w:val="20"/>
          <w:szCs w:val="20"/>
          <w:color w:val="auto"/>
        </w:rPr>
      </w:pPr>
    </w:p>
    <w:p>
      <w:pPr>
        <w:ind w:left="560" w:hanging="179"/>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STABLISHMENT</w:t>
      </w:r>
      <w:r>
        <w:rPr>
          <w:rFonts w:ascii="Arial" w:cs="Arial" w:eastAsia="Arial" w:hAnsi="Arial"/>
          <w:sz w:val="18"/>
          <w:szCs w:val="18"/>
          <w:b w:val="1"/>
          <w:bCs w:val="1"/>
          <w:u w:val="single" w:color="auto"/>
          <w:color w:val="auto"/>
        </w:rPr>
        <w:t>, P</w:t>
      </w:r>
      <w:r>
        <w:rPr>
          <w:rFonts w:ascii="Arial" w:cs="Arial" w:eastAsia="Arial" w:hAnsi="Arial"/>
          <w:sz w:val="12"/>
          <w:szCs w:val="12"/>
          <w:b w:val="1"/>
          <w:bCs w:val="1"/>
          <w:u w:val="single" w:color="auto"/>
          <w:color w:val="auto"/>
        </w:rPr>
        <w:t>URPOSE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LAN</w:t>
      </w:r>
      <w:r>
        <w:rPr>
          <w:rFonts w:ascii="Arial" w:cs="Arial" w:eastAsia="Arial" w:hAnsi="Arial"/>
          <w:sz w:val="18"/>
          <w:szCs w:val="18"/>
          <w:b w:val="1"/>
          <w:bCs w:val="1"/>
          <w:color w:val="auto"/>
        </w:rPr>
        <w:t>.</w:t>
      </w:r>
    </w:p>
    <w:p>
      <w:pPr>
        <w:spacing w:after="0" w:line="185" w:lineRule="exact"/>
        <w:rPr>
          <w:sz w:val="20"/>
          <w:szCs w:val="20"/>
          <w:color w:val="auto"/>
        </w:rPr>
      </w:pPr>
    </w:p>
    <w:p>
      <w:pPr>
        <w:ind w:right="599" w:firstLine="778"/>
        <w:spacing w:after="0" w:line="347"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Establishment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Grand Canyon Education, Inc. 2008 Equity Incentive Plan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i w:val="1"/>
          <w:iCs w:val="1"/>
          <w:color w:val="auto"/>
        </w:rPr>
        <w:t>”</w:t>
      </w:r>
      <w:r>
        <w:rPr>
          <w:rFonts w:ascii="Arial" w:cs="Arial" w:eastAsia="Arial" w:hAnsi="Arial"/>
          <w:sz w:val="16"/>
          <w:szCs w:val="16"/>
          <w:color w:val="auto"/>
        </w:rPr>
        <w:t xml:space="preserve">) is hereby established effective as of September 26, 2008, the date of its approval by the stockholders of the Company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76" w:lineRule="exact"/>
        <w:rPr>
          <w:sz w:val="20"/>
          <w:szCs w:val="20"/>
          <w:color w:val="auto"/>
        </w:rPr>
      </w:pPr>
    </w:p>
    <w:p>
      <w:pPr>
        <w:ind w:right="239" w:firstLine="778"/>
        <w:spacing w:after="0" w:line="25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Purpose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Purchase Rights, Restricted Stock Bonuses, Restricted Stock Units, Performance Shares, Performance Units, Cash-Based and Other Stock-Based Awards and Nonemployee Director Awards.</w:t>
      </w:r>
    </w:p>
    <w:p>
      <w:pPr>
        <w:spacing w:after="0" w:line="161" w:lineRule="exact"/>
        <w:rPr>
          <w:sz w:val="20"/>
          <w:szCs w:val="20"/>
          <w:color w:val="auto"/>
        </w:rPr>
      </w:pPr>
    </w:p>
    <w:p>
      <w:pPr>
        <w:ind w:right="599" w:firstLine="778"/>
        <w:spacing w:after="0" w:line="282"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Term of Plan.</w:t>
      </w:r>
      <w:r>
        <w:rPr>
          <w:rFonts w:ascii="Arial" w:cs="Arial" w:eastAsia="Arial" w:hAnsi="Arial"/>
          <w:sz w:val="18"/>
          <w:szCs w:val="18"/>
          <w:color w:val="auto"/>
        </w:rPr>
        <w:t xml:space="preserve"> The Plan shall continue in effect until its termination by the Committee; provided, however, that all Awards shall be granted, if at all, within ten (10) years from the Effective Date.</w:t>
      </w:r>
    </w:p>
    <w:p>
      <w:pPr>
        <w:spacing w:after="0" w:line="121" w:lineRule="exact"/>
        <w:rPr>
          <w:sz w:val="20"/>
          <w:szCs w:val="20"/>
          <w:color w:val="auto"/>
        </w:rPr>
      </w:pPr>
    </w:p>
    <w:p>
      <w:pPr>
        <w:ind w:left="560" w:hanging="179"/>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EFINITIONS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ONSTRUCTION</w:t>
      </w:r>
      <w:r>
        <w:rPr>
          <w:rFonts w:ascii="Arial" w:cs="Arial" w:eastAsia="Arial" w:hAnsi="Arial"/>
          <w:sz w:val="18"/>
          <w:szCs w:val="18"/>
          <w:b w:val="1"/>
          <w:bCs w:val="1"/>
          <w:color w:val="auto"/>
        </w:rPr>
        <w:t>.</w:t>
      </w:r>
    </w:p>
    <w:p>
      <w:pPr>
        <w:spacing w:after="0" w:line="18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Definitions.</w:t>
      </w:r>
      <w:r>
        <w:rPr>
          <w:rFonts w:ascii="Arial" w:cs="Arial" w:eastAsia="Arial" w:hAnsi="Arial"/>
          <w:sz w:val="17"/>
          <w:szCs w:val="17"/>
          <w:color w:val="auto"/>
        </w:rPr>
        <w:t xml:space="preserve"> Whenever used herein, the following terms shall have their respective meanings set forth below:</w:t>
      </w:r>
    </w:p>
    <w:p>
      <w:pPr>
        <w:spacing w:after="0" w:line="214" w:lineRule="exact"/>
        <w:rPr>
          <w:sz w:val="20"/>
          <w:szCs w:val="20"/>
          <w:color w:val="auto"/>
        </w:rPr>
      </w:pPr>
    </w:p>
    <w:p>
      <w:pPr>
        <w:ind w:right="399" w:firstLine="1159"/>
        <w:spacing w:after="0" w:line="273" w:lineRule="auto"/>
        <w:tabs>
          <w:tab w:leader="none" w:pos="1411"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i w:val="1"/>
          <w:iCs w:val="1"/>
          <w:color w:val="auto"/>
        </w:rPr>
        <w:t xml:space="preserve">” </w:t>
      </w:r>
      <w:r>
        <w:rPr>
          <w:rFonts w:ascii="Arial" w:cs="Arial" w:eastAsia="Arial" w:hAnsi="Arial"/>
          <w:sz w:val="17"/>
          <w:szCs w:val="17"/>
          <w:color w:val="auto"/>
        </w:rPr>
        <w:t>means (i) an entity, other than a Parent Corporation, that directly, or indirectly through one or more</w:t>
      </w:r>
      <w:r>
        <w:rPr>
          <w:rFonts w:ascii="Arial" w:cs="Arial" w:eastAsia="Arial" w:hAnsi="Arial"/>
          <w:sz w:val="17"/>
          <w:szCs w:val="17"/>
          <w:i w:val="1"/>
          <w:iCs w:val="1"/>
          <w:color w:val="auto"/>
        </w:rPr>
        <w:t xml:space="preserve"> </w:t>
      </w:r>
      <w:r>
        <w:rPr>
          <w:rFonts w:ascii="Arial" w:cs="Arial" w:eastAsia="Arial" w:hAnsi="Arial"/>
          <w:sz w:val="17"/>
          <w:szCs w:val="17"/>
          <w:color w:val="auto"/>
        </w:rPr>
        <w:t>intermediary entities, controls the Company or (ii) an entity, other than a Subsidiary Corporation, that is controlled by the Company directly or indirectly through one or more intermediary entities. For this purpose, the term “control” (including the term “controlled by”) means the possession, direct or indirect, of the power to direct or cause the direction of the management and policies of the relevant entity, whether through the ownership of voting securities, by contract or otherwise; or shall have such other meaning assigned such term for the purposes of registration on Form S-8 under the Securities Act.</w:t>
      </w:r>
    </w:p>
    <w:p>
      <w:pPr>
        <w:spacing w:after="0" w:line="137" w:lineRule="exact"/>
        <w:rPr>
          <w:rFonts w:ascii="Arial" w:cs="Arial" w:eastAsia="Arial" w:hAnsi="Arial"/>
          <w:sz w:val="17"/>
          <w:szCs w:val="17"/>
          <w:color w:val="auto"/>
        </w:rPr>
      </w:pPr>
    </w:p>
    <w:p>
      <w:pPr>
        <w:ind w:right="179" w:firstLine="1159"/>
        <w:spacing w:after="0" w:line="264" w:lineRule="auto"/>
        <w:tabs>
          <w:tab w:leader="none" w:pos="1421"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Option, Stock Appreciation Right, Restricted Stock Purchase Right, Restricted Stock Bonus,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 Performance Share, Performance Unit, Cash-Based Award, Other Stock-Based Award or Nonemployee Director Award granted under the Plan.</w:t>
      </w:r>
    </w:p>
    <w:p>
      <w:pPr>
        <w:spacing w:after="0" w:line="140" w:lineRule="exact"/>
        <w:rPr>
          <w:rFonts w:ascii="Arial" w:cs="Arial" w:eastAsia="Arial" w:hAnsi="Arial"/>
          <w:sz w:val="18"/>
          <w:szCs w:val="18"/>
          <w:color w:val="auto"/>
        </w:rPr>
      </w:pPr>
    </w:p>
    <w:p>
      <w:pPr>
        <w:ind w:right="179" w:firstLine="1159"/>
        <w:spacing w:after="0" w:line="277" w:lineRule="auto"/>
        <w:tabs>
          <w:tab w:leader="none" w:pos="1411"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written or electronic agreement between the Company and a Participant setting forth</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conditions and restrictions of the Award granted to the Participant.</w:t>
      </w:r>
    </w:p>
    <w:p>
      <w:pPr>
        <w:spacing w:after="0" w:line="200" w:lineRule="exact"/>
        <w:rPr>
          <w:sz w:val="20"/>
          <w:szCs w:val="20"/>
          <w:color w:val="auto"/>
        </w:rPr>
      </w:pPr>
    </w:p>
    <w:p>
      <w:pPr>
        <w:spacing w:after="0" w:line="3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43" w:name="page44"/>
    <w:bookmarkEnd w:id="43"/>
    <w:p>
      <w:pPr>
        <w:ind w:left="1428" w:hanging="261"/>
        <w:spacing w:after="0"/>
        <w:tabs>
          <w:tab w:leader="none" w:pos="1428"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Board of Directors of the Company.</w:t>
      </w:r>
    </w:p>
    <w:p>
      <w:pPr>
        <w:spacing w:after="0" w:line="198" w:lineRule="exact"/>
        <w:rPr>
          <w:rFonts w:ascii="Arial" w:cs="Arial" w:eastAsia="Arial" w:hAnsi="Arial"/>
          <w:sz w:val="18"/>
          <w:szCs w:val="18"/>
          <w:color w:val="auto"/>
        </w:rPr>
      </w:pPr>
    </w:p>
    <w:p>
      <w:pPr>
        <w:ind w:left="1408" w:hanging="241"/>
        <w:spacing w:after="0"/>
        <w:tabs>
          <w:tab w:leader="none" w:pos="1408"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Cash-Based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denominated in cash and granted pursuant to Section 11.</w:t>
      </w:r>
    </w:p>
    <w:p>
      <w:pPr>
        <w:spacing w:after="0" w:line="184" w:lineRule="exact"/>
        <w:rPr>
          <w:rFonts w:ascii="Arial" w:cs="Arial" w:eastAsia="Arial" w:hAnsi="Arial"/>
          <w:sz w:val="18"/>
          <w:szCs w:val="18"/>
          <w:color w:val="auto"/>
        </w:rPr>
      </w:pPr>
    </w:p>
    <w:p>
      <w:pPr>
        <w:ind w:left="8" w:right="199" w:firstLine="1159"/>
        <w:spacing w:after="0" w:line="286" w:lineRule="auto"/>
        <w:tabs>
          <w:tab w:leader="none" w:pos="1399"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i w:val="1"/>
          <w:iCs w:val="1"/>
          <w:color w:val="auto"/>
        </w:rPr>
        <w:t xml:space="preserve">” </w:t>
      </w:r>
      <w:r>
        <w:rPr>
          <w:rFonts w:ascii="Arial" w:cs="Arial" w:eastAsia="Arial" w:hAnsi="Arial"/>
          <w:sz w:val="16"/>
          <w:szCs w:val="16"/>
          <w:color w:val="auto"/>
        </w:rPr>
        <w:t>means, unless such term or an equivalent term is otherwise defined with respect to an Award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Award Agreement or by a written contract of employment or service,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a Participating Company.</w:t>
      </w:r>
    </w:p>
    <w:p>
      <w:pPr>
        <w:spacing w:after="0" w:line="131" w:lineRule="exact"/>
        <w:rPr>
          <w:rFonts w:ascii="Arial" w:cs="Arial" w:eastAsia="Arial" w:hAnsi="Arial"/>
          <w:sz w:val="16"/>
          <w:szCs w:val="16"/>
          <w:color w:val="auto"/>
        </w:rPr>
      </w:pPr>
    </w:p>
    <w:p>
      <w:pPr>
        <w:ind w:left="8" w:right="159" w:firstLine="1159"/>
        <w:spacing w:after="0" w:line="342" w:lineRule="auto"/>
        <w:tabs>
          <w:tab w:leader="none" w:pos="1429"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means, unless such term or an equivalent term is otherwise defined with respect to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Participant’s Award Agreement or by a written contract of employment or service, the occurrence of any of the following:</w:t>
      </w:r>
    </w:p>
    <w:p>
      <w:pPr>
        <w:spacing w:after="0" w:line="96" w:lineRule="exact"/>
        <w:rPr>
          <w:rFonts w:ascii="Arial" w:cs="Arial" w:eastAsia="Arial" w:hAnsi="Arial"/>
          <w:sz w:val="16"/>
          <w:szCs w:val="16"/>
          <w:color w:val="auto"/>
        </w:rPr>
      </w:pPr>
    </w:p>
    <w:p>
      <w:pPr>
        <w:ind w:left="8" w:right="179" w:firstLine="1548"/>
        <w:spacing w:after="0" w:line="284" w:lineRule="auto"/>
        <w:tabs>
          <w:tab w:leader="none" w:pos="1778" w:val="left"/>
        </w:tabs>
        <w:numPr>
          <w:ilvl w:val="2"/>
          <w:numId w:val="21"/>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Exchange Act)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level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w:t>
      </w:r>
    </w:p>
    <w:p>
      <w:pPr>
        <w:spacing w:after="0" w:line="1" w:lineRule="exact"/>
        <w:rPr>
          <w:rFonts w:ascii="Arial" w:cs="Arial" w:eastAsia="Arial" w:hAnsi="Arial"/>
          <w:sz w:val="16"/>
          <w:szCs w:val="16"/>
          <w:color w:val="auto"/>
        </w:rPr>
      </w:pPr>
    </w:p>
    <w:p>
      <w:pPr>
        <w:ind w:left="8" w:right="219" w:hanging="8"/>
        <w:spacing w:after="0" w:line="261" w:lineRule="auto"/>
        <w:tabs>
          <w:tab w:leader="none" w:pos="28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acquisition by an entity owned directly or indirectly by the stockholders of the Company in substantially the same proportions as their ownership of the voting securities of the Company; or</w:t>
      </w:r>
    </w:p>
    <w:p>
      <w:pPr>
        <w:spacing w:after="0" w:line="200" w:lineRule="exact"/>
        <w:rPr>
          <w:sz w:val="20"/>
          <w:szCs w:val="20"/>
          <w:color w:val="auto"/>
        </w:rPr>
      </w:pPr>
    </w:p>
    <w:p>
      <w:pPr>
        <w:spacing w:after="0" w:line="33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44" w:name="page45"/>
    <w:bookmarkEnd w:id="44"/>
    <w:p>
      <w:pPr>
        <w:ind w:right="159" w:firstLine="1548"/>
        <w:spacing w:after="0" w:line="297" w:lineRule="auto"/>
        <w:tabs>
          <w:tab w:leader="none" w:pos="1821"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an Ownership Change Event or series of related Ownership Change Events (collectively, a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Transaction</w:t>
      </w:r>
      <w:r>
        <w:rPr>
          <w:rFonts w:ascii="Arial" w:cs="Arial" w:eastAsia="Arial" w:hAnsi="Arial"/>
          <w:sz w:val="16"/>
          <w:szCs w:val="16"/>
          <w:i w:val="1"/>
          <w:iCs w:val="1"/>
          <w:color w:val="auto"/>
        </w:rPr>
        <w:t>”</w:t>
      </w:r>
      <w:r>
        <w:rPr>
          <w:rFonts w:ascii="Arial" w:cs="Arial" w:eastAsia="Arial" w:hAnsi="Arial"/>
          <w:sz w:val="16"/>
          <w:szCs w:val="16"/>
          <w:color w:val="auto"/>
        </w:rPr>
        <w:t xml:space="preserve">)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2.1(dd)(iii), the entity to which the assets of the Company were transferred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Transferee</w:t>
      </w:r>
      <w:r>
        <w:rPr>
          <w:rFonts w:ascii="Arial" w:cs="Arial" w:eastAsia="Arial" w:hAnsi="Arial"/>
          <w:sz w:val="16"/>
          <w:szCs w:val="16"/>
          <w:i w:val="1"/>
          <w:iCs w:val="1"/>
          <w:color w:val="auto"/>
        </w:rPr>
        <w:t>”</w:t>
      </w:r>
      <w:r>
        <w:rPr>
          <w:rFonts w:ascii="Arial" w:cs="Arial" w:eastAsia="Arial" w:hAnsi="Arial"/>
          <w:sz w:val="16"/>
          <w:szCs w:val="16"/>
          <w:color w:val="auto"/>
        </w:rPr>
        <w:t>), as the case may be; or</w:t>
      </w:r>
    </w:p>
    <w:p>
      <w:pPr>
        <w:spacing w:after="0" w:line="131" w:lineRule="exact"/>
        <w:rPr>
          <w:rFonts w:ascii="Arial" w:cs="Arial" w:eastAsia="Arial" w:hAnsi="Arial"/>
          <w:sz w:val="16"/>
          <w:szCs w:val="16"/>
          <w:color w:val="auto"/>
        </w:rPr>
      </w:pPr>
    </w:p>
    <w:p>
      <w:pPr>
        <w:ind w:left="1860" w:hanging="312"/>
        <w:spacing w:after="0"/>
        <w:tabs>
          <w:tab w:leader="none" w:pos="1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liquidation or dissolution of the Company;</w:t>
      </w:r>
    </w:p>
    <w:p>
      <w:pPr>
        <w:spacing w:after="0" w:line="185" w:lineRule="exact"/>
        <w:rPr>
          <w:sz w:val="20"/>
          <w:szCs w:val="20"/>
          <w:color w:val="auto"/>
        </w:rPr>
      </w:pPr>
    </w:p>
    <w:p>
      <w:pPr>
        <w:ind w:right="219"/>
        <w:spacing w:after="0" w:line="254" w:lineRule="auto"/>
        <w:rPr>
          <w:sz w:val="20"/>
          <w:szCs w:val="20"/>
          <w:color w:val="auto"/>
        </w:rPr>
      </w:pPr>
      <w:r>
        <w:rPr>
          <w:rFonts w:ascii="Arial" w:cs="Arial" w:eastAsia="Arial" w:hAnsi="Arial"/>
          <w:sz w:val="18"/>
          <w:szCs w:val="18"/>
          <w:color w:val="auto"/>
        </w:rPr>
        <w:t>provided, however, that a Change in Control shall be deemed not to include a transaction described in subsections (i) or (ii) of this Section 2.1(g) in which a majority of the members of the board of directors of the continuing, surviving or successor entity, or parent thereof, immediately after such transaction is comprised of Incumbent Directors. 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sales or exchanges of the voting securities of the Company or multiple Ownership Change Events are related, and its determination shall be final, binding and conclusive.</w:t>
      </w:r>
    </w:p>
    <w:p>
      <w:pPr>
        <w:spacing w:after="0" w:line="152" w:lineRule="exact"/>
        <w:rPr>
          <w:sz w:val="20"/>
          <w:szCs w:val="20"/>
          <w:color w:val="auto"/>
        </w:rPr>
      </w:pPr>
    </w:p>
    <w:p>
      <w:pPr>
        <w:ind w:right="319" w:firstLine="1159"/>
        <w:spacing w:after="0" w:line="277" w:lineRule="auto"/>
        <w:tabs>
          <w:tab w:leader="none" w:pos="1421"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Internal Revenue Code of 1986, as amended, and any applicable regulations or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promulgated thereunder.</w:t>
      </w:r>
    </w:p>
    <w:p>
      <w:pPr>
        <w:spacing w:after="0" w:line="143" w:lineRule="exact"/>
        <w:rPr>
          <w:rFonts w:ascii="Arial" w:cs="Arial" w:eastAsia="Arial" w:hAnsi="Arial"/>
          <w:sz w:val="18"/>
          <w:szCs w:val="18"/>
          <w:color w:val="auto"/>
        </w:rPr>
      </w:pPr>
    </w:p>
    <w:p>
      <w:pPr>
        <w:jc w:val="both"/>
        <w:ind w:right="179" w:firstLine="1159"/>
        <w:spacing w:after="0" w:line="302" w:lineRule="auto"/>
        <w:tabs>
          <w:tab w:leader="none" w:pos="1382"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means the Compensation Committee and such other committee or subcommittee of the Board, if any,</w:t>
      </w:r>
      <w:r>
        <w:rPr>
          <w:rFonts w:ascii="Arial" w:cs="Arial" w:eastAsia="Arial" w:hAnsi="Arial"/>
          <w:sz w:val="16"/>
          <w:szCs w:val="16"/>
          <w:i w:val="1"/>
          <w:iCs w:val="1"/>
          <w:color w:val="auto"/>
        </w:rPr>
        <w:t xml:space="preserve"> </w:t>
      </w:r>
      <w:r>
        <w:rPr>
          <w:rFonts w:ascii="Arial" w:cs="Arial" w:eastAsia="Arial" w:hAnsi="Arial"/>
          <w:sz w:val="16"/>
          <w:szCs w:val="16"/>
          <w:color w:val="auto"/>
        </w:rPr>
        <w:t>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w:t>
      </w:r>
    </w:p>
    <w:p>
      <w:pPr>
        <w:spacing w:after="0" w:line="113" w:lineRule="exact"/>
        <w:rPr>
          <w:rFonts w:ascii="Arial" w:cs="Arial" w:eastAsia="Arial" w:hAnsi="Arial"/>
          <w:sz w:val="16"/>
          <w:szCs w:val="16"/>
          <w:color w:val="auto"/>
        </w:rPr>
      </w:pPr>
    </w:p>
    <w:p>
      <w:pPr>
        <w:ind w:left="1380" w:hanging="221"/>
        <w:spacing w:after="0"/>
        <w:tabs>
          <w:tab w:leader="none" w:pos="13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means Grand Canyon Education, Inc., a Delaware corporation, or any successor corporation thereto.</w:t>
      </w:r>
    </w:p>
    <w:p>
      <w:pPr>
        <w:spacing w:after="0" w:line="207" w:lineRule="exact"/>
        <w:rPr>
          <w:rFonts w:ascii="Arial" w:cs="Arial" w:eastAsia="Arial" w:hAnsi="Arial"/>
          <w:sz w:val="16"/>
          <w:szCs w:val="16"/>
          <w:color w:val="auto"/>
        </w:rPr>
      </w:pPr>
    </w:p>
    <w:p>
      <w:pPr>
        <w:ind w:right="179" w:firstLine="1159"/>
        <w:spacing w:after="0" w:line="259" w:lineRule="auto"/>
        <w:tabs>
          <w:tab w:leader="none" w:pos="1421"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person engaged to provide consulting or advisory services (other than as an Employee or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Board)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159" w:lineRule="exact"/>
        <w:rPr>
          <w:rFonts w:ascii="Arial" w:cs="Arial" w:eastAsia="Arial" w:hAnsi="Arial"/>
          <w:sz w:val="18"/>
          <w:szCs w:val="18"/>
          <w:color w:val="auto"/>
        </w:rPr>
      </w:pPr>
    </w:p>
    <w:p>
      <w:pPr>
        <w:ind w:right="179" w:firstLine="1159"/>
        <w:spacing w:after="0" w:line="276" w:lineRule="auto"/>
        <w:tabs>
          <w:tab w:leader="none" w:pos="1382"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Covered Employee</w:t>
      </w:r>
      <w:r>
        <w:rPr>
          <w:rFonts w:ascii="Arial" w:cs="Arial" w:eastAsia="Arial" w:hAnsi="Arial"/>
          <w:sz w:val="17"/>
          <w:szCs w:val="17"/>
          <w:i w:val="1"/>
          <w:iCs w:val="1"/>
          <w:color w:val="auto"/>
        </w:rPr>
        <w:t>”</w:t>
      </w:r>
      <w:r>
        <w:rPr>
          <w:rFonts w:ascii="Arial" w:cs="Arial" w:eastAsia="Arial" w:hAnsi="Arial"/>
          <w:sz w:val="17"/>
          <w:szCs w:val="17"/>
          <w:color w:val="auto"/>
        </w:rPr>
        <w:t xml:space="preserve"> means, at any time the Plan is subject to Section 162(m), any Employee who is or may reasonably be expected to become a “covered employee” as defined in Section 162(m), or any successor statute, and who is designated, either as an individual Employee or a member of a class of Employees, by the Committee no later than (i) the date that is ninety (90) days after the beginning of the Performance Period, or (ii) the date on which twenty-five percent (25%) of the Performance Period has elapsed, as a “Covered Employee” under this Plan for such applicable Performance Period.</w:t>
      </w: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45" w:name="page46"/>
    <w:bookmarkEnd w:id="45"/>
    <w:p>
      <w:pPr>
        <w:ind w:left="1460" w:hanging="301"/>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member of the Board.</w:t>
      </w:r>
    </w:p>
    <w:p>
      <w:pPr>
        <w:spacing w:after="0" w:line="198" w:lineRule="exact"/>
        <w:rPr>
          <w:rFonts w:ascii="Arial" w:cs="Arial" w:eastAsia="Arial" w:hAnsi="Arial"/>
          <w:sz w:val="18"/>
          <w:szCs w:val="18"/>
          <w:color w:val="auto"/>
        </w:rPr>
      </w:pPr>
    </w:p>
    <w:p>
      <w:pPr>
        <w:ind w:left="1420" w:hanging="261"/>
        <w:spacing w:after="0"/>
        <w:tabs>
          <w:tab w:leader="none" w:pos="14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i w:val="1"/>
          <w:iCs w:val="1"/>
          <w:color w:val="auto"/>
        </w:rPr>
        <w:t xml:space="preserve">” </w:t>
      </w:r>
      <w:r>
        <w:rPr>
          <w:rFonts w:ascii="Arial" w:cs="Arial" w:eastAsia="Arial" w:hAnsi="Arial"/>
          <w:sz w:val="16"/>
          <w:szCs w:val="16"/>
          <w:color w:val="auto"/>
        </w:rPr>
        <w:t>means the permanent and total disability of the Participant, within the meaning of Section 22(e)(3)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Code.</w:t>
      </w:r>
    </w:p>
    <w:p>
      <w:pPr>
        <w:spacing w:after="0" w:line="170" w:lineRule="exact"/>
        <w:rPr>
          <w:sz w:val="20"/>
          <w:szCs w:val="20"/>
          <w:color w:val="auto"/>
        </w:rPr>
      </w:pPr>
    </w:p>
    <w:p>
      <w:pPr>
        <w:ind w:right="199" w:firstLine="1159"/>
        <w:spacing w:after="0" w:line="286" w:lineRule="auto"/>
        <w:tabs>
          <w:tab w:leader="none" w:pos="1421"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Dividend Equivalent Right</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right of a Participant, granted at the discretion of the Committee or as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provided by the Plan, to receive a credit for the account of such Participant in an amount equal to the cash dividends paid on one share of Stock for each share of Stock represented by an Award held by such Participant.</w:t>
      </w:r>
    </w:p>
    <w:p>
      <w:pPr>
        <w:spacing w:after="0" w:line="125" w:lineRule="exact"/>
        <w:rPr>
          <w:rFonts w:ascii="Arial" w:cs="Arial" w:eastAsia="Arial" w:hAnsi="Arial"/>
          <w:sz w:val="17"/>
          <w:szCs w:val="17"/>
          <w:color w:val="auto"/>
        </w:rPr>
      </w:pPr>
    </w:p>
    <w:p>
      <w:pPr>
        <w:ind w:right="159" w:firstLine="1159"/>
        <w:spacing w:after="0" w:line="289" w:lineRule="auto"/>
        <w:tabs>
          <w:tab w:leader="none" w:pos="1421"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any person treated as an employee (including an Officer or a member of the Board who is also</w:t>
      </w:r>
      <w:r>
        <w:rPr>
          <w:rFonts w:ascii="Arial" w:cs="Arial" w:eastAsia="Arial" w:hAnsi="Arial"/>
          <w:sz w:val="16"/>
          <w:szCs w:val="16"/>
          <w:i w:val="1"/>
          <w:iCs w:val="1"/>
          <w:color w:val="auto"/>
        </w:rPr>
        <w:t xml:space="preserve"> </w:t>
      </w:r>
      <w:r>
        <w:rPr>
          <w:rFonts w:ascii="Arial" w:cs="Arial" w:eastAsia="Arial" w:hAnsi="Arial"/>
          <w:sz w:val="16"/>
          <w:szCs w:val="16"/>
          <w:color w:val="auto"/>
        </w:rPr>
        <w:t>treated as an employee) in the records of a Participating Company and, with respect to any Incentive Stock Option granted to such person, who is an employee for purposes of Section 422 of the Code; provided, however, that neither service as a member of the Board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139" w:lineRule="exact"/>
        <w:rPr>
          <w:rFonts w:ascii="Arial" w:cs="Arial" w:eastAsia="Arial" w:hAnsi="Arial"/>
          <w:sz w:val="16"/>
          <w:szCs w:val="16"/>
          <w:color w:val="auto"/>
        </w:rPr>
      </w:pPr>
    </w:p>
    <w:p>
      <w:pPr>
        <w:ind w:left="1420" w:hanging="261"/>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Exchange Act of 1934, as amended.</w:t>
      </w:r>
    </w:p>
    <w:p>
      <w:pPr>
        <w:spacing w:after="0" w:line="184" w:lineRule="exact"/>
        <w:rPr>
          <w:rFonts w:ascii="Arial" w:cs="Arial" w:eastAsia="Arial" w:hAnsi="Arial"/>
          <w:sz w:val="18"/>
          <w:szCs w:val="18"/>
          <w:color w:val="auto"/>
        </w:rPr>
      </w:pPr>
    </w:p>
    <w:p>
      <w:pPr>
        <w:ind w:right="279" w:firstLine="1159"/>
        <w:spacing w:after="0" w:line="264" w:lineRule="auto"/>
        <w:tabs>
          <w:tab w:leader="none" w:pos="1391"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as of any date, the value of a share of Stock or other property as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its discretion, or by the Company, in its discretion, if such determination is expressly allocated to the Company herein, subject to the following:</w:t>
      </w:r>
    </w:p>
    <w:p>
      <w:pPr>
        <w:spacing w:after="0" w:line="140" w:lineRule="exact"/>
        <w:rPr>
          <w:rFonts w:ascii="Arial" w:cs="Arial" w:eastAsia="Arial" w:hAnsi="Arial"/>
          <w:sz w:val="18"/>
          <w:szCs w:val="18"/>
          <w:color w:val="auto"/>
        </w:rPr>
      </w:pPr>
    </w:p>
    <w:p>
      <w:pPr>
        <w:ind w:right="219" w:firstLine="1548"/>
        <w:spacing w:after="0" w:line="272" w:lineRule="auto"/>
        <w:tabs>
          <w:tab w:leader="none" w:pos="1770"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46" w:name="page47"/>
    <w:bookmarkEnd w:id="46"/>
    <w:p>
      <w:pPr>
        <w:ind w:right="239" w:firstLine="1548"/>
        <w:spacing w:after="0" w:line="289" w:lineRule="auto"/>
        <w:tabs>
          <w:tab w:leader="none" w:pos="1821" w:val="left"/>
        </w:tabs>
        <w:numPr>
          <w:ilvl w:val="1"/>
          <w:numId w:val="27"/>
        </w:numPr>
        <w:rPr>
          <w:rFonts w:ascii="Arial" w:cs="Arial" w:eastAsia="Arial" w:hAnsi="Arial"/>
          <w:sz w:val="16"/>
          <w:szCs w:val="16"/>
          <w:color w:val="auto"/>
        </w:rPr>
      </w:pPr>
      <w:r>
        <w:rPr>
          <w:rFonts w:ascii="Arial" w:cs="Arial" w:eastAsia="Arial" w:hAnsi="Arial"/>
          <w:sz w:val="16"/>
          <w:szCs w:val="16"/>
          <w:color w:val="auto"/>
        </w:rPr>
        <w:t>Notwithstanding the foregoing, the Committee may, in its discretion, determine the Fair Market Value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quotation system, or on any other basis consistent with the requirements of Section 409A. The Committee may also determine the Fair Market Value upon the average selling price of the Stock during a specified period that is within thirty (30) days before or thirty (30) days after such date, provided that, with respect to the grant of an Option or SAR, the commitment to grant such Award based on such valuation method must be irrevocable before the beginning of the specified period. The Committee may vary its method of determination of the Fair Market Value as provided in this Section for different purposes under the Plan to the extent consistent with the requirements of Section 409A.</w:t>
      </w:r>
    </w:p>
    <w:p>
      <w:pPr>
        <w:spacing w:after="0" w:line="139" w:lineRule="exact"/>
        <w:rPr>
          <w:rFonts w:ascii="Arial" w:cs="Arial" w:eastAsia="Arial" w:hAnsi="Arial"/>
          <w:sz w:val="16"/>
          <w:szCs w:val="16"/>
          <w:color w:val="auto"/>
        </w:rPr>
      </w:pPr>
    </w:p>
    <w:p>
      <w:pPr>
        <w:ind w:right="359" w:firstLine="1548"/>
        <w:spacing w:after="0" w:line="259" w:lineRule="auto"/>
        <w:tabs>
          <w:tab w:leader="none" w:pos="1871"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w:t>
      </w:r>
    </w:p>
    <w:p>
      <w:pPr>
        <w:spacing w:after="0" w:line="146" w:lineRule="exact"/>
        <w:rPr>
          <w:rFonts w:ascii="Arial" w:cs="Arial" w:eastAsia="Arial" w:hAnsi="Arial"/>
          <w:sz w:val="18"/>
          <w:szCs w:val="18"/>
          <w:color w:val="auto"/>
        </w:rPr>
      </w:pPr>
    </w:p>
    <w:p>
      <w:pPr>
        <w:ind w:right="699" w:firstLine="1159"/>
        <w:spacing w:after="0" w:line="277" w:lineRule="auto"/>
        <w:tabs>
          <w:tab w:leader="none" w:pos="140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intended to be (as set forth in the Award Agreement) and which</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qualifies as an incentive stock option within the meaning of Section 422(b) of the Code.</w:t>
      </w:r>
    </w:p>
    <w:p>
      <w:pPr>
        <w:spacing w:after="0" w:line="129" w:lineRule="exact"/>
        <w:rPr>
          <w:rFonts w:ascii="Arial" w:cs="Arial" w:eastAsia="Arial" w:hAnsi="Arial"/>
          <w:sz w:val="18"/>
          <w:szCs w:val="18"/>
          <w:color w:val="auto"/>
        </w:rPr>
      </w:pPr>
    </w:p>
    <w:p>
      <w:pPr>
        <w:jc w:val="both"/>
        <w:ind w:right="179" w:firstLine="1159"/>
        <w:spacing w:after="0" w:line="259" w:lineRule="auto"/>
        <w:tabs>
          <w:tab w:leader="none" w:pos="138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Incumbent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director who either (i) is a member of the Board as of the Effective Date, or (ii) is</w:t>
      </w:r>
      <w:r>
        <w:rPr>
          <w:rFonts w:ascii="Arial" w:cs="Arial" w:eastAsia="Arial" w:hAnsi="Arial"/>
          <w:sz w:val="18"/>
          <w:szCs w:val="18"/>
          <w:i w:val="1"/>
          <w:iCs w:val="1"/>
          <w:color w:val="auto"/>
        </w:rPr>
        <w:t xml:space="preserve"> </w:t>
      </w:r>
      <w:r>
        <w:rPr>
          <w:rFonts w:ascii="Arial" w:cs="Arial" w:eastAsia="Arial" w:hAnsi="Arial"/>
          <w:sz w:val="18"/>
          <w:szCs w:val="18"/>
          <w:color w:val="auto"/>
        </w:rPr>
        <w:t>elected, or nominated for election, to the Board with the affirmative votes of at least a majority of the Incumbent Directors at the time of such election or nomination, but who was not elected or nominated in connection with an actual or threatened proxy contest relating to the election of directors of the Company.</w:t>
      </w:r>
    </w:p>
    <w:p>
      <w:pPr>
        <w:spacing w:after="0" w:line="159" w:lineRule="exact"/>
        <w:rPr>
          <w:rFonts w:ascii="Arial" w:cs="Arial" w:eastAsia="Arial" w:hAnsi="Arial"/>
          <w:sz w:val="18"/>
          <w:szCs w:val="18"/>
          <w:color w:val="auto"/>
        </w:rPr>
      </w:pPr>
    </w:p>
    <w:p>
      <w:pPr>
        <w:ind w:left="1420" w:hanging="261"/>
        <w:spacing w:after="0"/>
        <w:tabs>
          <w:tab w:leader="none" w:pos="14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Insider</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 Officer, Director or any other person whose transactions in Stock are subject to Section 16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Exchange Act.</w:t>
      </w:r>
    </w:p>
    <w:p>
      <w:pPr>
        <w:spacing w:after="0" w:line="170" w:lineRule="exact"/>
        <w:rPr>
          <w:rFonts w:ascii="Arial" w:cs="Arial" w:eastAsia="Arial" w:hAnsi="Arial"/>
          <w:sz w:val="16"/>
          <w:szCs w:val="16"/>
          <w:color w:val="auto"/>
        </w:rPr>
      </w:pPr>
    </w:p>
    <w:p>
      <w:pPr>
        <w:jc w:val="both"/>
        <w:ind w:right="439" w:firstLine="1159"/>
        <w:spacing w:after="0" w:line="264" w:lineRule="auto"/>
        <w:tabs>
          <w:tab w:leader="none" w:pos="142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Insider Trading Policy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written policy of the Company pertaining to the purchase, sale, transfer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disposition of the Company’s equity securities by Directors, Officers, Employees or other service providers who may possess material, nonpublic information regarding the Company or its securities.</w:t>
      </w:r>
    </w:p>
    <w:p>
      <w:pPr>
        <w:spacing w:after="0" w:line="140" w:lineRule="exact"/>
        <w:rPr>
          <w:rFonts w:ascii="Arial" w:cs="Arial" w:eastAsia="Arial" w:hAnsi="Arial"/>
          <w:sz w:val="18"/>
          <w:szCs w:val="18"/>
          <w:color w:val="auto"/>
        </w:rPr>
      </w:pPr>
    </w:p>
    <w:p>
      <w:pPr>
        <w:ind w:right="299" w:firstLine="1159"/>
        <w:spacing w:after="0" w:line="277" w:lineRule="auto"/>
        <w:tabs>
          <w:tab w:leader="none" w:pos="146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Net-Exercise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procedure by which the Participant will be issued a number of shares of Stock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an Option determined in accordance with the following formula:</w:t>
      </w:r>
    </w:p>
    <w:p>
      <w:pPr>
        <w:spacing w:after="0" w:line="14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 = X*((A-B)/A), where</w:t>
      </w:r>
    </w:p>
    <w:p>
      <w:pPr>
        <w:spacing w:after="0" w:line="18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 = the number of shares of Stock to be issued to the Participant upon exercise of the Option;</w:t>
      </w:r>
    </w:p>
    <w:p>
      <w:pPr>
        <w:spacing w:after="0" w:line="23" w:lineRule="exact"/>
        <w:rPr>
          <w:sz w:val="20"/>
          <w:szCs w:val="20"/>
          <w:color w:val="auto"/>
        </w:rPr>
      </w:pPr>
    </w:p>
    <w:p>
      <w:pPr>
        <w:ind w:left="1940" w:right="399"/>
        <w:spacing w:after="0" w:line="255" w:lineRule="auto"/>
        <w:rPr>
          <w:sz w:val="20"/>
          <w:szCs w:val="20"/>
          <w:color w:val="auto"/>
        </w:rPr>
      </w:pPr>
      <w:r>
        <w:rPr>
          <w:rFonts w:ascii="Arial" w:cs="Arial" w:eastAsia="Arial" w:hAnsi="Arial"/>
          <w:sz w:val="18"/>
          <w:szCs w:val="18"/>
          <w:color w:val="auto"/>
        </w:rPr>
        <w:t>“X” = the total number of shares with respect to which the Participant has elected to exercise the Option; “A” = the Fair Market Value of one (1) share of Stock determined on the exercise date; and “B” = the exercise price per share (as defined in the Participant’s Award Agreement)</w:t>
      </w:r>
    </w:p>
    <w:p>
      <w:pPr>
        <w:spacing w:after="0" w:line="200" w:lineRule="exact"/>
        <w:rPr>
          <w:sz w:val="20"/>
          <w:szCs w:val="20"/>
          <w:color w:val="auto"/>
        </w:rPr>
      </w:pP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7" w:name="page48"/>
    <w:bookmarkEnd w:id="47"/>
    <w:p>
      <w:pPr>
        <w:ind w:left="1420" w:hanging="261"/>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Director who is not an Employee.</w:t>
      </w:r>
    </w:p>
    <w:p>
      <w:pPr>
        <w:spacing w:after="0" w:line="198" w:lineRule="exact"/>
        <w:rPr>
          <w:rFonts w:ascii="Arial" w:cs="Arial" w:eastAsia="Arial" w:hAnsi="Arial"/>
          <w:sz w:val="18"/>
          <w:szCs w:val="18"/>
          <w:color w:val="auto"/>
        </w:rPr>
      </w:pPr>
    </w:p>
    <w:p>
      <w:pPr>
        <w:ind w:right="259" w:firstLine="1159"/>
        <w:spacing w:after="0" w:line="308" w:lineRule="auto"/>
        <w:tabs>
          <w:tab w:leader="none" w:pos="1421"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Nonemployee Director Award</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Nonstatutory Stock Option, Stock Appreciation Right, 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Award or Restricted Stock Unit Award granted to a Nonemployee Director pursuant to Section 12 of the Plan.</w:t>
      </w:r>
    </w:p>
    <w:p>
      <w:pPr>
        <w:spacing w:after="0" w:line="106" w:lineRule="exact"/>
        <w:rPr>
          <w:rFonts w:ascii="Arial" w:cs="Arial" w:eastAsia="Arial" w:hAnsi="Arial"/>
          <w:sz w:val="17"/>
          <w:szCs w:val="17"/>
          <w:color w:val="auto"/>
        </w:rPr>
      </w:pPr>
    </w:p>
    <w:p>
      <w:pPr>
        <w:ind w:right="719" w:firstLine="1159"/>
        <w:spacing w:after="0" w:line="277" w:lineRule="auto"/>
        <w:tabs>
          <w:tab w:leader="none" w:pos="1411"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not intended to be (as set forth in the Award Agreement)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 within the meaning of Section 422(b) of the Code.</w:t>
      </w:r>
    </w:p>
    <w:p>
      <w:pPr>
        <w:spacing w:after="0" w:line="130" w:lineRule="exact"/>
        <w:rPr>
          <w:sz w:val="20"/>
          <w:szCs w:val="20"/>
          <w:color w:val="auto"/>
        </w:rPr>
      </w:pPr>
    </w:p>
    <w:p>
      <w:pPr>
        <w:ind w:left="1480" w:hanging="321"/>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person designated by the Board as an officer of the Company.</w:t>
      </w:r>
    </w:p>
    <w:p>
      <w:pPr>
        <w:spacing w:after="0" w:line="198" w:lineRule="exact"/>
        <w:rPr>
          <w:rFonts w:ascii="Arial" w:cs="Arial" w:eastAsia="Arial" w:hAnsi="Arial"/>
          <w:sz w:val="18"/>
          <w:szCs w:val="18"/>
          <w:color w:val="auto"/>
        </w:rPr>
      </w:pPr>
    </w:p>
    <w:p>
      <w:pPr>
        <w:ind w:left="1500" w:hanging="341"/>
        <w:spacing w:after="0"/>
        <w:tabs>
          <w:tab w:leader="none" w:pos="150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Option</w:t>
      </w:r>
      <w:r>
        <w:rPr>
          <w:rFonts w:ascii="Arial" w:cs="Arial" w:eastAsia="Arial" w:hAnsi="Arial"/>
          <w:sz w:val="17"/>
          <w:szCs w:val="17"/>
          <w:i w:val="1"/>
          <w:iCs w:val="1"/>
          <w:color w:val="auto"/>
        </w:rPr>
        <w:t xml:space="preserve">” </w:t>
      </w:r>
      <w:r>
        <w:rPr>
          <w:rFonts w:ascii="Arial" w:cs="Arial" w:eastAsia="Arial" w:hAnsi="Arial"/>
          <w:sz w:val="17"/>
          <w:szCs w:val="17"/>
          <w:color w:val="auto"/>
        </w:rPr>
        <w:t>means an Incentive Stock Option or a Nonstatutory Stock Option granted pursuant to the Plan.</w:t>
      </w:r>
    </w:p>
    <w:p>
      <w:pPr>
        <w:spacing w:after="0" w:line="196" w:lineRule="exact"/>
        <w:rPr>
          <w:rFonts w:ascii="Arial" w:cs="Arial" w:eastAsia="Arial" w:hAnsi="Arial"/>
          <w:sz w:val="17"/>
          <w:szCs w:val="17"/>
          <w:color w:val="auto"/>
        </w:rPr>
      </w:pPr>
    </w:p>
    <w:p>
      <w:pPr>
        <w:ind w:left="1480" w:hanging="321"/>
        <w:spacing w:after="0"/>
        <w:tabs>
          <w:tab w:leader="none" w:pos="148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Other Stock-Based Award</w:t>
      </w:r>
      <w:r>
        <w:rPr>
          <w:rFonts w:ascii="Arial" w:cs="Arial" w:eastAsia="Arial" w:hAnsi="Arial"/>
          <w:sz w:val="17"/>
          <w:szCs w:val="17"/>
          <w:i w:val="1"/>
          <w:iCs w:val="1"/>
          <w:color w:val="auto"/>
        </w:rPr>
        <w:t xml:space="preserve">” </w:t>
      </w:r>
      <w:r>
        <w:rPr>
          <w:rFonts w:ascii="Arial" w:cs="Arial" w:eastAsia="Arial" w:hAnsi="Arial"/>
          <w:sz w:val="17"/>
          <w:szCs w:val="17"/>
          <w:color w:val="auto"/>
        </w:rPr>
        <w:t>means an Award denominated in shares of Stock and granted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170" w:lineRule="exact"/>
        <w:rPr>
          <w:sz w:val="20"/>
          <w:szCs w:val="20"/>
          <w:color w:val="auto"/>
        </w:rPr>
      </w:pPr>
    </w:p>
    <w:p>
      <w:pPr>
        <w:ind w:right="319" w:firstLine="1159"/>
        <w:spacing w:after="0" w:line="257" w:lineRule="auto"/>
        <w:tabs>
          <w:tab w:leader="none" w:pos="151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Ownership Change Event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occurrence of any of the following with respect to the Company: (i) the</w:t>
      </w:r>
      <w:r>
        <w:rPr>
          <w:rFonts w:ascii="Arial" w:cs="Arial" w:eastAsia="Arial" w:hAnsi="Arial"/>
          <w:sz w:val="18"/>
          <w:szCs w:val="18"/>
          <w:i w:val="1"/>
          <w:iCs w:val="1"/>
          <w:color w:val="auto"/>
        </w:rPr>
        <w:t xml:space="preserve"> </w:t>
      </w:r>
      <w:r>
        <w:rPr>
          <w:rFonts w:ascii="Arial" w:cs="Arial" w:eastAsia="Arial" w:hAnsi="Arial"/>
          <w:sz w:val="18"/>
          <w:szCs w:val="18"/>
          <w:color w:val="auto"/>
        </w:rPr>
        <w:t>direct or indirect sale or exchange in a single or series of related transactions by the stockholders of the Company of more than fifty percent (50%) of the voting stock of the Company; (ii) a merger or consolidation in which the Company is a party; or (iii) the sale, exchange, or transfer of all or substantially all of the assets of the Company (other than a sale, exchange or transfer to one or more subsidiaries of the Company).</w:t>
      </w:r>
    </w:p>
    <w:p>
      <w:pPr>
        <w:spacing w:after="0" w:line="161" w:lineRule="exact"/>
        <w:rPr>
          <w:rFonts w:ascii="Arial" w:cs="Arial" w:eastAsia="Arial" w:hAnsi="Arial"/>
          <w:sz w:val="18"/>
          <w:szCs w:val="18"/>
          <w:color w:val="auto"/>
        </w:rPr>
      </w:pPr>
    </w:p>
    <w:p>
      <w:pPr>
        <w:ind w:left="1480" w:hanging="321"/>
        <w:spacing w:after="0"/>
        <w:tabs>
          <w:tab w:leader="none" w:pos="148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Parent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any present or future “parent corporation” of the Company, as defined in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424(e) of the Code.</w:t>
      </w:r>
    </w:p>
    <w:p>
      <w:pPr>
        <w:spacing w:after="0" w:line="170" w:lineRule="exact"/>
        <w:rPr>
          <w:rFonts w:ascii="Arial" w:cs="Arial" w:eastAsia="Arial" w:hAnsi="Arial"/>
          <w:sz w:val="16"/>
          <w:szCs w:val="16"/>
          <w:color w:val="auto"/>
        </w:rPr>
      </w:pPr>
    </w:p>
    <w:p>
      <w:pPr>
        <w:ind w:left="1440" w:hanging="281"/>
        <w:spacing w:after="0"/>
        <w:tabs>
          <w:tab w:leader="none" w:pos="14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eligible person who has been granted one or more Awards.</w:t>
      </w:r>
    </w:p>
    <w:p>
      <w:pPr>
        <w:spacing w:after="0" w:line="184" w:lineRule="exact"/>
        <w:rPr>
          <w:rFonts w:ascii="Arial" w:cs="Arial" w:eastAsia="Arial" w:hAnsi="Arial"/>
          <w:sz w:val="18"/>
          <w:szCs w:val="18"/>
          <w:color w:val="auto"/>
        </w:rPr>
      </w:pPr>
    </w:p>
    <w:p>
      <w:pPr>
        <w:ind w:left="1500" w:hanging="341"/>
        <w:spacing w:after="0"/>
        <w:tabs>
          <w:tab w:leader="none" w:pos="15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Participating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means the Company or any Parent Corporation, Subsidiary Corporation or Affiliate.</w:t>
      </w:r>
    </w:p>
    <w:p>
      <w:pPr>
        <w:spacing w:after="0" w:line="221" w:lineRule="exact"/>
        <w:rPr>
          <w:rFonts w:ascii="Arial" w:cs="Arial" w:eastAsia="Arial" w:hAnsi="Arial"/>
          <w:sz w:val="16"/>
          <w:szCs w:val="16"/>
          <w:color w:val="auto"/>
        </w:rPr>
      </w:pPr>
    </w:p>
    <w:p>
      <w:pPr>
        <w:ind w:right="479" w:firstLine="1159"/>
        <w:spacing w:after="0" w:line="277" w:lineRule="auto"/>
        <w:tabs>
          <w:tab w:leader="none" w:pos="151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 Group</w:t>
      </w:r>
      <w:r>
        <w:rPr>
          <w:rFonts w:ascii="Arial" w:cs="Arial" w:eastAsia="Arial" w:hAnsi="Arial"/>
          <w:sz w:val="18"/>
          <w:szCs w:val="18"/>
          <w:i w:val="1"/>
          <w:iCs w:val="1"/>
          <w:color w:val="auto"/>
        </w:rPr>
        <w:t xml:space="preserve">” </w:t>
      </w:r>
      <w:r>
        <w:rPr>
          <w:rFonts w:ascii="Arial" w:cs="Arial" w:eastAsia="Arial" w:hAnsi="Arial"/>
          <w:sz w:val="18"/>
          <w:szCs w:val="18"/>
          <w:color w:val="auto"/>
        </w:rPr>
        <w:t>means, at any point in time, the Company and all other entities collectively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then Participating Companies.</w:t>
      </w:r>
    </w:p>
    <w:p>
      <w:pPr>
        <w:spacing w:after="0" w:line="129" w:lineRule="exact"/>
        <w:rPr>
          <w:rFonts w:ascii="Arial" w:cs="Arial" w:eastAsia="Arial" w:hAnsi="Arial"/>
          <w:sz w:val="18"/>
          <w:szCs w:val="18"/>
          <w:color w:val="auto"/>
        </w:rPr>
      </w:pPr>
    </w:p>
    <w:p>
      <w:pPr>
        <w:ind w:left="1420" w:hanging="261"/>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of Performance Shares or Performance Units.</w:t>
      </w:r>
    </w:p>
    <w:p>
      <w:pPr>
        <w:spacing w:after="0" w:line="184" w:lineRule="exact"/>
        <w:rPr>
          <w:rFonts w:ascii="Arial" w:cs="Arial" w:eastAsia="Arial" w:hAnsi="Arial"/>
          <w:sz w:val="18"/>
          <w:szCs w:val="18"/>
          <w:color w:val="auto"/>
        </w:rPr>
      </w:pPr>
    </w:p>
    <w:p>
      <w:pPr>
        <w:jc w:val="both"/>
        <w:ind w:right="499" w:firstLine="1159"/>
        <w:spacing w:after="0" w:line="312" w:lineRule="auto"/>
        <w:tabs>
          <w:tab w:leader="none" w:pos="1432"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Performance Award Formula</w:t>
      </w:r>
      <w:r>
        <w:rPr>
          <w:rFonts w:ascii="Arial" w:cs="Arial" w:eastAsia="Arial" w:hAnsi="Arial"/>
          <w:sz w:val="16"/>
          <w:szCs w:val="16"/>
          <w:i w:val="1"/>
          <w:iCs w:val="1"/>
          <w:color w:val="auto"/>
        </w:rPr>
        <w:t xml:space="preserve">” </w:t>
      </w:r>
      <w:r>
        <w:rPr>
          <w:rFonts w:ascii="Arial" w:cs="Arial" w:eastAsia="Arial" w:hAnsi="Arial"/>
          <w:sz w:val="16"/>
          <w:szCs w:val="16"/>
          <w:color w:val="auto"/>
        </w:rPr>
        <w:t>means, for any Performance Award, a formula or table established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pursuant to Section 10.3 which provides the basis for computing the value of a Performance Award at one or more threshold levels of attainment of the applicable Performance Goal(s) measured as of the end of the applicable Performance Period.</w:t>
      </w: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8" w:name="page49"/>
    <w:bookmarkEnd w:id="48"/>
    <w:p>
      <w:pPr>
        <w:ind w:right="499" w:firstLine="1159"/>
        <w:spacing w:after="0" w:line="277" w:lineRule="auto"/>
        <w:tabs>
          <w:tab w:leader="none" w:pos="15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Performance-Based Compensation</w:t>
      </w:r>
      <w:r>
        <w:rPr>
          <w:rFonts w:ascii="Arial" w:cs="Arial" w:eastAsia="Arial" w:hAnsi="Arial"/>
          <w:sz w:val="18"/>
          <w:szCs w:val="18"/>
          <w:color w:val="auto"/>
        </w:rPr>
        <w:t>” means compensation under an Award that satisfies the requirements of Section 162(m) for certain performance-based compensation paid to Covered Employees.</w:t>
      </w:r>
    </w:p>
    <w:p>
      <w:pPr>
        <w:spacing w:after="0" w:line="143" w:lineRule="exact"/>
        <w:rPr>
          <w:rFonts w:ascii="Arial" w:cs="Arial" w:eastAsia="Arial" w:hAnsi="Arial"/>
          <w:sz w:val="18"/>
          <w:szCs w:val="18"/>
          <w:color w:val="auto"/>
        </w:rPr>
      </w:pPr>
    </w:p>
    <w:p>
      <w:pPr>
        <w:ind w:left="1420" w:hanging="261"/>
        <w:spacing w:after="0"/>
        <w:tabs>
          <w:tab w:leader="none" w:pos="142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Performance Goal</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performance goal established by the Committee pursuant to Section 10.3.</w:t>
      </w:r>
    </w:p>
    <w:p>
      <w:pPr>
        <w:spacing w:after="0" w:line="196" w:lineRule="exact"/>
        <w:rPr>
          <w:rFonts w:ascii="Arial" w:cs="Arial" w:eastAsia="Arial" w:hAnsi="Arial"/>
          <w:sz w:val="17"/>
          <w:szCs w:val="17"/>
          <w:color w:val="auto"/>
        </w:rPr>
      </w:pPr>
    </w:p>
    <w:p>
      <w:pPr>
        <w:ind w:right="519" w:firstLine="1159"/>
        <w:spacing w:after="0" w:line="277" w:lineRule="auto"/>
        <w:tabs>
          <w:tab w:leader="none" w:pos="161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period established by the Committee pursuant to Section 10.3 at the end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one or more Performance Goals are to be measured.</w:t>
      </w:r>
    </w:p>
    <w:p>
      <w:pPr>
        <w:spacing w:after="0" w:line="129" w:lineRule="exact"/>
        <w:rPr>
          <w:rFonts w:ascii="Arial" w:cs="Arial" w:eastAsia="Arial" w:hAnsi="Arial"/>
          <w:sz w:val="18"/>
          <w:szCs w:val="18"/>
          <w:color w:val="auto"/>
        </w:rPr>
      </w:pPr>
    </w:p>
    <w:p>
      <w:pPr>
        <w:ind w:right="159" w:firstLine="1159"/>
        <w:spacing w:after="0" w:line="277" w:lineRule="auto"/>
        <w:tabs>
          <w:tab w:leader="none" w:pos="1511"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to a Participant pursuant to Section 10 to receive a payment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value of a Performance Share, as determined by the Committee, based on performance.</w:t>
      </w:r>
    </w:p>
    <w:p>
      <w:pPr>
        <w:spacing w:after="0" w:line="143" w:lineRule="exact"/>
        <w:rPr>
          <w:rFonts w:ascii="Arial" w:cs="Arial" w:eastAsia="Arial" w:hAnsi="Arial"/>
          <w:sz w:val="18"/>
          <w:szCs w:val="18"/>
          <w:color w:val="auto"/>
        </w:rPr>
      </w:pPr>
    </w:p>
    <w:p>
      <w:pPr>
        <w:ind w:right="279" w:firstLine="1159"/>
        <w:spacing w:after="0" w:line="277" w:lineRule="auto"/>
        <w:tabs>
          <w:tab w:leader="none" w:pos="1511"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to a Participant pursuant to Section 10 to receive a payment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value of a Performance Unit, as determined by the Committee, based upon performance.</w:t>
      </w:r>
    </w:p>
    <w:p>
      <w:pPr>
        <w:spacing w:after="0" w:line="129" w:lineRule="exact"/>
        <w:rPr>
          <w:rFonts w:ascii="Arial" w:cs="Arial" w:eastAsia="Arial" w:hAnsi="Arial"/>
          <w:sz w:val="18"/>
          <w:szCs w:val="18"/>
          <w:color w:val="auto"/>
        </w:rPr>
      </w:pPr>
    </w:p>
    <w:p>
      <w:pPr>
        <w:ind w:left="1500" w:hanging="341"/>
        <w:spacing w:after="0"/>
        <w:tabs>
          <w:tab w:leader="none" w:pos="15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 Award of a Restricted Stock Bonus or a Restricted Stock Purchase Right.</w:t>
      </w:r>
    </w:p>
    <w:p>
      <w:pPr>
        <w:spacing w:after="0" w:line="207" w:lineRule="exact"/>
        <w:rPr>
          <w:rFonts w:ascii="Arial" w:cs="Arial" w:eastAsia="Arial" w:hAnsi="Arial"/>
          <w:sz w:val="16"/>
          <w:szCs w:val="16"/>
          <w:color w:val="auto"/>
        </w:rPr>
      </w:pPr>
    </w:p>
    <w:p>
      <w:pPr>
        <w:ind w:left="1500" w:hanging="341"/>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Bonus</w:t>
      </w:r>
      <w:r>
        <w:rPr>
          <w:rFonts w:ascii="Arial" w:cs="Arial" w:eastAsia="Arial" w:hAnsi="Arial"/>
          <w:sz w:val="18"/>
          <w:szCs w:val="18"/>
          <w:i w:val="1"/>
          <w:iCs w:val="1"/>
          <w:color w:val="auto"/>
        </w:rPr>
        <w:t xml:space="preserve">” </w:t>
      </w:r>
      <w:r>
        <w:rPr>
          <w:rFonts w:ascii="Arial" w:cs="Arial" w:eastAsia="Arial" w:hAnsi="Arial"/>
          <w:sz w:val="18"/>
          <w:szCs w:val="18"/>
          <w:color w:val="auto"/>
        </w:rPr>
        <w:t>means Stock granted to a Participant pursuant to Section 8 or Section 12.</w:t>
      </w:r>
    </w:p>
    <w:p>
      <w:pPr>
        <w:spacing w:after="0" w:line="198" w:lineRule="exact"/>
        <w:rPr>
          <w:rFonts w:ascii="Arial" w:cs="Arial" w:eastAsia="Arial" w:hAnsi="Arial"/>
          <w:sz w:val="18"/>
          <w:szCs w:val="18"/>
          <w:color w:val="auto"/>
        </w:rPr>
      </w:pPr>
    </w:p>
    <w:p>
      <w:pPr>
        <w:ind w:left="1440" w:hanging="281"/>
        <w:spacing w:after="0"/>
        <w:tabs>
          <w:tab w:leader="none" w:pos="144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Restricted Stock Purchase Right</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right to purchase Stock granted to a Participant pursuant to Section 8</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Section 12.</w:t>
      </w:r>
    </w:p>
    <w:p>
      <w:pPr>
        <w:spacing w:after="0" w:line="170" w:lineRule="exact"/>
        <w:rPr>
          <w:rFonts w:ascii="Arial" w:cs="Arial" w:eastAsia="Arial" w:hAnsi="Arial"/>
          <w:sz w:val="16"/>
          <w:szCs w:val="16"/>
          <w:color w:val="auto"/>
        </w:rPr>
      </w:pPr>
    </w:p>
    <w:p>
      <w:pPr>
        <w:ind w:left="1460" w:hanging="301"/>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to a Participant pursuant to Section 9 or</w:t>
      </w:r>
    </w:p>
    <w:p>
      <w:pPr>
        <w:spacing w:after="0" w:line="23" w:lineRule="exact"/>
        <w:rPr>
          <w:sz w:val="20"/>
          <w:szCs w:val="20"/>
          <w:color w:val="auto"/>
        </w:rPr>
      </w:pPr>
    </w:p>
    <w:p>
      <w:pPr>
        <w:ind w:right="299"/>
        <w:spacing w:after="0" w:line="261" w:lineRule="auto"/>
        <w:rPr>
          <w:sz w:val="20"/>
          <w:szCs w:val="20"/>
          <w:color w:val="auto"/>
        </w:rPr>
      </w:pPr>
      <w:r>
        <w:rPr>
          <w:rFonts w:ascii="Arial" w:cs="Arial" w:eastAsia="Arial" w:hAnsi="Arial"/>
          <w:sz w:val="18"/>
          <w:szCs w:val="18"/>
          <w:color w:val="auto"/>
        </w:rPr>
        <w:t>Section 12 to receive a share of Stock on a date determined in accordance with the provisions of such Sections, as applicable, and the Participant’s Award Agreement.</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(tt)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i w:val="1"/>
          <w:iCs w:val="1"/>
          <w:color w:val="auto"/>
        </w:rPr>
        <w:t>”</w:t>
      </w:r>
      <w:r>
        <w:rPr>
          <w:rFonts w:ascii="Arial" w:cs="Arial" w:eastAsia="Arial" w:hAnsi="Arial"/>
          <w:sz w:val="16"/>
          <w:szCs w:val="16"/>
          <w:color w:val="auto"/>
        </w:rPr>
        <w:t xml:space="preserve"> means Rule 16b-3 under the Exchange Act, as amended from time to time, or any successor rule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regulation.</w:t>
      </w:r>
    </w:p>
    <w:p>
      <w:pPr>
        <w:spacing w:after="0" w:line="184" w:lineRule="exact"/>
        <w:rPr>
          <w:sz w:val="20"/>
          <w:szCs w:val="20"/>
          <w:color w:val="auto"/>
        </w:rPr>
      </w:pPr>
    </w:p>
    <w:p>
      <w:pPr>
        <w:jc w:val="both"/>
        <w:ind w:right="219" w:firstLine="1159"/>
        <w:spacing w:after="0" w:line="264" w:lineRule="auto"/>
        <w:tabs>
          <w:tab w:leader="none" w:pos="1511"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SAR</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Stock Appreciation Right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to a Participant pursuant to Section 7 or Section 12</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payment, for each share of Stock subject to such SAR, of an amount equal to the excess, if any, of the Fair Market Value of a share of Stock on the date of exercise of the SAR over the exercise price.</w:t>
      </w:r>
    </w:p>
    <w:p>
      <w:pPr>
        <w:spacing w:after="0" w:line="140" w:lineRule="exact"/>
        <w:rPr>
          <w:rFonts w:ascii="Arial" w:cs="Arial" w:eastAsia="Arial" w:hAnsi="Arial"/>
          <w:sz w:val="18"/>
          <w:szCs w:val="18"/>
          <w:color w:val="auto"/>
        </w:rPr>
      </w:pPr>
    </w:p>
    <w:p>
      <w:pPr>
        <w:ind w:left="1500" w:hanging="341"/>
        <w:spacing w:after="0"/>
        <w:tabs>
          <w:tab w:leader="none" w:pos="15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Section 162(m)</w:t>
      </w:r>
      <w:r>
        <w:rPr>
          <w:rFonts w:ascii="Arial" w:cs="Arial" w:eastAsia="Arial" w:hAnsi="Arial"/>
          <w:sz w:val="18"/>
          <w:szCs w:val="18"/>
          <w:i w:val="1"/>
          <w:iCs w:val="1"/>
          <w:color w:val="auto"/>
        </w:rPr>
        <w:t xml:space="preserve">” </w:t>
      </w:r>
      <w:r>
        <w:rPr>
          <w:rFonts w:ascii="Arial" w:cs="Arial" w:eastAsia="Arial" w:hAnsi="Arial"/>
          <w:sz w:val="18"/>
          <w:szCs w:val="18"/>
          <w:color w:val="auto"/>
        </w:rPr>
        <w:t>means Section 162(m) of the Code.</w:t>
      </w:r>
    </w:p>
    <w:p>
      <w:pPr>
        <w:spacing w:after="0" w:line="184" w:lineRule="exact"/>
        <w:rPr>
          <w:rFonts w:ascii="Arial" w:cs="Arial" w:eastAsia="Arial" w:hAnsi="Arial"/>
          <w:sz w:val="18"/>
          <w:szCs w:val="18"/>
          <w:color w:val="auto"/>
        </w:rPr>
      </w:pPr>
    </w:p>
    <w:p>
      <w:pPr>
        <w:ind w:left="1580" w:hanging="421"/>
        <w:spacing w:after="0"/>
        <w:tabs>
          <w:tab w:leader="none" w:pos="15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i w:val="1"/>
          <w:iCs w:val="1"/>
          <w:color w:val="auto"/>
        </w:rPr>
        <w:t xml:space="preserve">” </w:t>
      </w:r>
      <w:r>
        <w:rPr>
          <w:rFonts w:ascii="Arial" w:cs="Arial" w:eastAsia="Arial" w:hAnsi="Arial"/>
          <w:sz w:val="18"/>
          <w:szCs w:val="18"/>
          <w:color w:val="auto"/>
        </w:rPr>
        <w:t>means Section 409A of the Code.</w:t>
      </w:r>
    </w:p>
    <w:p>
      <w:pPr>
        <w:spacing w:after="0" w:line="198" w:lineRule="exact"/>
        <w:rPr>
          <w:rFonts w:ascii="Arial" w:cs="Arial" w:eastAsia="Arial" w:hAnsi="Arial"/>
          <w:sz w:val="18"/>
          <w:szCs w:val="18"/>
          <w:color w:val="auto"/>
        </w:rPr>
      </w:pPr>
    </w:p>
    <w:p>
      <w:pPr>
        <w:ind w:right="419" w:firstLine="1159"/>
        <w:spacing w:after="0" w:line="277" w:lineRule="auto"/>
        <w:tabs>
          <w:tab w:leader="none" w:pos="1511"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Section 409A Deferred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compensation provided pursuant to an Award that constitutes</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subject to and not exempted from the requirements of Section 409A.</w:t>
      </w: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9" w:name="page50"/>
    <w:bookmarkEnd w:id="49"/>
    <w:p>
      <w:pPr>
        <w:ind w:left="1500" w:hanging="341"/>
        <w:spacing w:after="0"/>
        <w:tabs>
          <w:tab w:leader="none" w:pos="15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Act of 1933, as amended.</w:t>
      </w:r>
    </w:p>
    <w:p>
      <w:pPr>
        <w:spacing w:after="0" w:line="198" w:lineRule="exact"/>
        <w:rPr>
          <w:rFonts w:ascii="Arial" w:cs="Arial" w:eastAsia="Arial" w:hAnsi="Arial"/>
          <w:sz w:val="18"/>
          <w:szCs w:val="18"/>
          <w:color w:val="auto"/>
        </w:rPr>
      </w:pPr>
    </w:p>
    <w:p>
      <w:pPr>
        <w:ind w:right="199" w:firstLine="1159"/>
        <w:spacing w:after="0" w:line="286" w:lineRule="auto"/>
        <w:tabs>
          <w:tab w:leader="none" w:pos="1491"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Participant’s employment or service with the Participating Company Group, whether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of an Employee, a Director or a Consultant. Unless otherwise provided by the Committee, a Participant’s Service shall not be deemed to have terminated merely because of a change in the capacity in which the Participant renders such Service or a change in the Participating Company for which the Participant renders such Service, provided that there is no interruption or termination of the Participant’s Service. Furthermore, a Participant’s Service shall not be deemed to have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(aaa)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common stock of the Company, as adjusted from time to time in accordance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4.4.</w:t>
      </w:r>
    </w:p>
    <w:p>
      <w:pPr>
        <w:spacing w:after="0" w:line="170" w:lineRule="exact"/>
        <w:rPr>
          <w:sz w:val="20"/>
          <w:szCs w:val="20"/>
          <w:color w:val="auto"/>
        </w:rPr>
      </w:pPr>
    </w:p>
    <w:p>
      <w:pPr>
        <w:ind w:right="279" w:firstLine="1159"/>
        <w:spacing w:after="0" w:line="277" w:lineRule="auto"/>
        <w:tabs>
          <w:tab w:leader="none" w:pos="1601"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Subsidiary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present or future “subsidiary corporation” of the Company,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424(f) of the Code.</w:t>
      </w:r>
    </w:p>
    <w:p>
      <w:pPr>
        <w:spacing w:after="0" w:line="143" w:lineRule="exact"/>
        <w:rPr>
          <w:rFonts w:ascii="Arial" w:cs="Arial" w:eastAsia="Arial" w:hAnsi="Arial"/>
          <w:sz w:val="18"/>
          <w:szCs w:val="18"/>
          <w:color w:val="auto"/>
        </w:rPr>
      </w:pPr>
    </w:p>
    <w:p>
      <w:pPr>
        <w:jc w:val="both"/>
        <w:ind w:right="339" w:firstLine="1159"/>
        <w:spacing w:after="0" w:line="264" w:lineRule="auto"/>
        <w:tabs>
          <w:tab w:leader="none" w:pos="1571"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Ten Percent Owner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Participant who, at the time an Option is granted to the Participant, owns stock</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possessing more than ten percent (10%) of the total combined voting power of all classes of stock of a Participating Company (other than an Affiliate) within the meaning of Section 422(b)(6) of the Code.</w:t>
      </w:r>
    </w:p>
    <w:p>
      <w:pPr>
        <w:spacing w:after="0" w:line="140" w:lineRule="exact"/>
        <w:rPr>
          <w:rFonts w:ascii="Arial" w:cs="Arial" w:eastAsia="Arial" w:hAnsi="Arial"/>
          <w:sz w:val="18"/>
          <w:szCs w:val="18"/>
          <w:color w:val="auto"/>
        </w:rPr>
      </w:pPr>
    </w:p>
    <w:p>
      <w:pPr>
        <w:ind w:right="259" w:firstLine="1159"/>
        <w:spacing w:after="0" w:line="286" w:lineRule="auto"/>
        <w:tabs>
          <w:tab w:leader="none" w:pos="1601"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Vesting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mean those conditions established in accordance with the Plan prior to the satisfaction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shares subject to an Award remain subject to forfeiture or a repurchase option in favor of the Company exercisable for the Participant’s monetary purchase price, if any, for such shares upon the Participant’s termination of Service.</w:t>
      </w:r>
    </w:p>
    <w:p>
      <w:pPr>
        <w:spacing w:after="0" w:line="121" w:lineRule="exact"/>
        <w:rPr>
          <w:sz w:val="20"/>
          <w:szCs w:val="20"/>
          <w:color w:val="auto"/>
        </w:rPr>
      </w:pPr>
    </w:p>
    <w:p>
      <w:pPr>
        <w:ind w:right="239" w:firstLine="778"/>
        <w:spacing w:after="0" w:line="31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color w:val="auto"/>
        </w:rPr>
        <w:t>Construction.</w:t>
      </w:r>
      <w:r>
        <w:rPr>
          <w:rFonts w:ascii="Arial" w:cs="Arial" w:eastAsia="Arial" w:hAnsi="Arial"/>
          <w:sz w:val="16"/>
          <w:szCs w:val="16"/>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50" w:name="page51"/>
    <w:bookmarkEnd w:id="50"/>
    <w:p>
      <w:pPr>
        <w:ind w:left="560" w:hanging="179"/>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DMINISTRATION</w:t>
      </w:r>
      <w:r>
        <w:rPr>
          <w:rFonts w:ascii="Arial" w:cs="Arial" w:eastAsia="Arial" w:hAnsi="Arial"/>
          <w:sz w:val="18"/>
          <w:szCs w:val="18"/>
          <w:b w:val="1"/>
          <w:bCs w:val="1"/>
          <w:color w:val="auto"/>
        </w:rPr>
        <w:t>.</w:t>
      </w:r>
    </w:p>
    <w:p>
      <w:pPr>
        <w:spacing w:after="0" w:line="198" w:lineRule="exact"/>
        <w:rPr>
          <w:sz w:val="20"/>
          <w:szCs w:val="20"/>
          <w:color w:val="auto"/>
        </w:rPr>
      </w:pPr>
    </w:p>
    <w:p>
      <w:pPr>
        <w:ind w:right="219" w:firstLine="778"/>
        <w:spacing w:after="0" w:line="27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Administration by the Committee.</w:t>
      </w:r>
      <w:r>
        <w:rPr>
          <w:rFonts w:ascii="Arial" w:cs="Arial" w:eastAsia="Arial" w:hAnsi="Arial"/>
          <w:sz w:val="17"/>
          <w:szCs w:val="17"/>
          <w:color w:val="auto"/>
        </w:rPr>
        <w:t xml:space="preserve">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spacing w:after="0" w:line="132" w:lineRule="exact"/>
        <w:rPr>
          <w:sz w:val="20"/>
          <w:szCs w:val="20"/>
          <w:color w:val="auto"/>
        </w:rPr>
      </w:pPr>
    </w:p>
    <w:p>
      <w:pPr>
        <w:ind w:right="199" w:firstLine="778"/>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color w:val="auto"/>
        </w:rPr>
        <w:t>Authority of Officers.</w:t>
      </w:r>
      <w:r>
        <w:rPr>
          <w:rFonts w:ascii="Arial" w:cs="Arial" w:eastAsia="Arial" w:hAnsi="Arial"/>
          <w:sz w:val="17"/>
          <w:szCs w:val="17"/>
          <w:color w:val="auto"/>
        </w:rPr>
        <w:t xml:space="preserve"> Any Officer shall have the authority to act on behalf of the Company with respect to any matter, right, obligation, determination or election which is the responsibility of or which is allocated to the Company herein, provided the Officer has apparent authority with respect to such matter, right, obligation, determination or election. The Board or Committee may, in its discretion, delegate to a committee comprised of one or more Officers the authority to grant one or more Awards, without further approval of the Board or the Committee, to any Employee, other than a person who, at the time of such grant, is an Insider or a Covered Person; provided, however, that (a) the exercise price per share of each such Award which is an Option or SAR shall be not less than the Fair Market Value per share of the Stock on the effective date of grant (or, if the Stock has not traded on such date, on the last day preceding the effective date of grant on which the Stock was traded), (b) each such Award shall be subject to the terms and conditions of the appropriate standard form of Award Agreement approved by the Board or the Committee and shall conform to the provisions of the Plan, and (c) each such Award shall conform to guidelines as shall be established from time to time by resolution of the Board or the Committee.</w:t>
      </w:r>
    </w:p>
    <w:p>
      <w:pPr>
        <w:spacing w:after="0" w:line="134" w:lineRule="exact"/>
        <w:rPr>
          <w:sz w:val="20"/>
          <w:szCs w:val="20"/>
          <w:color w:val="auto"/>
        </w:rPr>
      </w:pPr>
    </w:p>
    <w:p>
      <w:pPr>
        <w:jc w:val="both"/>
        <w:ind w:right="459" w:firstLine="778"/>
        <w:spacing w:after="0" w:line="26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Administration with Respect to Insiders.</w:t>
      </w:r>
      <w:r>
        <w:rPr>
          <w:rFonts w:ascii="Arial" w:cs="Arial" w:eastAsia="Arial" w:hAnsi="Arial"/>
          <w:sz w:val="18"/>
          <w:szCs w:val="18"/>
          <w:color w:val="auto"/>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149" w:lineRule="exact"/>
        <w:rPr>
          <w:sz w:val="20"/>
          <w:szCs w:val="20"/>
          <w:color w:val="auto"/>
        </w:rPr>
      </w:pPr>
    </w:p>
    <w:p>
      <w:pPr>
        <w:ind w:right="359" w:firstLine="778"/>
        <w:spacing w:after="0" w:line="26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Committee Complying with Section 162(m).</w:t>
      </w:r>
      <w:r>
        <w:rPr>
          <w:rFonts w:ascii="Arial" w:cs="Arial" w:eastAsia="Arial" w:hAnsi="Arial"/>
          <w:sz w:val="18"/>
          <w:szCs w:val="18"/>
          <w:color w:val="auto"/>
        </w:rPr>
        <w:t xml:space="preserve"> If the Company is a “publicly held corporation” within the meaning of Section 162(m), the Board may establish a Committee of “outside directors” within the meaning of Section 162(m) to approve the grant of any Award intended to result in the payment of Performance-Based Compensation.</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b w:val="1"/>
          <w:bCs w:val="1"/>
          <w:color w:val="auto"/>
        </w:rPr>
        <w:t>Powers of the Committee</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In addition to any other powers set forth in the Plan and subject to the provisions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Plan, the Committee shall have the full and final power and authority, in its discretion:</w:t>
      </w:r>
    </w:p>
    <w:p>
      <w:pPr>
        <w:spacing w:after="0" w:line="170" w:lineRule="exact"/>
        <w:rPr>
          <w:sz w:val="20"/>
          <w:szCs w:val="20"/>
          <w:color w:val="auto"/>
        </w:rPr>
      </w:pPr>
    </w:p>
    <w:p>
      <w:pPr>
        <w:ind w:right="579" w:firstLine="1159"/>
        <w:spacing w:after="0" w:line="277" w:lineRule="auto"/>
        <w:tabs>
          <w:tab w:leader="none" w:pos="14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determine the persons to whom, and the time or times at which, Awards shall be granted and the number of shares of Stock, units or monetary value to be subject to each Award;</w:t>
      </w:r>
    </w:p>
    <w:p>
      <w:pPr>
        <w:spacing w:after="0" w:line="200" w:lineRule="exact"/>
        <w:rPr>
          <w:sz w:val="20"/>
          <w:szCs w:val="20"/>
          <w:color w:val="auto"/>
        </w:rPr>
      </w:pPr>
    </w:p>
    <w:p>
      <w:pPr>
        <w:spacing w:after="0" w:line="3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51" w:name="page52"/>
    <w:bookmarkEnd w:id="51"/>
    <w:p>
      <w:pPr>
        <w:ind w:left="1428" w:hanging="261"/>
        <w:spacing w:after="0"/>
        <w:tabs>
          <w:tab w:leader="none" w:pos="14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determine the type of Award granted;</w:t>
      </w:r>
    </w:p>
    <w:p>
      <w:pPr>
        <w:spacing w:after="0" w:line="198" w:lineRule="exact"/>
        <w:rPr>
          <w:rFonts w:ascii="Arial" w:cs="Arial" w:eastAsia="Arial" w:hAnsi="Arial"/>
          <w:sz w:val="18"/>
          <w:szCs w:val="18"/>
          <w:color w:val="auto"/>
        </w:rPr>
      </w:pPr>
    </w:p>
    <w:p>
      <w:pPr>
        <w:ind w:left="1408" w:hanging="241"/>
        <w:spacing w:after="0"/>
        <w:tabs>
          <w:tab w:leader="none" w:pos="1408"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determine the Fair Market Value of shares of Stock or other property;</w:t>
      </w:r>
    </w:p>
    <w:p>
      <w:pPr>
        <w:spacing w:after="0" w:line="184" w:lineRule="exact"/>
        <w:rPr>
          <w:rFonts w:ascii="Arial" w:cs="Arial" w:eastAsia="Arial" w:hAnsi="Arial"/>
          <w:sz w:val="18"/>
          <w:szCs w:val="18"/>
          <w:color w:val="auto"/>
        </w:rPr>
      </w:pPr>
    </w:p>
    <w:p>
      <w:pPr>
        <w:ind w:left="8" w:right="239" w:firstLine="1159"/>
        <w:spacing w:after="0" w:line="291" w:lineRule="auto"/>
        <w:tabs>
          <w:tab w:leader="none" w:pos="1429" w:val="left"/>
        </w:tabs>
        <w:numPr>
          <w:ilvl w:val="1"/>
          <w:numId w:val="38"/>
        </w:numPr>
        <w:rPr>
          <w:rFonts w:ascii="Arial" w:cs="Arial" w:eastAsia="Arial" w:hAnsi="Arial"/>
          <w:sz w:val="16"/>
          <w:szCs w:val="16"/>
          <w:color w:val="auto"/>
        </w:rPr>
      </w:pPr>
      <w:r>
        <w:rPr>
          <w:rFonts w:ascii="Arial" w:cs="Arial" w:eastAsia="Arial" w:hAnsi="Arial"/>
          <w:sz w:val="16"/>
          <w:szCs w:val="16"/>
          <w:color w:val="auto"/>
        </w:rPr>
        <w:t>to determine the terms, conditions and restrictions applicable to each Award (which need not be identical) and any shares acquired pursuant thereto, including, without limitation, (i) the exercise or purchase price of shares pursuant to any Award,</w:t>
      </w:r>
    </w:p>
    <w:p>
      <w:pPr>
        <w:ind w:left="8" w:right="299" w:hanging="8"/>
        <w:spacing w:after="0" w:line="269" w:lineRule="auto"/>
        <w:tabs>
          <w:tab w:leader="none" w:pos="27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the expiration of any Award, (vii) the effect of the Participant’s termination of Service on any of the foregoing, and (viii) all other terms, conditions and restrictions applicable to any Award or shares acquired pursuant thereto not inconsistent with the terms of the Plan;</w:t>
      </w:r>
    </w:p>
    <w:p>
      <w:pPr>
        <w:spacing w:after="0" w:line="140" w:lineRule="exact"/>
        <w:rPr>
          <w:rFonts w:ascii="Arial" w:cs="Arial" w:eastAsia="Arial" w:hAnsi="Arial"/>
          <w:sz w:val="17"/>
          <w:szCs w:val="17"/>
          <w:color w:val="auto"/>
        </w:rPr>
      </w:pPr>
    </w:p>
    <w:p>
      <w:pPr>
        <w:ind w:left="1408" w:hanging="241"/>
        <w:spacing w:after="0"/>
        <w:tabs>
          <w:tab w:leader="none" w:pos="1408"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determine whether an Award will be settled in shares of Stock, cash, or in any combination thereof;</w:t>
      </w:r>
    </w:p>
    <w:p>
      <w:pPr>
        <w:spacing w:after="0" w:line="198" w:lineRule="exact"/>
        <w:rPr>
          <w:rFonts w:ascii="Arial" w:cs="Arial" w:eastAsia="Arial" w:hAnsi="Arial"/>
          <w:sz w:val="18"/>
          <w:szCs w:val="18"/>
          <w:color w:val="auto"/>
        </w:rPr>
      </w:pPr>
    </w:p>
    <w:p>
      <w:pPr>
        <w:ind w:left="1388" w:hanging="221"/>
        <w:spacing w:after="0"/>
        <w:tabs>
          <w:tab w:leader="none" w:pos="13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approve one or more forms of Award Agreement;</w:t>
      </w:r>
    </w:p>
    <w:p>
      <w:pPr>
        <w:spacing w:after="0" w:line="184" w:lineRule="exact"/>
        <w:rPr>
          <w:rFonts w:ascii="Arial" w:cs="Arial" w:eastAsia="Arial" w:hAnsi="Arial"/>
          <w:sz w:val="18"/>
          <w:szCs w:val="18"/>
          <w:color w:val="auto"/>
        </w:rPr>
      </w:pPr>
    </w:p>
    <w:p>
      <w:pPr>
        <w:ind w:left="8" w:right="319" w:firstLine="1159"/>
        <w:spacing w:after="0" w:line="277" w:lineRule="auto"/>
        <w:tabs>
          <w:tab w:leader="none" w:pos="1429"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amend, modify, extend, cancel or renew any Award or to waive any restrictions or conditions applicable to any Award or any shares acquired pursuant thereto;</w:t>
      </w:r>
    </w:p>
    <w:p>
      <w:pPr>
        <w:spacing w:after="0" w:line="129" w:lineRule="exact"/>
        <w:rPr>
          <w:rFonts w:ascii="Arial" w:cs="Arial" w:eastAsia="Arial" w:hAnsi="Arial"/>
          <w:sz w:val="18"/>
          <w:szCs w:val="18"/>
          <w:color w:val="auto"/>
        </w:rPr>
      </w:pPr>
    </w:p>
    <w:p>
      <w:pPr>
        <w:ind w:left="8" w:right="299" w:firstLine="1159"/>
        <w:spacing w:after="0" w:line="277" w:lineRule="auto"/>
        <w:tabs>
          <w:tab w:leader="none" w:pos="1429"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accelerate, continue, extend or defer the exercisability or vesting of any Award or any shares acquired pursuant thereto, including with respect to the period following a Participant’s termination of Service;</w:t>
      </w:r>
    </w:p>
    <w:p>
      <w:pPr>
        <w:spacing w:after="0" w:line="143" w:lineRule="exact"/>
        <w:rPr>
          <w:rFonts w:ascii="Arial" w:cs="Arial" w:eastAsia="Arial" w:hAnsi="Arial"/>
          <w:sz w:val="18"/>
          <w:szCs w:val="18"/>
          <w:color w:val="auto"/>
        </w:rPr>
      </w:pPr>
    </w:p>
    <w:p>
      <w:pPr>
        <w:ind w:left="8" w:right="419" w:firstLine="1159"/>
        <w:spacing w:after="0" w:line="259" w:lineRule="auto"/>
        <w:tabs>
          <w:tab w:leader="none" w:pos="1389"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or regulations of or to accommodate the tax policy, accounting principles or custom of, foreign jurisdictions whose citizens may be granted Awards; and</w:t>
      </w:r>
    </w:p>
    <w:p>
      <w:pPr>
        <w:spacing w:after="0" w:line="146" w:lineRule="exact"/>
        <w:rPr>
          <w:rFonts w:ascii="Arial" w:cs="Arial" w:eastAsia="Arial" w:hAnsi="Arial"/>
          <w:sz w:val="18"/>
          <w:szCs w:val="18"/>
          <w:color w:val="auto"/>
        </w:rPr>
      </w:pPr>
    </w:p>
    <w:p>
      <w:pPr>
        <w:ind w:left="8" w:right="259" w:firstLine="1159"/>
        <w:spacing w:after="0" w:line="264" w:lineRule="auto"/>
        <w:tabs>
          <w:tab w:leader="none" w:pos="1389"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200" w:lineRule="exact"/>
        <w:rPr>
          <w:sz w:val="20"/>
          <w:szCs w:val="20"/>
          <w:color w:val="auto"/>
        </w:rPr>
      </w:pPr>
    </w:p>
    <w:p>
      <w:pPr>
        <w:spacing w:after="0" w:line="34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52" w:name="page53"/>
    <w:bookmarkEnd w:id="52"/>
    <w:p>
      <w:pPr>
        <w:ind w:right="159" w:firstLine="778"/>
        <w:spacing w:after="0" w:line="28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color w:val="auto"/>
        </w:rPr>
        <w:t>Indemnification.</w:t>
      </w:r>
      <w:r>
        <w:rPr>
          <w:rFonts w:ascii="Arial" w:cs="Arial" w:eastAsia="Arial" w:hAnsi="Arial"/>
          <w:sz w:val="16"/>
          <w:szCs w:val="16"/>
          <w:color w:val="auto"/>
        </w:rPr>
        <w:t xml:space="preserve"> In addition to such other rights of indemnification as they may have as members of the Board or the Committee or as officers or employees of the Participating Company Group,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37" w:lineRule="exact"/>
        <w:rPr>
          <w:sz w:val="20"/>
          <w:szCs w:val="20"/>
          <w:color w:val="auto"/>
        </w:rPr>
      </w:pPr>
    </w:p>
    <w:p>
      <w:pPr>
        <w:ind w:left="560" w:hanging="179"/>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HARES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UBJECT 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LAN</w:t>
      </w:r>
      <w:r>
        <w:rPr>
          <w:rFonts w:ascii="Arial" w:cs="Arial" w:eastAsia="Arial" w:hAnsi="Arial"/>
          <w:sz w:val="18"/>
          <w:szCs w:val="18"/>
          <w:b w:val="1"/>
          <w:bCs w:val="1"/>
          <w:color w:val="auto"/>
        </w:rPr>
        <w:t>.</w:t>
      </w:r>
    </w:p>
    <w:p>
      <w:pPr>
        <w:spacing w:after="0" w:line="185" w:lineRule="exact"/>
        <w:rPr>
          <w:sz w:val="20"/>
          <w:szCs w:val="20"/>
          <w:color w:val="auto"/>
        </w:rPr>
      </w:pPr>
    </w:p>
    <w:p>
      <w:pPr>
        <w:jc w:val="both"/>
        <w:ind w:right="299" w:firstLine="778"/>
        <w:spacing w:after="0" w:line="26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Maximum Number of Shares Issuable.</w:t>
      </w:r>
      <w:r>
        <w:rPr>
          <w:rFonts w:ascii="Arial" w:cs="Arial" w:eastAsia="Arial" w:hAnsi="Arial"/>
          <w:sz w:val="18"/>
          <w:szCs w:val="18"/>
          <w:color w:val="auto"/>
        </w:rPr>
        <w:t xml:space="preserve"> Subject to adjustment as provided in Sections 4.2, 4.3 and 4.4, the maximum aggregate number of shares of Stock that may be issued under the Plan shall be equal to 4,199,937 and shall consist of authorized but unissued or reacquired shares of Stock or any combination thereof.</w:t>
      </w:r>
    </w:p>
    <w:p>
      <w:pPr>
        <w:spacing w:after="0" w:line="136" w:lineRule="exact"/>
        <w:rPr>
          <w:sz w:val="20"/>
          <w:szCs w:val="20"/>
          <w:color w:val="auto"/>
        </w:rPr>
      </w:pPr>
    </w:p>
    <w:p>
      <w:pPr>
        <w:ind w:right="479" w:firstLine="778"/>
        <w:spacing w:after="0" w:line="29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Annual Increase in Maximum Number of Shares Issuable.</w:t>
      </w:r>
      <w:r>
        <w:rPr>
          <w:rFonts w:ascii="Arial" w:cs="Arial" w:eastAsia="Arial" w:hAnsi="Arial"/>
          <w:sz w:val="16"/>
          <w:szCs w:val="16"/>
          <w:color w:val="auto"/>
        </w:rPr>
        <w:t xml:space="preserve"> Subject to adjustment as provided in Section 4.4, the maximum aggregate number of shares of Stock that may be issued under the Plan as set forth in Section 4.1 shall be cumulatively increased on January 1, 2009 and on each subsequent January 1 through and including January 1, 2018, by a number of shares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Annual Increase</w:t>
      </w:r>
      <w:r>
        <w:rPr>
          <w:rFonts w:ascii="Arial" w:cs="Arial" w:eastAsia="Arial" w:hAnsi="Arial"/>
          <w:sz w:val="16"/>
          <w:szCs w:val="16"/>
          <w:i w:val="1"/>
          <w:iCs w:val="1"/>
          <w:color w:val="auto"/>
        </w:rPr>
        <w:t>”</w:t>
      </w:r>
      <w:r>
        <w:rPr>
          <w:rFonts w:ascii="Arial" w:cs="Arial" w:eastAsia="Arial" w:hAnsi="Arial"/>
          <w:sz w:val="16"/>
          <w:szCs w:val="16"/>
          <w:color w:val="auto"/>
        </w:rPr>
        <w:t>) equal to the smaller of (a) two and one-half percent (2.5%) of the number of shares of Stock issued and</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on the immediately preceding December 31, or (b) an amount determined by the Board.</w:t>
      </w:r>
    </w:p>
    <w:p>
      <w:pPr>
        <w:spacing w:after="0" w:line="127" w:lineRule="exact"/>
        <w:rPr>
          <w:sz w:val="20"/>
          <w:szCs w:val="20"/>
          <w:color w:val="auto"/>
        </w:rPr>
      </w:pPr>
    </w:p>
    <w:p>
      <w:pPr>
        <w:ind w:right="179" w:firstLine="778"/>
        <w:spacing w:after="0" w:line="27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Share Accounting.</w:t>
      </w:r>
      <w:r>
        <w:rPr>
          <w:rFonts w:ascii="Arial" w:cs="Arial" w:eastAsia="Arial" w:hAnsi="Arial"/>
          <w:sz w:val="17"/>
          <w:szCs w:val="17"/>
          <w:color w:val="auto"/>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(a) with respect to any portion of an Award that is settled in cash or (b) to the extent such shares are withheld or reacquired by the Company in satisfaction of tax withholding obligations pursuant to Section 17.2. Upon payment in shares of Stock pursuant to the exercise of an SAR, the number of shares available for issuance under the Plan shall be reduced only by the number of shares actually issued in such payment. If the exercise price of an Option is paid by tender to the Company, or attestation to the ownership, of shares of Stock owned by the Participant, or by means of a Net-Exercise, the number of shares available for issuance under the Plan shall be reduced by the net number of shares for which the Option is exercised.</w:t>
      </w: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53" w:name="page54"/>
    <w:bookmarkEnd w:id="53"/>
    <w:p>
      <w:pPr>
        <w:ind w:right="219" w:firstLine="778"/>
        <w:spacing w:after="0" w:line="28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b w:val="1"/>
          <w:bCs w:val="1"/>
          <w:color w:val="auto"/>
        </w:rPr>
        <w:t>Adjustments for Changes in Capital Structure</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Subject to any required action by the stockholders of the Company and the requirements of Section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and proportionate adjustments shall be made in the number and kind of shares subject to the Plan and to any outstanding Awards, in the Award limits set forth in Sections 5.3 and 5.4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New Shares</w:t>
      </w:r>
      <w:r>
        <w:rPr>
          <w:rFonts w:ascii="Arial" w:cs="Arial" w:eastAsia="Arial" w:hAnsi="Arial"/>
          <w:sz w:val="16"/>
          <w:szCs w:val="16"/>
          <w:i w:val="1"/>
          <w:iCs w:val="1"/>
          <w:color w:val="auto"/>
        </w:rPr>
        <w:t>”</w:t>
      </w:r>
      <w:r>
        <w:rPr>
          <w:rFonts w:ascii="Arial" w:cs="Arial" w:eastAsia="Arial" w:hAnsi="Arial"/>
          <w:sz w:val="16"/>
          <w:szCs w:val="16"/>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Any fractional share resulting from an adjustment pursuant to this Section shall be rounded down to the nearest whole number, and in no event may the exercise or purchase price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143" w:lineRule="exact"/>
        <w:rPr>
          <w:sz w:val="20"/>
          <w:szCs w:val="20"/>
          <w:color w:val="auto"/>
        </w:rPr>
      </w:pPr>
    </w:p>
    <w:p>
      <w:pPr>
        <w:ind w:right="159" w:firstLine="389"/>
        <w:spacing w:after="0" w:line="259" w:lineRule="auto"/>
        <w:rPr>
          <w:sz w:val="20"/>
          <w:szCs w:val="20"/>
          <w:color w:val="auto"/>
        </w:rPr>
      </w:pPr>
      <w:r>
        <w:rPr>
          <w:rFonts w:ascii="Arial" w:cs="Arial" w:eastAsia="Arial" w:hAnsi="Arial"/>
          <w:sz w:val="18"/>
          <w:szCs w:val="18"/>
          <w:color w:val="auto"/>
        </w:rPr>
        <w:t>The Committee may, without affecting the number of shares of Stock reserved or available hereunder, authorize the issuance or assumption of benefits under this Plan in connection with any merger, consolidation, acquisition of property or stock, or reorganization upon such terms and conditions as it may deem appropriate, subject to compliance with Section 409A and any other applicable provisions of the Code.</w:t>
      </w:r>
    </w:p>
    <w:p>
      <w:pPr>
        <w:spacing w:after="0" w:line="142" w:lineRule="exact"/>
        <w:rPr>
          <w:sz w:val="20"/>
          <w:szCs w:val="20"/>
          <w:color w:val="auto"/>
        </w:rPr>
      </w:pPr>
    </w:p>
    <w:p>
      <w:pPr>
        <w:ind w:left="560" w:hanging="179"/>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LIGIBILITY</w:t>
      </w:r>
      <w:r>
        <w:rPr>
          <w:rFonts w:ascii="Arial" w:cs="Arial" w:eastAsia="Arial" w:hAnsi="Arial"/>
          <w:sz w:val="18"/>
          <w:szCs w:val="18"/>
          <w:b w:val="1"/>
          <w:bCs w:val="1"/>
          <w:u w:val="single" w:color="auto"/>
          <w:color w:val="auto"/>
        </w:rPr>
        <w:t>, P</w:t>
      </w:r>
      <w:r>
        <w:rPr>
          <w:rFonts w:ascii="Arial" w:cs="Arial" w:eastAsia="Arial" w:hAnsi="Arial"/>
          <w:sz w:val="12"/>
          <w:szCs w:val="12"/>
          <w:b w:val="1"/>
          <w:bCs w:val="1"/>
          <w:u w:val="single" w:color="auto"/>
          <w:color w:val="auto"/>
        </w:rPr>
        <w:t>ARTICIPATION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2"/>
          <w:szCs w:val="12"/>
          <w:b w:val="1"/>
          <w:bCs w:val="1"/>
          <w:u w:val="single" w:color="auto"/>
          <w:color w:val="auto"/>
        </w:rPr>
        <w:t>IMITATIONS</w:t>
      </w:r>
      <w:r>
        <w:rPr>
          <w:rFonts w:ascii="Arial" w:cs="Arial" w:eastAsia="Arial" w:hAnsi="Arial"/>
          <w:sz w:val="18"/>
          <w:szCs w:val="18"/>
          <w:b w:val="1"/>
          <w:bCs w:val="1"/>
          <w:color w:val="auto"/>
        </w:rPr>
        <w:t>.</w:t>
      </w:r>
    </w:p>
    <w:p>
      <w:pPr>
        <w:spacing w:after="0" w:line="185" w:lineRule="exact"/>
        <w:rPr>
          <w:sz w:val="20"/>
          <w:szCs w:val="20"/>
          <w:color w:val="auto"/>
        </w:rPr>
      </w:pPr>
    </w:p>
    <w:p>
      <w:pPr>
        <w:ind w:right="359" w:firstLine="778"/>
        <w:spacing w:after="0" w:line="26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Persons Eligible for Awards.</w:t>
      </w:r>
      <w:r>
        <w:rPr>
          <w:rFonts w:ascii="Arial" w:cs="Arial" w:eastAsia="Arial" w:hAnsi="Arial"/>
          <w:sz w:val="18"/>
          <w:szCs w:val="18"/>
          <w:color w:val="auto"/>
        </w:rPr>
        <w:t xml:space="preserve"> Awards, other than Nonemployee Director Awards, may be granted only to Employees and Consultants. Nonemployee Director Awards may be granted only to persons who, at the time of grant, are Nonemployee Directors.</w:t>
      </w:r>
    </w:p>
    <w:p>
      <w:pPr>
        <w:spacing w:after="0" w:line="149" w:lineRule="exact"/>
        <w:rPr>
          <w:sz w:val="20"/>
          <w:szCs w:val="20"/>
          <w:color w:val="auto"/>
        </w:rPr>
      </w:pPr>
    </w:p>
    <w:p>
      <w:pPr>
        <w:ind w:right="159" w:firstLine="778"/>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Participation in the Plan.</w:t>
      </w:r>
      <w:r>
        <w:rPr>
          <w:rFonts w:ascii="Arial" w:cs="Arial" w:eastAsia="Arial" w:hAnsi="Arial"/>
          <w:sz w:val="18"/>
          <w:szCs w:val="18"/>
          <w:color w:val="auto"/>
        </w:rPr>
        <w:t xml:space="preserve"> Subject to Section 3.2 above,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200" w:lineRule="exact"/>
        <w:rPr>
          <w:sz w:val="20"/>
          <w:szCs w:val="20"/>
          <w:color w:val="auto"/>
        </w:rPr>
      </w:pPr>
    </w:p>
    <w:p>
      <w:pPr>
        <w:spacing w:after="0" w:line="3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54" w:name="page55"/>
    <w:bookmarkEnd w:id="54"/>
    <w:p>
      <w:pPr>
        <w:ind w:left="78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Incentive Stock Option Limitations.</w:t>
      </w:r>
    </w:p>
    <w:p>
      <w:pPr>
        <w:spacing w:after="0" w:line="202" w:lineRule="exact"/>
        <w:rPr>
          <w:sz w:val="20"/>
          <w:szCs w:val="20"/>
          <w:color w:val="auto"/>
        </w:rPr>
      </w:pPr>
    </w:p>
    <w:p>
      <w:pPr>
        <w:ind w:right="179" w:firstLine="1159"/>
        <w:spacing w:after="0" w:line="272" w:lineRule="auto"/>
        <w:tabs>
          <w:tab w:leader="none" w:pos="1411"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Maximum Number of Shares Issuable Pursuant to Incentive Stock Options. </w:t>
      </w:r>
      <w:r>
        <w:rPr>
          <w:rFonts w:ascii="Arial" w:cs="Arial" w:eastAsia="Arial" w:hAnsi="Arial"/>
          <w:sz w:val="17"/>
          <w:szCs w:val="17"/>
          <w:color w:val="auto"/>
        </w:rPr>
        <w:t>Subject to adjustment as provided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Section 4.4, the maximum aggregate number of shares of Stock that may be issued under the Plan pursuant to the exercise of Incentive Stock Options shall not exceed 4,199,937, cumulatively increased on January 1, 2009 and on each subsequent January 1, through and including January 1, 2018, by a number of shares equal to the smaller of the Annual Increase determined under Section 4.2 or 4,199,937 shares. The maximum aggregate number of shares of Stock that may be issued under the Plan pursuant to all Awards other than Incentive Stock Options shall be the number of shares determined in accordance with Section 4.1, subject to adjustment as provided in Sections 4.2, 4.3 and 4.4.</w:t>
      </w:r>
    </w:p>
    <w:p>
      <w:pPr>
        <w:spacing w:after="0" w:line="137" w:lineRule="exact"/>
        <w:rPr>
          <w:rFonts w:ascii="Arial" w:cs="Arial" w:eastAsia="Arial" w:hAnsi="Arial"/>
          <w:sz w:val="17"/>
          <w:szCs w:val="17"/>
          <w:color w:val="auto"/>
        </w:rPr>
      </w:pPr>
    </w:p>
    <w:p>
      <w:pPr>
        <w:ind w:right="319" w:firstLine="1159"/>
        <w:spacing w:after="0" w:line="259" w:lineRule="auto"/>
        <w:tabs>
          <w:tab w:leader="none" w:pos="142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Persons Eligible. </w:t>
      </w:r>
      <w:r>
        <w:rPr>
          <w:rFonts w:ascii="Arial" w:cs="Arial" w:eastAsia="Arial" w:hAnsi="Arial"/>
          <w:sz w:val="18"/>
          <w:szCs w:val="18"/>
          <w:color w:val="auto"/>
        </w:rPr>
        <w:t>An Incentive Stock Option may be granted only to a person who, on the effective date of 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 an Employee of the Company, a Parent Corporation or a Subsidiary Corporation (each being an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ISO-Qualifying Corporation</w:t>
      </w:r>
      <w:r>
        <w:rPr>
          <w:rFonts w:ascii="Arial" w:cs="Arial" w:eastAsia="Arial" w:hAnsi="Arial"/>
          <w:sz w:val="18"/>
          <w:szCs w:val="18"/>
          <w:i w:val="1"/>
          <w:iCs w:val="1"/>
          <w:color w:val="auto"/>
        </w:rPr>
        <w:t>”</w:t>
      </w:r>
      <w:r>
        <w:rPr>
          <w:rFonts w:ascii="Arial" w:cs="Arial" w:eastAsia="Arial" w:hAnsi="Arial"/>
          <w:sz w:val="18"/>
          <w:szCs w:val="18"/>
          <w:color w:val="auto"/>
        </w:rPr>
        <w:t>). Any person who is not an Employee of an ISO-Qualifying Corporation on the effective date of the grant of an Option to such person may be granted only a Nonstatutory Stock Option.</w:t>
      </w:r>
    </w:p>
    <w:p>
      <w:pPr>
        <w:spacing w:after="0" w:line="146" w:lineRule="exact"/>
        <w:rPr>
          <w:rFonts w:ascii="Arial" w:cs="Arial" w:eastAsia="Arial" w:hAnsi="Arial"/>
          <w:sz w:val="18"/>
          <w:szCs w:val="18"/>
          <w:color w:val="auto"/>
        </w:rPr>
      </w:pPr>
    </w:p>
    <w:p>
      <w:pPr>
        <w:ind w:right="239" w:firstLine="1159"/>
        <w:spacing w:after="0" w:line="269" w:lineRule="auto"/>
        <w:tabs>
          <w:tab w:leader="none" w:pos="1411"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Market Value Limitation. </w:t>
      </w:r>
      <w:r>
        <w:rPr>
          <w:rFonts w:ascii="Arial" w:cs="Arial" w:eastAsia="Arial" w:hAnsi="Arial"/>
          <w:sz w:val="17"/>
          <w:szCs w:val="17"/>
          <w:color w:val="auto"/>
        </w:rPr>
        <w:t>To the extent that options designated as Incentive Stock Options (granted under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option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shares issued pursuant to each such portion shall be separately identified.</w:t>
      </w:r>
    </w:p>
    <w:p>
      <w:pPr>
        <w:spacing w:after="0" w:line="149" w:lineRule="exact"/>
        <w:rPr>
          <w:sz w:val="20"/>
          <w:szCs w:val="20"/>
          <w:color w:val="auto"/>
        </w:rPr>
      </w:pPr>
    </w:p>
    <w:p>
      <w:pPr>
        <w:jc w:val="both"/>
        <w:ind w:right="259" w:firstLine="778"/>
        <w:spacing w:after="0" w:line="30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color w:val="auto"/>
        </w:rPr>
        <w:t>Section 162(m) Award Limits.</w:t>
      </w:r>
      <w:r>
        <w:rPr>
          <w:rFonts w:ascii="Arial" w:cs="Arial" w:eastAsia="Arial" w:hAnsi="Arial"/>
          <w:sz w:val="16"/>
          <w:szCs w:val="16"/>
          <w:color w:val="auto"/>
        </w:rPr>
        <w:t xml:space="preserve"> Subject to adjustment as provided in Section 4.4, no Employee shall be granted within any fiscal year of the Company one or more Awards intended to qualify for treatment as Performance-Based Compensation which in the aggregate are for more than Two Million (2,000,000) shares or, if applicable, which could result in such Employee receiving more than Five Million dollars ($5,000,000) for each full fiscal year of the Company contained in the Performance Period for such Award.</w:t>
      </w:r>
    </w:p>
    <w:p>
      <w:pPr>
        <w:spacing w:after="0" w:line="111" w:lineRule="exact"/>
        <w:rPr>
          <w:sz w:val="20"/>
          <w:szCs w:val="20"/>
          <w:color w:val="auto"/>
        </w:rPr>
      </w:pPr>
    </w:p>
    <w:p>
      <w:pPr>
        <w:ind w:left="560" w:hanging="179"/>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PTIONS</w:t>
      </w:r>
      <w:r>
        <w:rPr>
          <w:rFonts w:ascii="Arial" w:cs="Arial" w:eastAsia="Arial" w:hAnsi="Arial"/>
          <w:sz w:val="18"/>
          <w:szCs w:val="18"/>
          <w:b w:val="1"/>
          <w:bCs w:val="1"/>
          <w:color w:val="auto"/>
        </w:rPr>
        <w:t>.</w:t>
      </w:r>
    </w:p>
    <w:p>
      <w:pPr>
        <w:spacing w:after="0" w:line="189" w:lineRule="exact"/>
        <w:rPr>
          <w:sz w:val="20"/>
          <w:szCs w:val="20"/>
          <w:color w:val="auto"/>
        </w:rPr>
      </w:pPr>
    </w:p>
    <w:p>
      <w:pPr>
        <w:jc w:val="both"/>
        <w:ind w:right="279" w:firstLine="778"/>
        <w:spacing w:after="0" w:line="286" w:lineRule="auto"/>
        <w:rPr>
          <w:sz w:val="20"/>
          <w:szCs w:val="20"/>
          <w:color w:val="auto"/>
        </w:rPr>
      </w:pPr>
      <w:r>
        <w:rPr>
          <w:rFonts w:ascii="Arial" w:cs="Arial" w:eastAsia="Arial" w:hAnsi="Arial"/>
          <w:sz w:val="17"/>
          <w:szCs w:val="17"/>
          <w:color w:val="auto"/>
        </w:rPr>
        <w:t>Options shall be evidenced by Award Agreements specifying the number of shares of Stock covered thereby, in such form as the Committee shall from time to time establish. Award Agreements evidencing Options may incorporate all or any of the terms of the Plan by reference and shall comply with and be subject to the following terms and conditions:</w:t>
      </w:r>
    </w:p>
    <w:p>
      <w:pPr>
        <w:spacing w:after="0" w:line="135" w:lineRule="exact"/>
        <w:rPr>
          <w:sz w:val="20"/>
          <w:szCs w:val="20"/>
          <w:color w:val="auto"/>
        </w:rPr>
      </w:pPr>
    </w:p>
    <w:p>
      <w:pPr>
        <w:ind w:right="299" w:firstLine="778"/>
        <w:spacing w:after="0" w:line="29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Exercise Price.</w:t>
      </w:r>
      <w:r>
        <w:rPr>
          <w:rFonts w:ascii="Arial" w:cs="Arial" w:eastAsia="Arial" w:hAnsi="Arial"/>
          <w:sz w:val="16"/>
          <w:szCs w:val="16"/>
          <w:color w:val="auto"/>
        </w:rPr>
        <w:t xml:space="preserve">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55" w:name="page56"/>
    <w:bookmarkEnd w:id="55"/>
    <w:p>
      <w:pPr>
        <w:ind w:left="8" w:right="279" w:firstLine="778"/>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color w:val="auto"/>
        </w:rPr>
        <w:t>Exercisability and Term of Options.</w:t>
      </w:r>
      <w:r>
        <w:rPr>
          <w:rFonts w:ascii="Arial" w:cs="Arial" w:eastAsia="Arial" w:hAnsi="Arial"/>
          <w:sz w:val="16"/>
          <w:szCs w:val="16"/>
          <w:color w:val="auto"/>
        </w:rPr>
        <w:t xml:space="preserve">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w:t>
      </w:r>
    </w:p>
    <w:p>
      <w:pPr>
        <w:spacing w:after="0" w:line="2" w:lineRule="exact"/>
        <w:rPr>
          <w:sz w:val="20"/>
          <w:szCs w:val="20"/>
          <w:color w:val="auto"/>
        </w:rPr>
      </w:pPr>
    </w:p>
    <w:p>
      <w:pPr>
        <w:ind w:left="8" w:right="359" w:hanging="8"/>
        <w:spacing w:after="0" w:line="254" w:lineRule="auto"/>
        <w:tabs>
          <w:tab w:leader="none" w:pos="3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years after the effective date of grant of such Option and (b) no Incentive Stock Option granted to a Ten Percent Owner shall be exercisable after the expiration of five (5) years after the effective date of grant of such Option.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159" w:lineRule="exact"/>
        <w:rPr>
          <w:sz w:val="20"/>
          <w:szCs w:val="20"/>
          <w:color w:val="auto"/>
        </w:rPr>
      </w:pPr>
    </w:p>
    <w:p>
      <w:pPr>
        <w:ind w:left="788"/>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Payment of Exercise Price.</w:t>
      </w:r>
    </w:p>
    <w:p>
      <w:pPr>
        <w:spacing w:after="0" w:line="189" w:lineRule="exact"/>
        <w:rPr>
          <w:sz w:val="20"/>
          <w:szCs w:val="20"/>
          <w:color w:val="auto"/>
        </w:rPr>
      </w:pPr>
    </w:p>
    <w:p>
      <w:pPr>
        <w:ind w:left="8" w:right="199" w:firstLine="1159"/>
        <w:spacing w:after="0" w:line="269" w:lineRule="auto"/>
        <w:tabs>
          <w:tab w:leader="none" w:pos="1419"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Forms of Consideration Authorized. </w:t>
      </w:r>
      <w:r>
        <w:rPr>
          <w:rFonts w:ascii="Arial" w:cs="Arial" w:eastAsia="Arial" w:hAnsi="Arial"/>
          <w:sz w:val="17"/>
          <w:szCs w:val="17"/>
          <w:color w:val="auto"/>
        </w:rPr>
        <w:t>Except as otherwise provided below, payment of the exercise price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number of shares of Stock being purchased pursuant to any Option shall be made (i) in cash, by check or in cash equivalent, (ii) by tender to the Company, or attestation to the ownership, of shares of Stock owned by the Participant having a Fair Market Value not less than the exercise price, (iii) by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Cashless Exercise</w:t>
      </w:r>
      <w:r>
        <w:rPr>
          <w:rFonts w:ascii="Arial" w:cs="Arial" w:eastAsia="Arial" w:hAnsi="Arial"/>
          <w:sz w:val="17"/>
          <w:szCs w:val="17"/>
          <w:i w:val="1"/>
          <w:iCs w:val="1"/>
          <w:color w:val="auto"/>
        </w:rPr>
        <w:t>”</w:t>
      </w:r>
      <w:r>
        <w:rPr>
          <w:rFonts w:ascii="Arial" w:cs="Arial" w:eastAsia="Arial" w:hAnsi="Arial"/>
          <w:sz w:val="17"/>
          <w:szCs w:val="17"/>
          <w:color w:val="auto"/>
        </w:rPr>
        <w:t>), (iv) by delivery of a properly executed notice electing a Net-Exercise, (v) by such other consideration as may be approved by the Committee from time to time to the extent permitted by applicable law, or (vi)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142" w:lineRule="exact"/>
        <w:rPr>
          <w:rFonts w:ascii="Arial" w:cs="Arial" w:eastAsia="Arial" w:hAnsi="Arial"/>
          <w:sz w:val="17"/>
          <w:szCs w:val="17"/>
          <w:color w:val="auto"/>
        </w:rPr>
      </w:pPr>
    </w:p>
    <w:p>
      <w:pPr>
        <w:ind w:left="1428" w:hanging="261"/>
        <w:spacing w:after="0"/>
        <w:tabs>
          <w:tab w:leader="none" w:pos="1428"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Limitations on Forms of Consideration.</w:t>
      </w:r>
    </w:p>
    <w:p>
      <w:pPr>
        <w:spacing w:after="0" w:line="194" w:lineRule="exact"/>
        <w:rPr>
          <w:rFonts w:ascii="Arial" w:cs="Arial" w:eastAsia="Arial" w:hAnsi="Arial"/>
          <w:sz w:val="18"/>
          <w:szCs w:val="18"/>
          <w:color w:val="auto"/>
        </w:rPr>
      </w:pPr>
    </w:p>
    <w:p>
      <w:pPr>
        <w:ind w:left="8" w:right="219" w:firstLine="1548"/>
        <w:spacing w:after="0" w:line="295" w:lineRule="auto"/>
        <w:tabs>
          <w:tab w:leader="none" w:pos="1778" w:val="left"/>
        </w:tabs>
        <w:numPr>
          <w:ilvl w:val="1"/>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Tender of Stock. </w:t>
      </w:r>
      <w:r>
        <w:rPr>
          <w:rFonts w:ascii="Arial" w:cs="Arial" w:eastAsia="Arial" w:hAnsi="Arial"/>
          <w:sz w:val="16"/>
          <w:szCs w:val="16"/>
          <w:color w:val="auto"/>
        </w:rPr>
        <w:t>Notwithstanding the foregoing, an Option may not be exercised by tender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or attestation to the ownership, of shares of Stock to the extent such tender or attestation would constitute a violation of the provisions of any law, regulation or agreement restricting the redemption of the Company’s stock. Unless otherwise provided by the Committee, an Option may not be exercised by tender to the Company, or attestation to the ownership, of shares of Stock unless such shares either have been owned by the Participant for more than six (6) months (or such other period, if any, as the Committee may permit) and not used for another Option exercise by attestation during such period, or were not acquired, directly or indirectly, from the Company.</w:t>
      </w:r>
    </w:p>
    <w:p>
      <w:pPr>
        <w:spacing w:after="0" w:line="200" w:lineRule="exact"/>
        <w:rPr>
          <w:sz w:val="20"/>
          <w:szCs w:val="20"/>
          <w:color w:val="auto"/>
        </w:rPr>
      </w:pPr>
    </w:p>
    <w:p>
      <w:pPr>
        <w:spacing w:after="0" w:line="311"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56" w:name="page57"/>
    <w:bookmarkEnd w:id="56"/>
    <w:p>
      <w:pPr>
        <w:ind w:right="239" w:firstLine="1548"/>
        <w:spacing w:after="0" w:line="261" w:lineRule="auto"/>
        <w:tabs>
          <w:tab w:leader="none" w:pos="182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Cashless Exercise. </w:t>
      </w:r>
      <w:r>
        <w:rPr>
          <w:rFonts w:ascii="Arial" w:cs="Arial" w:eastAsia="Arial" w:hAnsi="Arial"/>
          <w:sz w:val="18"/>
          <w:szCs w:val="18"/>
          <w:color w:val="auto"/>
        </w:rPr>
        <w:t>The Company reserves, at any and all times, the right, in the Company’s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15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Effect of Termination of Service.</w:t>
      </w:r>
    </w:p>
    <w:p>
      <w:pPr>
        <w:spacing w:after="0" w:line="189" w:lineRule="exact"/>
        <w:rPr>
          <w:sz w:val="20"/>
          <w:szCs w:val="20"/>
          <w:color w:val="auto"/>
        </w:rPr>
      </w:pPr>
    </w:p>
    <w:p>
      <w:pPr>
        <w:ind w:right="319" w:firstLine="1159"/>
        <w:spacing w:after="0" w:line="279" w:lineRule="auto"/>
        <w:tabs>
          <w:tab w:leader="none" w:pos="1411"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Option Exercisability. </w:t>
      </w:r>
      <w:r>
        <w:rPr>
          <w:rFonts w:ascii="Arial" w:cs="Arial" w:eastAsia="Arial" w:hAnsi="Arial"/>
          <w:sz w:val="17"/>
          <w:szCs w:val="17"/>
          <w:color w:val="auto"/>
        </w:rPr>
        <w:t>Subject to earlier termination of the Option as otherwise provided herein and unless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otherwise provided by the Committee,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p>
    <w:p>
      <w:pPr>
        <w:spacing w:after="0" w:line="126" w:lineRule="exact"/>
        <w:rPr>
          <w:rFonts w:ascii="Arial" w:cs="Arial" w:eastAsia="Arial" w:hAnsi="Arial"/>
          <w:sz w:val="17"/>
          <w:szCs w:val="17"/>
          <w:color w:val="auto"/>
        </w:rPr>
      </w:pPr>
    </w:p>
    <w:p>
      <w:pPr>
        <w:jc w:val="both"/>
        <w:ind w:right="299" w:firstLine="1548"/>
        <w:spacing w:after="0" w:line="277" w:lineRule="auto"/>
        <w:tabs>
          <w:tab w:leader="none" w:pos="1770" w:val="left"/>
        </w:tabs>
        <w:numPr>
          <w:ilvl w:val="1"/>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Disability. </w:t>
      </w:r>
      <w:r>
        <w:rPr>
          <w:rFonts w:ascii="Arial" w:cs="Arial" w:eastAsia="Arial" w:hAnsi="Arial"/>
          <w:sz w:val="17"/>
          <w:szCs w:val="17"/>
          <w:color w:val="auto"/>
        </w:rPr>
        <w:t>If the Participant’s Service terminates because of the Disability of the Participant, the Option,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date of expiration of the Option’s term as set forth in the Award Agreement evidencing such Option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Option Expiration Date</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41" w:lineRule="exact"/>
        <w:rPr>
          <w:rFonts w:ascii="Arial" w:cs="Arial" w:eastAsia="Arial" w:hAnsi="Arial"/>
          <w:sz w:val="17"/>
          <w:szCs w:val="17"/>
          <w:color w:val="auto"/>
        </w:rPr>
      </w:pPr>
    </w:p>
    <w:p>
      <w:pPr>
        <w:ind w:right="179" w:firstLine="1548"/>
        <w:spacing w:after="0" w:line="274" w:lineRule="auto"/>
        <w:tabs>
          <w:tab w:leader="none" w:pos="1820" w:val="left"/>
        </w:tabs>
        <w:numPr>
          <w:ilvl w:val="1"/>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Death. </w:t>
      </w:r>
      <w:r>
        <w:rPr>
          <w:rFonts w:ascii="Arial" w:cs="Arial" w:eastAsia="Arial" w:hAnsi="Arial"/>
          <w:sz w:val="17"/>
          <w:szCs w:val="17"/>
          <w:color w:val="auto"/>
        </w:rPr>
        <w:t>If the Participant’s Service terminates because of the death of the Participant, the Option,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w:t>
      </w:r>
    </w:p>
    <w:p>
      <w:pPr>
        <w:spacing w:after="0" w:line="133" w:lineRule="exact"/>
        <w:rPr>
          <w:rFonts w:ascii="Arial" w:cs="Arial" w:eastAsia="Arial" w:hAnsi="Arial"/>
          <w:sz w:val="17"/>
          <w:szCs w:val="17"/>
          <w:color w:val="auto"/>
        </w:rPr>
      </w:pPr>
    </w:p>
    <w:p>
      <w:pPr>
        <w:ind w:right="219" w:firstLine="1548"/>
        <w:spacing w:after="0" w:line="261" w:lineRule="auto"/>
        <w:tabs>
          <w:tab w:leader="none" w:pos="1870"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Notwithstanding any other provision of the Plan to the contrary, if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39" w:lineRule="exact"/>
        <w:rPr>
          <w:rFonts w:ascii="Arial" w:cs="Arial" w:eastAsia="Arial" w:hAnsi="Arial"/>
          <w:sz w:val="18"/>
          <w:szCs w:val="18"/>
          <w:color w:val="auto"/>
        </w:rPr>
      </w:pPr>
    </w:p>
    <w:p>
      <w:pPr>
        <w:ind w:right="319" w:firstLine="1548"/>
        <w:spacing w:after="0" w:line="281" w:lineRule="auto"/>
        <w:tabs>
          <w:tab w:leader="none" w:pos="1860" w:val="left"/>
        </w:tabs>
        <w:numPr>
          <w:ilvl w:val="1"/>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Other Termination of Service. </w:t>
      </w:r>
      <w:r>
        <w:rPr>
          <w:rFonts w:ascii="Arial" w:cs="Arial" w:eastAsia="Arial" w:hAnsi="Arial"/>
          <w:sz w:val="17"/>
          <w:szCs w:val="17"/>
          <w:color w:val="auto"/>
        </w:rPr>
        <w:t>If the Participant’s Service terminates for any reason, except 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death or Cause, the Option, to the extent unexercised and exercisable for vested shares on the date on which the Participant’s Service terminated, may be exercised by the Participant at any time prior to the expiration of three (3) months after the date on which the Participant’s Service terminated, but in any event no later than the Option Expiration Date.</w:t>
      </w: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7" w:name="page58"/>
    <w:bookmarkEnd w:id="57"/>
    <w:p>
      <w:pPr>
        <w:ind w:right="219" w:firstLine="1159"/>
        <w:spacing w:after="0" w:line="257" w:lineRule="auto"/>
        <w:tabs>
          <w:tab w:leader="none" w:pos="1421"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Extension if Exercise Prevented by Law. </w:t>
      </w:r>
      <w:r>
        <w:rPr>
          <w:rFonts w:ascii="Arial" w:cs="Arial" w:eastAsia="Arial" w:hAnsi="Arial"/>
          <w:sz w:val="18"/>
          <w:szCs w:val="18"/>
          <w:color w:val="auto"/>
        </w:rPr>
        <w:t>Notwithstanding the foregoing, other than termination of Service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if the exercise of an Option within the applicable time periods set forth in Section 6.4(a) is prevented by the provisions of Section 15 below, the Option shall remain exercisable until the later of (i) thirty (30) days after the date such exercise first would no longer be prevented by such provisions or (ii) the end of the applicable time period under Section 6.4(a), but in any event no later than the Option Expiration Date.</w:t>
      </w:r>
    </w:p>
    <w:p>
      <w:pPr>
        <w:spacing w:after="0" w:line="157" w:lineRule="exact"/>
        <w:rPr>
          <w:sz w:val="20"/>
          <w:szCs w:val="20"/>
          <w:color w:val="auto"/>
        </w:rPr>
      </w:pPr>
    </w:p>
    <w:p>
      <w:pPr>
        <w:ind w:right="419" w:firstLine="778"/>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Transferability of Options.</w:t>
      </w:r>
      <w:r>
        <w:rPr>
          <w:rFonts w:ascii="Arial" w:cs="Arial" w:eastAsia="Arial" w:hAnsi="Arial"/>
          <w:sz w:val="18"/>
          <w:szCs w:val="18"/>
          <w:color w:val="auto"/>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 Nonstatutory Stock Option shall be assignable or transferable subject to the applicable limitations, if any, described in the General Instructions to Form S-8 under the Securities Act.</w:t>
      </w:r>
    </w:p>
    <w:p>
      <w:pPr>
        <w:spacing w:after="0" w:line="149" w:lineRule="exact"/>
        <w:rPr>
          <w:sz w:val="20"/>
          <w:szCs w:val="20"/>
          <w:color w:val="auto"/>
        </w:rPr>
      </w:pPr>
    </w:p>
    <w:p>
      <w:pPr>
        <w:ind w:left="560" w:hanging="179"/>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PPRECIATION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IGHTS</w:t>
      </w:r>
      <w:r>
        <w:rPr>
          <w:rFonts w:ascii="Arial" w:cs="Arial" w:eastAsia="Arial" w:hAnsi="Arial"/>
          <w:sz w:val="18"/>
          <w:szCs w:val="18"/>
          <w:b w:val="1"/>
          <w:bCs w:val="1"/>
          <w:color w:val="auto"/>
        </w:rPr>
        <w:t>.</w:t>
      </w:r>
    </w:p>
    <w:p>
      <w:pPr>
        <w:spacing w:after="0" w:line="189" w:lineRule="exact"/>
        <w:rPr>
          <w:sz w:val="20"/>
          <w:szCs w:val="20"/>
          <w:color w:val="auto"/>
        </w:rPr>
      </w:pPr>
    </w:p>
    <w:p>
      <w:pPr>
        <w:ind w:right="159" w:firstLine="778"/>
        <w:spacing w:after="0" w:line="312" w:lineRule="auto"/>
        <w:rPr>
          <w:sz w:val="20"/>
          <w:szCs w:val="20"/>
          <w:color w:val="auto"/>
        </w:rPr>
      </w:pPr>
      <w:r>
        <w:rPr>
          <w:rFonts w:ascii="Arial" w:cs="Arial" w:eastAsia="Arial" w:hAnsi="Arial"/>
          <w:sz w:val="16"/>
          <w:szCs w:val="16"/>
          <w:color w:val="auto"/>
        </w:rPr>
        <w:t>Stock Appreciation Rights shall be evidenced by Award Agreements specifying the number of shares of Stock subject to the Award, in such form as the Committee shall from time to time establish. Award Agreements evidencing SARs may incorporate all or any of the terms of the Plan by reference and shall comply with and be subject to the following terms and conditions:</w:t>
      </w:r>
    </w:p>
    <w:p>
      <w:pPr>
        <w:spacing w:after="0" w:line="116" w:lineRule="exact"/>
        <w:rPr>
          <w:sz w:val="20"/>
          <w:szCs w:val="20"/>
          <w:color w:val="auto"/>
        </w:rPr>
      </w:pPr>
    </w:p>
    <w:p>
      <w:pPr>
        <w:jc w:val="both"/>
        <w:ind w:right="359" w:firstLine="778"/>
        <w:spacing w:after="0" w:line="26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Types of SARs Authorized.</w:t>
      </w:r>
      <w:r>
        <w:rPr>
          <w:rFonts w:ascii="Arial" w:cs="Arial" w:eastAsia="Arial" w:hAnsi="Arial"/>
          <w:sz w:val="18"/>
          <w:szCs w:val="18"/>
          <w:color w:val="auto"/>
        </w:rPr>
        <w:t xml:space="preserve"> SARs may be granted in tandem with all or any portion of a related Option (a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Tandem</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SAR</w:t>
      </w:r>
      <w:r>
        <w:rPr>
          <w:rFonts w:ascii="Arial" w:cs="Arial" w:eastAsia="Arial" w:hAnsi="Arial"/>
          <w:sz w:val="18"/>
          <w:szCs w:val="18"/>
          <w:i w:val="1"/>
          <w:iCs w:val="1"/>
          <w:color w:val="auto"/>
        </w:rPr>
        <w:t>”</w:t>
      </w:r>
      <w:r>
        <w:rPr>
          <w:rFonts w:ascii="Arial" w:cs="Arial" w:eastAsia="Arial" w:hAnsi="Arial"/>
          <w:sz w:val="18"/>
          <w:szCs w:val="18"/>
          <w:color w:val="auto"/>
        </w:rPr>
        <w:t>) or may be granted independently of any Option (a</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Freestanding SAR</w:t>
      </w:r>
      <w:r>
        <w:rPr>
          <w:rFonts w:ascii="Arial" w:cs="Arial" w:eastAsia="Arial" w:hAnsi="Arial"/>
          <w:sz w:val="18"/>
          <w:szCs w:val="18"/>
          <w:i w:val="1"/>
          <w:iCs w:val="1"/>
          <w:color w:val="auto"/>
        </w:rPr>
        <w:t>”</w:t>
      </w:r>
      <w:r>
        <w:rPr>
          <w:rFonts w:ascii="Arial" w:cs="Arial" w:eastAsia="Arial" w:hAnsi="Arial"/>
          <w:sz w:val="18"/>
          <w:szCs w:val="18"/>
          <w:color w:val="auto"/>
        </w:rPr>
        <w:t>). A Tandem SAR may only be granted concurrently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grant of the related Option.</w:t>
      </w:r>
    </w:p>
    <w:p>
      <w:pPr>
        <w:spacing w:after="0" w:line="136" w:lineRule="exact"/>
        <w:rPr>
          <w:sz w:val="20"/>
          <w:szCs w:val="20"/>
          <w:color w:val="auto"/>
        </w:rPr>
      </w:pPr>
    </w:p>
    <w:p>
      <w:pPr>
        <w:ind w:right="359" w:firstLine="778"/>
        <w:spacing w:after="0" w:line="261"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Exercise Price.</w:t>
      </w:r>
      <w:r>
        <w:rPr>
          <w:rFonts w:ascii="Arial" w:cs="Arial" w:eastAsia="Arial" w:hAnsi="Arial"/>
          <w:sz w:val="18"/>
          <w:szCs w:val="18"/>
          <w:color w:val="auto"/>
        </w:rPr>
        <w:t xml:space="preserve">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Exercisability and Term of SARs.</w:t>
      </w:r>
    </w:p>
    <w:p>
      <w:pPr>
        <w:spacing w:after="0" w:line="202" w:lineRule="exact"/>
        <w:rPr>
          <w:sz w:val="20"/>
          <w:szCs w:val="20"/>
          <w:color w:val="auto"/>
        </w:rPr>
      </w:pPr>
    </w:p>
    <w:p>
      <w:pPr>
        <w:ind w:right="179" w:firstLine="1159"/>
        <w:spacing w:after="0" w:line="288" w:lineRule="auto"/>
        <w:tabs>
          <w:tab w:leader="none" w:pos="1411"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Tandem SARs. </w:t>
      </w:r>
      <w:r>
        <w:rPr>
          <w:rFonts w:ascii="Arial" w:cs="Arial" w:eastAsia="Arial" w:hAnsi="Arial"/>
          <w:sz w:val="16"/>
          <w:szCs w:val="16"/>
          <w:color w:val="auto"/>
        </w:rPr>
        <w:t>Tandem SARs shall be exercisable only at the time and to the extent, and only to the extent,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200" w:lineRule="exact"/>
        <w:rPr>
          <w:sz w:val="20"/>
          <w:szCs w:val="20"/>
          <w:color w:val="auto"/>
        </w:rPr>
      </w:pP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58" w:name="page59"/>
    <w:bookmarkEnd w:id="58"/>
    <w:p>
      <w:pPr>
        <w:ind w:right="239" w:firstLine="1159"/>
        <w:spacing w:after="0" w:line="259" w:lineRule="auto"/>
        <w:tabs>
          <w:tab w:leader="none" w:pos="1421"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Freestanding SARs. </w:t>
      </w:r>
      <w:r>
        <w:rPr>
          <w:rFonts w:ascii="Arial" w:cs="Arial" w:eastAsia="Arial" w:hAnsi="Arial"/>
          <w:sz w:val="18"/>
          <w:szCs w:val="18"/>
          <w:color w:val="auto"/>
        </w:rPr>
        <w:t>Freestanding SARs shall be exercisable at such time or times, or upon such event or events,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subject to such terms, conditions, performance criteria and restrictions as shall be determined by the Committee and set forth in the Award Agreement evidencing such SAR; provided, however, that no Freestanding SAR shall be exercisable after the expiration of ten (10) years after the effective date of grant of such SAR.</w:t>
      </w:r>
    </w:p>
    <w:p>
      <w:pPr>
        <w:spacing w:after="0" w:line="156" w:lineRule="exact"/>
        <w:rPr>
          <w:sz w:val="20"/>
          <w:szCs w:val="20"/>
          <w:color w:val="auto"/>
        </w:rPr>
      </w:pPr>
    </w:p>
    <w:p>
      <w:pPr>
        <w:ind w:right="239" w:firstLine="778"/>
        <w:spacing w:after="0" w:line="270"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color w:val="auto"/>
        </w:rPr>
        <w:t>Exercise of SARs.</w:t>
      </w:r>
      <w:r>
        <w:rPr>
          <w:rFonts w:ascii="Arial" w:cs="Arial" w:eastAsia="Arial" w:hAnsi="Arial"/>
          <w:sz w:val="17"/>
          <w:szCs w:val="17"/>
          <w:color w:val="auto"/>
        </w:rPr>
        <w:t xml:space="preserve">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137" w:lineRule="exact"/>
        <w:rPr>
          <w:sz w:val="20"/>
          <w:szCs w:val="20"/>
          <w:color w:val="auto"/>
        </w:rPr>
      </w:pPr>
    </w:p>
    <w:p>
      <w:pPr>
        <w:jc w:val="both"/>
        <w:ind w:right="179" w:firstLine="778"/>
        <w:spacing w:after="0" w:line="261"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Deemed Exercise of SARs.</w:t>
      </w:r>
      <w:r>
        <w:rPr>
          <w:rFonts w:ascii="Arial" w:cs="Arial" w:eastAsia="Arial" w:hAnsi="Arial"/>
          <w:sz w:val="18"/>
          <w:szCs w:val="18"/>
          <w:color w:val="auto"/>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w:t>
      </w:r>
    </w:p>
    <w:p>
      <w:pPr>
        <w:spacing w:after="0" w:line="140" w:lineRule="exact"/>
        <w:rPr>
          <w:sz w:val="20"/>
          <w:szCs w:val="20"/>
          <w:color w:val="auto"/>
        </w:rPr>
      </w:pPr>
    </w:p>
    <w:p>
      <w:pPr>
        <w:jc w:val="both"/>
        <w:ind w:right="319" w:firstLine="778"/>
        <w:spacing w:after="0" w:line="261"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 xml:space="preserve"> Subject to earlier termination of the SAR as otherwise provided herein and unless otherwise provided by the Committee,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153" w:lineRule="exact"/>
        <w:rPr>
          <w:sz w:val="20"/>
          <w:szCs w:val="20"/>
          <w:color w:val="auto"/>
        </w:rPr>
      </w:pPr>
    </w:p>
    <w:p>
      <w:pPr>
        <w:ind w:right="279" w:firstLine="778"/>
        <w:spacing w:after="0" w:line="273"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b w:val="1"/>
          <w:bCs w:val="1"/>
          <w:color w:val="auto"/>
        </w:rPr>
        <w:t>Transferability of SARs.</w:t>
      </w:r>
      <w:r>
        <w:rPr>
          <w:rFonts w:ascii="Arial" w:cs="Arial" w:eastAsia="Arial" w:hAnsi="Arial"/>
          <w:sz w:val="17"/>
          <w:szCs w:val="17"/>
          <w:color w:val="auto"/>
        </w:rPr>
        <w:t xml:space="preserve">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w:t>
      </w: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59" w:name="page60"/>
    <w:bookmarkEnd w:id="59"/>
    <w:p>
      <w:pPr>
        <w:ind w:left="560" w:hanging="179"/>
        <w:spacing w:after="0"/>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ESTRICTED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WARDS</w:t>
      </w:r>
      <w:r>
        <w:rPr>
          <w:rFonts w:ascii="Arial" w:cs="Arial" w:eastAsia="Arial" w:hAnsi="Arial"/>
          <w:sz w:val="18"/>
          <w:szCs w:val="18"/>
          <w:b w:val="1"/>
          <w:bCs w:val="1"/>
          <w:color w:val="auto"/>
        </w:rPr>
        <w:t>.</w:t>
      </w:r>
    </w:p>
    <w:p>
      <w:pPr>
        <w:spacing w:after="0" w:line="202" w:lineRule="exact"/>
        <w:rPr>
          <w:sz w:val="20"/>
          <w:szCs w:val="20"/>
          <w:color w:val="auto"/>
        </w:rPr>
      </w:pPr>
    </w:p>
    <w:p>
      <w:pPr>
        <w:ind w:right="399" w:firstLine="778"/>
        <w:spacing w:after="0" w:line="279" w:lineRule="auto"/>
        <w:rPr>
          <w:sz w:val="20"/>
          <w:szCs w:val="20"/>
          <w:color w:val="auto"/>
        </w:rPr>
      </w:pPr>
      <w:r>
        <w:rPr>
          <w:rFonts w:ascii="Arial" w:cs="Arial" w:eastAsia="Arial" w:hAnsi="Arial"/>
          <w:sz w:val="17"/>
          <w:szCs w:val="17"/>
          <w:color w:val="auto"/>
        </w:rPr>
        <w:t>Restricted Stock Awards shall be evidenced by Award Agreements specifying whether the Award is a Restricted Stock Bonus or a Restricted Stock Purchase Right and the number of shares of Stock subject to the Award, in such form as the Committee shall from time to time establish. Award Agreements evidencing Restricted Stock Awards may incorporate all or any of the terms of the Plan by reference and shall comply with and be subject to the following terms and conditions:</w:t>
      </w:r>
    </w:p>
    <w:p>
      <w:pPr>
        <w:spacing w:after="0" w:line="127" w:lineRule="exact"/>
        <w:rPr>
          <w:sz w:val="20"/>
          <w:szCs w:val="20"/>
          <w:color w:val="auto"/>
        </w:rPr>
      </w:pPr>
    </w:p>
    <w:p>
      <w:pPr>
        <w:ind w:right="419" w:firstLine="778"/>
        <w:spacing w:after="0" w:line="25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Types of Restricted Stock Awards Authorized.</w:t>
      </w:r>
      <w:r>
        <w:rPr>
          <w:rFonts w:ascii="Arial" w:cs="Arial" w:eastAsia="Arial" w:hAnsi="Arial"/>
          <w:sz w:val="18"/>
          <w:szCs w:val="18"/>
          <w:color w:val="auto"/>
        </w:rPr>
        <w:t xml:space="preserve">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147" w:lineRule="exact"/>
        <w:rPr>
          <w:sz w:val="20"/>
          <w:szCs w:val="20"/>
          <w:color w:val="auto"/>
        </w:rPr>
      </w:pPr>
    </w:p>
    <w:p>
      <w:pPr>
        <w:ind w:right="179" w:firstLine="778"/>
        <w:spacing w:after="0" w:line="274"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color w:val="auto"/>
        </w:rPr>
        <w:t>Purchase Price.</w:t>
      </w:r>
      <w:r>
        <w:rPr>
          <w:rFonts w:ascii="Arial" w:cs="Arial" w:eastAsia="Arial" w:hAnsi="Arial"/>
          <w:sz w:val="17"/>
          <w:szCs w:val="17"/>
          <w:color w:val="auto"/>
        </w:rPr>
        <w:t xml:space="preserve">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147" w:lineRule="exact"/>
        <w:rPr>
          <w:sz w:val="20"/>
          <w:szCs w:val="20"/>
          <w:color w:val="auto"/>
        </w:rPr>
      </w:pPr>
    </w:p>
    <w:p>
      <w:pPr>
        <w:ind w:right="179" w:firstLine="778"/>
        <w:spacing w:after="0" w:line="347"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color w:val="auto"/>
        </w:rPr>
        <w:t>Purchase Period.</w:t>
      </w:r>
      <w:r>
        <w:rPr>
          <w:rFonts w:ascii="Arial" w:cs="Arial" w:eastAsia="Arial" w:hAnsi="Arial"/>
          <w:sz w:val="16"/>
          <w:szCs w:val="16"/>
          <w:color w:val="auto"/>
        </w:rPr>
        <w:t xml:space="preserve"> A Restricted Stock Purchase Right shall be exercisable within a period established by the Committee, which shall in no event exceed thirty (30) days from the effective date of the grant of the Restricted Stock Purchase Right.</w:t>
      </w:r>
    </w:p>
    <w:p>
      <w:pPr>
        <w:spacing w:after="0" w:line="76" w:lineRule="exact"/>
        <w:rPr>
          <w:sz w:val="20"/>
          <w:szCs w:val="20"/>
          <w:color w:val="auto"/>
        </w:rPr>
      </w:pPr>
    </w:p>
    <w:p>
      <w:pPr>
        <w:ind w:right="519" w:firstLine="778"/>
        <w:spacing w:after="0" w:line="261"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Payment of Purchase Price.</w:t>
      </w:r>
      <w:r>
        <w:rPr>
          <w:rFonts w:ascii="Arial" w:cs="Arial" w:eastAsia="Arial" w:hAnsi="Arial"/>
          <w:sz w:val="18"/>
          <w:szCs w:val="18"/>
          <w:color w:val="auto"/>
        </w:rPr>
        <w:t xml:space="preserve">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0" w:name="page61"/>
    <w:bookmarkEnd w:id="60"/>
    <w:p>
      <w:pPr>
        <w:ind w:right="199" w:firstLine="778"/>
        <w:spacing w:after="0" w:line="287"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color w:val="auto"/>
        </w:rPr>
        <w:t>Vesting and Restrictions on Transfer.</w:t>
      </w:r>
      <w:r>
        <w:rPr>
          <w:rFonts w:ascii="Arial" w:cs="Arial" w:eastAsia="Arial" w:hAnsi="Arial"/>
          <w:sz w:val="16"/>
          <w:szCs w:val="16"/>
          <w:color w:val="auto"/>
        </w:rPr>
        <w:t xml:space="preserve">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Insider Trading Policy, then satisfaction of the Vesting Conditions automatically shall be determined on the next trading day on which the sale of such shares would not violate the Insider Trading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38" w:lineRule="exact"/>
        <w:rPr>
          <w:sz w:val="20"/>
          <w:szCs w:val="20"/>
          <w:color w:val="auto"/>
        </w:rPr>
      </w:pPr>
    </w:p>
    <w:p>
      <w:pPr>
        <w:ind w:right="179" w:firstLine="778"/>
        <w:spacing w:after="0" w:line="271"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color w:val="auto"/>
        </w:rPr>
        <w:t>Voting Rights; Dividends and Distributions.</w:t>
      </w:r>
      <w:r>
        <w:rPr>
          <w:rFonts w:ascii="Arial" w:cs="Arial" w:eastAsia="Arial" w:hAnsi="Arial"/>
          <w:sz w:val="17"/>
          <w:szCs w:val="17"/>
          <w:color w:val="auto"/>
        </w:rPr>
        <w:t xml:space="preserve">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However, in the event of a dividend or distribution paid in shares of Stock or other property or any other adjustment made upon a change in the capital structure of the Company as described in Section 4.4, any and all new, substituted or additional securities or other property (other than normal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34" w:lineRule="exact"/>
        <w:rPr>
          <w:sz w:val="20"/>
          <w:szCs w:val="20"/>
          <w:color w:val="auto"/>
        </w:rPr>
      </w:pPr>
    </w:p>
    <w:p>
      <w:pPr>
        <w:ind w:right="199" w:firstLine="778"/>
        <w:spacing w:after="0" w:line="291"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b w:val="1"/>
          <w:bCs w:val="1"/>
          <w:color w:val="auto"/>
        </w:rPr>
        <w:t>Effect of Termination of Service.</w:t>
      </w:r>
      <w:r>
        <w:rPr>
          <w:rFonts w:ascii="Arial" w:cs="Arial" w:eastAsia="Arial" w:hAnsi="Arial"/>
          <w:sz w:val="16"/>
          <w:szCs w:val="16"/>
          <w:color w:val="auto"/>
        </w:rPr>
        <w:t xml:space="preserve">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120" w:lineRule="exact"/>
        <w:rPr>
          <w:sz w:val="20"/>
          <w:szCs w:val="20"/>
          <w:color w:val="auto"/>
        </w:rPr>
      </w:pPr>
    </w:p>
    <w:p>
      <w:pPr>
        <w:ind w:right="279" w:firstLine="778"/>
        <w:spacing w:after="0" w:line="277"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b w:val="1"/>
          <w:bCs w:val="1"/>
          <w:color w:val="auto"/>
        </w:rPr>
        <w:t>Nontransferability of Restricted Stock Award Rights.</w:t>
      </w:r>
      <w:r>
        <w:rPr>
          <w:rFonts w:ascii="Arial" w:cs="Arial" w:eastAsia="Arial" w:hAnsi="Arial"/>
          <w:sz w:val="17"/>
          <w:szCs w:val="17"/>
          <w:color w:val="auto"/>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61" w:name="page62"/>
    <w:bookmarkEnd w:id="61"/>
    <w:p>
      <w:pPr>
        <w:ind w:left="560" w:hanging="179"/>
        <w:spacing w:after="0"/>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ESTRICTED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U</w:t>
      </w:r>
      <w:r>
        <w:rPr>
          <w:rFonts w:ascii="Arial" w:cs="Arial" w:eastAsia="Arial" w:hAnsi="Arial"/>
          <w:sz w:val="12"/>
          <w:szCs w:val="12"/>
          <w:b w:val="1"/>
          <w:bCs w:val="1"/>
          <w:u w:val="single" w:color="auto"/>
          <w:color w:val="auto"/>
        </w:rPr>
        <w:t>NIT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WARDS</w:t>
      </w:r>
      <w:r>
        <w:rPr>
          <w:rFonts w:ascii="Arial" w:cs="Arial" w:eastAsia="Arial" w:hAnsi="Arial"/>
          <w:sz w:val="18"/>
          <w:szCs w:val="18"/>
          <w:b w:val="1"/>
          <w:bCs w:val="1"/>
          <w:color w:val="auto"/>
        </w:rPr>
        <w:t>.</w:t>
      </w:r>
    </w:p>
    <w:p>
      <w:pPr>
        <w:spacing w:after="0" w:line="202" w:lineRule="exact"/>
        <w:rPr>
          <w:sz w:val="20"/>
          <w:szCs w:val="20"/>
          <w:color w:val="auto"/>
        </w:rPr>
      </w:pPr>
    </w:p>
    <w:p>
      <w:pPr>
        <w:ind w:right="199" w:firstLine="778"/>
        <w:spacing w:after="0" w:line="259" w:lineRule="auto"/>
        <w:rPr>
          <w:sz w:val="20"/>
          <w:szCs w:val="20"/>
          <w:color w:val="auto"/>
        </w:rPr>
      </w:pPr>
      <w:r>
        <w:rPr>
          <w:rFonts w:ascii="Arial" w:cs="Arial" w:eastAsia="Arial" w:hAnsi="Arial"/>
          <w:sz w:val="18"/>
          <w:szCs w:val="18"/>
          <w:color w:val="auto"/>
        </w:rPr>
        <w:t>Restricted Stock Unit Awards shall be evidenced by Award Agreements specifying the number of Restricted Stock Units subject to the Award, in such form as the Committee shall from time to time establish. Award Agreements evidencing Restricted Stock Units may incorporate all or any of the terms of the Plan by reference and shall comply with and be subject to the following terms and conditions:</w:t>
      </w:r>
    </w:p>
    <w:p>
      <w:pPr>
        <w:spacing w:after="0" w:line="142" w:lineRule="exact"/>
        <w:rPr>
          <w:sz w:val="20"/>
          <w:szCs w:val="20"/>
          <w:color w:val="auto"/>
        </w:rPr>
      </w:pPr>
    </w:p>
    <w:p>
      <w:pPr>
        <w:ind w:right="299" w:firstLine="778"/>
        <w:spacing w:after="0" w:line="25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Grant of Restricted Stock Unit Awards.</w:t>
      </w:r>
      <w:r>
        <w:rPr>
          <w:rFonts w:ascii="Arial" w:cs="Arial" w:eastAsia="Arial" w:hAnsi="Arial"/>
          <w:sz w:val="18"/>
          <w:szCs w:val="18"/>
          <w:color w:val="auto"/>
        </w:rPr>
        <w:t xml:space="preserve">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143" w:lineRule="exact"/>
        <w:rPr>
          <w:sz w:val="20"/>
          <w:szCs w:val="20"/>
          <w:color w:val="auto"/>
        </w:rPr>
      </w:pPr>
    </w:p>
    <w:p>
      <w:pPr>
        <w:ind w:right="179" w:firstLine="778"/>
        <w:spacing w:after="0" w:line="277"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color w:val="auto"/>
        </w:rPr>
        <w:t>Purchase Price.</w:t>
      </w:r>
      <w:r>
        <w:rPr>
          <w:rFonts w:ascii="Arial" w:cs="Arial" w:eastAsia="Arial" w:hAnsi="Arial"/>
          <w:sz w:val="17"/>
          <w:szCs w:val="17"/>
          <w:color w:val="auto"/>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141" w:lineRule="exact"/>
        <w:rPr>
          <w:sz w:val="20"/>
          <w:szCs w:val="20"/>
          <w:color w:val="auto"/>
        </w:rPr>
      </w:pPr>
    </w:p>
    <w:p>
      <w:pPr>
        <w:ind w:right="339" w:firstLine="778"/>
        <w:spacing w:after="0" w:line="261"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Vesting.</w:t>
      </w:r>
      <w:r>
        <w:rPr>
          <w:rFonts w:ascii="Arial" w:cs="Arial" w:eastAsia="Arial" w:hAnsi="Arial"/>
          <w:sz w:val="18"/>
          <w:szCs w:val="18"/>
          <w:color w:val="auto"/>
        </w:rPr>
        <w:t xml:space="preserve">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140" w:lineRule="exact"/>
        <w:rPr>
          <w:sz w:val="20"/>
          <w:szCs w:val="20"/>
          <w:color w:val="auto"/>
        </w:rPr>
      </w:pPr>
    </w:p>
    <w:p>
      <w:pPr>
        <w:ind w:right="179" w:firstLine="778"/>
        <w:spacing w:after="0" w:line="285"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b w:val="1"/>
          <w:bCs w:val="1"/>
          <w:color w:val="auto"/>
        </w:rPr>
        <w:t>Voting Rights, Dividend Equivalent Rights and Distributions.</w:t>
      </w:r>
      <w:r>
        <w:rPr>
          <w:rFonts w:ascii="Arial" w:cs="Arial" w:eastAsia="Arial" w:hAnsi="Arial"/>
          <w:sz w:val="16"/>
          <w:szCs w:val="16"/>
          <w:color w:val="auto"/>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by crediting the Participant with additional whole Restricted Stock Units as of the date of payment of such cash dividends on Stock. The number of additional Restricted Stock Units (rounded to the nearest whole number) to be so credited shall be determined by dividing (a) the amount of cash dividends paid on such date with respect to the number of shares of Stock represented by the Restricted Stock Units previously credited to the Participant by (b) the Fair Market Value per share of Stock on such date. Such additional Restricted Stock Units shall be subject to the same terms and conditions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4.4, appropriate adjustments shall be made in the Participant’s Restricted Stock Unit Award so that it represents the right to receive upon settlement any and all new, substituted or additional securities or other property (other than normal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200" w:lineRule="exact"/>
        <w:rPr>
          <w:sz w:val="20"/>
          <w:szCs w:val="20"/>
          <w:color w:val="auto"/>
        </w:rPr>
      </w:pPr>
    </w:p>
    <w:p>
      <w:pPr>
        <w:spacing w:after="0" w:line="3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62" w:name="page63"/>
    <w:bookmarkEnd w:id="62"/>
    <w:p>
      <w:pPr>
        <w:ind w:right="279" w:firstLine="778"/>
        <w:spacing w:after="0" w:line="303"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b w:val="1"/>
          <w:bCs w:val="1"/>
          <w:color w:val="auto"/>
        </w:rPr>
        <w:t>Effect of Termination of Service.</w:t>
      </w:r>
      <w:r>
        <w:rPr>
          <w:rFonts w:ascii="Arial" w:cs="Arial" w:eastAsia="Arial" w:hAnsi="Arial"/>
          <w:sz w:val="16"/>
          <w:szCs w:val="16"/>
          <w:color w:val="auto"/>
        </w:rPr>
        <w:t xml:space="preserve">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124" w:lineRule="exact"/>
        <w:rPr>
          <w:sz w:val="20"/>
          <w:szCs w:val="20"/>
          <w:color w:val="auto"/>
        </w:rPr>
      </w:pPr>
    </w:p>
    <w:p>
      <w:pPr>
        <w:ind w:right="199" w:firstLine="778"/>
        <w:spacing w:after="0" w:line="26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b w:val="1"/>
          <w:bCs w:val="1"/>
          <w:color w:val="auto"/>
        </w:rPr>
        <w:t>Settlement of Restricted Stock Unit Awards.</w:t>
      </w:r>
      <w:r>
        <w:rPr>
          <w:rFonts w:ascii="Arial" w:cs="Arial" w:eastAsia="Arial" w:hAnsi="Arial"/>
          <w:sz w:val="17"/>
          <w:szCs w:val="17"/>
          <w:color w:val="auto"/>
        </w:rPr>
        <w:t xml:space="preserve"> The Company shall issue to a Participant on the date on which Restricted Stock Units subject to the Participant’s Restricted Stock Unit Award vest or on such other date determined by the Committee, in its discretion,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Notwithstanding the foregoing, the Committee, in its discretion, may provide for settlement of any Restricted Stock Unit Award by payment to the Participant in cash of an amount equal to the Fair Market Value on the payment date of the shares of Stock or other property otherwise issuable to the Participant pursuant to this Section. The Committee, in its discretion, may provide in any Award Agreement evidencing a Restricted Stock Unit Award that, if the satisfaction of Vesting Conditions with respect to any shares subject to the Award would otherwise occur on a day on which the sale of such shares would violate the provisions of the Insider Trading Policy, then the satisfaction of the Vesting Conditions automatically shall be determined on the first to occur of (a) the next trading day on which the sale of such shares would not violate the Insider Trading Policy or (b) the later of (i) last day of the calendar year in which the original vesting date occurred or (ii) the last day of the Company’s taxable year in which the original vesting date occurred.</w:t>
      </w:r>
    </w:p>
    <w:p>
      <w:pPr>
        <w:spacing w:after="0" w:line="140" w:lineRule="exact"/>
        <w:rPr>
          <w:sz w:val="20"/>
          <w:szCs w:val="20"/>
          <w:color w:val="auto"/>
        </w:rPr>
      </w:pPr>
    </w:p>
    <w:p>
      <w:pPr>
        <w:ind w:right="239" w:firstLine="778"/>
        <w:spacing w:after="0" w:line="277"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b w:val="1"/>
          <w:bCs w:val="1"/>
          <w:color w:val="auto"/>
        </w:rPr>
        <w:t>Nontransferability of Restricted Stock Unit Awards.</w:t>
      </w:r>
      <w:r>
        <w:rPr>
          <w:rFonts w:ascii="Arial" w:cs="Arial" w:eastAsia="Arial" w:hAnsi="Arial"/>
          <w:sz w:val="17"/>
          <w:szCs w:val="17"/>
          <w:color w:val="auto"/>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3" w:name="page64"/>
    <w:bookmarkEnd w:id="63"/>
    <w:p>
      <w:pPr>
        <w:ind w:left="668" w:hanging="279"/>
        <w:spacing w:after="0"/>
        <w:tabs>
          <w:tab w:leader="none" w:pos="668"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ERFORMANCE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WARDS</w:t>
      </w:r>
      <w:r>
        <w:rPr>
          <w:rFonts w:ascii="Arial" w:cs="Arial" w:eastAsia="Arial" w:hAnsi="Arial"/>
          <w:sz w:val="18"/>
          <w:szCs w:val="18"/>
          <w:b w:val="1"/>
          <w:bCs w:val="1"/>
          <w:color w:val="auto"/>
        </w:rPr>
        <w:t>.</w:t>
      </w:r>
    </w:p>
    <w:p>
      <w:pPr>
        <w:spacing w:after="0" w:line="202" w:lineRule="exact"/>
        <w:rPr>
          <w:sz w:val="20"/>
          <w:szCs w:val="20"/>
          <w:color w:val="auto"/>
        </w:rPr>
      </w:pPr>
    </w:p>
    <w:p>
      <w:pPr>
        <w:ind w:left="8" w:right="479" w:firstLine="778"/>
        <w:spacing w:after="0" w:line="264" w:lineRule="auto"/>
        <w:rPr>
          <w:sz w:val="20"/>
          <w:szCs w:val="20"/>
          <w:color w:val="auto"/>
        </w:rPr>
      </w:pPr>
      <w:r>
        <w:rPr>
          <w:rFonts w:ascii="Arial" w:cs="Arial" w:eastAsia="Arial" w:hAnsi="Arial"/>
          <w:sz w:val="18"/>
          <w:szCs w:val="18"/>
          <w:color w:val="auto"/>
        </w:rPr>
        <w:t>Performance Awards shall be evidenced by Award Agreements in such form as the Committee shall from time to time establish. Award Agreements evidencing Performance Awards may incorporate all or any of the terms of the Plan by reference and shall comply with and be subject to the following terms and conditions:</w:t>
      </w:r>
    </w:p>
    <w:p>
      <w:pPr>
        <w:spacing w:after="0" w:line="137" w:lineRule="exact"/>
        <w:rPr>
          <w:sz w:val="20"/>
          <w:szCs w:val="20"/>
          <w:color w:val="auto"/>
        </w:rPr>
      </w:pPr>
    </w:p>
    <w:p>
      <w:pPr>
        <w:ind w:left="8" w:right="299" w:firstLine="778"/>
        <w:spacing w:after="0" w:line="281"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color w:val="auto"/>
        </w:rPr>
        <w:t>Types of Performance Awards Authorized.</w:t>
      </w:r>
      <w:r>
        <w:rPr>
          <w:rFonts w:ascii="Arial" w:cs="Arial" w:eastAsia="Arial" w:hAnsi="Arial"/>
          <w:sz w:val="17"/>
          <w:szCs w:val="17"/>
          <w:color w:val="auto"/>
        </w:rPr>
        <w:t xml:space="preserve">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124" w:lineRule="exact"/>
        <w:rPr>
          <w:sz w:val="20"/>
          <w:szCs w:val="20"/>
          <w:color w:val="auto"/>
        </w:rPr>
      </w:pPr>
    </w:p>
    <w:p>
      <w:pPr>
        <w:ind w:left="8" w:right="499" w:firstLine="778"/>
        <w:spacing w:after="0" w:line="293"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color w:val="auto"/>
        </w:rPr>
        <w:t>Initial Value of Performance Shares and Performance Units.</w:t>
      </w:r>
      <w:r>
        <w:rPr>
          <w:rFonts w:ascii="Arial" w:cs="Arial" w:eastAsia="Arial" w:hAnsi="Arial"/>
          <w:sz w:val="16"/>
          <w:szCs w:val="16"/>
          <w:color w:val="auto"/>
        </w:rPr>
        <w:t xml:space="preserve"> Unless otherwise provided by the Committee in granting a Performance Award, each Performance Share shall have an initial monetary value equal to the Fair Market Value of one</w:t>
      </w:r>
    </w:p>
    <w:p>
      <w:pPr>
        <w:spacing w:after="0" w:line="1" w:lineRule="exact"/>
        <w:rPr>
          <w:sz w:val="20"/>
          <w:szCs w:val="20"/>
          <w:color w:val="auto"/>
        </w:rPr>
      </w:pPr>
    </w:p>
    <w:p>
      <w:pPr>
        <w:ind w:left="8" w:right="159" w:hanging="8"/>
        <w:spacing w:after="0" w:line="253" w:lineRule="auto"/>
        <w:tabs>
          <w:tab w:leader="none" w:pos="263"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 of Stock, subject to adjustment as provided in Section 4.4,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160" w:lineRule="exact"/>
        <w:rPr>
          <w:sz w:val="20"/>
          <w:szCs w:val="20"/>
          <w:color w:val="auto"/>
        </w:rPr>
      </w:pPr>
    </w:p>
    <w:p>
      <w:pPr>
        <w:ind w:left="8" w:right="159" w:firstLine="778"/>
        <w:spacing w:after="0" w:line="269"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color w:val="auto"/>
        </w:rPr>
        <w:t>Establishment of Performance Period, Performance Goals and Performance Award Formula.</w:t>
      </w:r>
      <w:r>
        <w:rPr>
          <w:rFonts w:ascii="Arial" w:cs="Arial" w:eastAsia="Arial" w:hAnsi="Arial"/>
          <w:sz w:val="17"/>
          <w:szCs w:val="17"/>
          <w:color w:val="auto"/>
        </w:rPr>
        <w:t xml:space="preserve">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Unless otherwise permitted in compliance with the requirements under Section 162(m) with respect to each Performance Award intended to result in the payment of Performance-Based Compensation, the Committee shall establish the Performance Goal(s) and Performance Award Formula applicable to each Performance Award no later than the earlier of (a) the date ninety (90) days after the commencement of the applicable Performance Period or (b) the date on which 25% of the Performance Period has elapsed, and, in any event, at a time when the outcome of the Performance Goals remains substantially uncertain. Once established, the Performance Goals and Performance Award Formula applicable to a Covered Employee shall not be changed during the Performance Period. The Company shall notify each Participant granted a Performance Award of the terms of such Award, including the Performance Period, Performance Goal(s) and Performance Award Formula.</w:t>
      </w:r>
    </w:p>
    <w:p>
      <w:pPr>
        <w:spacing w:after="0" w:line="200" w:lineRule="exact"/>
        <w:rPr>
          <w:sz w:val="20"/>
          <w:szCs w:val="20"/>
          <w:color w:val="auto"/>
        </w:rPr>
      </w:pPr>
    </w:p>
    <w:p>
      <w:pPr>
        <w:spacing w:after="0" w:line="33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64" w:name="page65"/>
    <w:bookmarkEnd w:id="64"/>
    <w:p>
      <w:pPr>
        <w:ind w:right="459" w:firstLine="778"/>
        <w:spacing w:after="0" w:line="26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Measurement of Performance Goals.</w:t>
      </w:r>
      <w:r>
        <w:rPr>
          <w:rFonts w:ascii="Arial" w:cs="Arial" w:eastAsia="Arial" w:hAnsi="Arial"/>
          <w:sz w:val="18"/>
          <w:szCs w:val="18"/>
          <w:color w:val="auto"/>
        </w:rPr>
        <w:t xml:space="preserve"> Performance Goals shall be established by the Committee on the basis of targets to be attained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Targets</w:t>
      </w:r>
      <w:r>
        <w:rPr>
          <w:rFonts w:ascii="Arial" w:cs="Arial" w:eastAsia="Arial" w:hAnsi="Arial"/>
          <w:sz w:val="18"/>
          <w:szCs w:val="18"/>
          <w:i w:val="1"/>
          <w:iCs w:val="1"/>
          <w:color w:val="auto"/>
        </w:rPr>
        <w:t>”</w:t>
      </w:r>
      <w:r>
        <w:rPr>
          <w:rFonts w:ascii="Arial" w:cs="Arial" w:eastAsia="Arial" w:hAnsi="Arial"/>
          <w:sz w:val="18"/>
          <w:szCs w:val="18"/>
          <w:color w:val="auto"/>
        </w:rPr>
        <w:t xml:space="preserve">) with respect to one or more measures of business or financial performance (each, 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Measure</w:t>
      </w:r>
      <w:r>
        <w:rPr>
          <w:rFonts w:ascii="Arial" w:cs="Arial" w:eastAsia="Arial" w:hAnsi="Arial"/>
          <w:sz w:val="18"/>
          <w:szCs w:val="18"/>
          <w:i w:val="1"/>
          <w:iCs w:val="1"/>
          <w:color w:val="auto"/>
        </w:rPr>
        <w:t>”</w:t>
      </w:r>
      <w:r>
        <w:rPr>
          <w:rFonts w:ascii="Arial" w:cs="Arial" w:eastAsia="Arial" w:hAnsi="Arial"/>
          <w:sz w:val="18"/>
          <w:szCs w:val="18"/>
          <w:color w:val="auto"/>
        </w:rPr>
        <w:t>), subject to the following:</w:t>
      </w:r>
    </w:p>
    <w:p>
      <w:pPr>
        <w:spacing w:after="0" w:line="153" w:lineRule="exact"/>
        <w:rPr>
          <w:sz w:val="20"/>
          <w:szCs w:val="20"/>
          <w:color w:val="auto"/>
        </w:rPr>
      </w:pPr>
    </w:p>
    <w:p>
      <w:pPr>
        <w:ind w:right="219" w:firstLine="1159"/>
        <w:spacing w:after="0" w:line="287" w:lineRule="auto"/>
        <w:tabs>
          <w:tab w:leader="none" w:pos="1411"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Measures. </w:t>
      </w:r>
      <w:r>
        <w:rPr>
          <w:rFonts w:ascii="Arial" w:cs="Arial" w:eastAsia="Arial" w:hAnsi="Arial"/>
          <w:sz w:val="16"/>
          <w:szCs w:val="16"/>
          <w:color w:val="auto"/>
        </w:rPr>
        <w:t>Performance Measures shall have the same meanings as used in the Company’s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or, if such terms are not used in the Company’s financial statements, they shall have the meaning applied pursuant to generally accepted accounting principles, or as used generally in the Company’s industry. Performance Measures shall be calculated with respect to the Company and each Subsidiary Corporation consolidated therewith for financial reporting purposes or such division or other business unit as may be selected by the Committee. For purposes of the Plan, the Performance Measures applicable to a Performance Award shall be calculated in accordance with generally accepted accounting principles, if applicable, but prior to the accrual or payment of any Performance Award for the same Performance Period and excluding the effect (whether positive or negative) of any change in accounting standards or any extraordinary, unusual or nonrecurring item,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 Performance Measures may be one or more of the following, as determined by the Committee:</w:t>
      </w:r>
    </w:p>
    <w:p>
      <w:pPr>
        <w:spacing w:after="0" w:line="128" w:lineRule="exact"/>
        <w:rPr>
          <w:rFonts w:ascii="Arial" w:cs="Arial" w:eastAsia="Arial" w:hAnsi="Arial"/>
          <w:sz w:val="16"/>
          <w:szCs w:val="16"/>
          <w:color w:val="auto"/>
        </w:rPr>
      </w:pPr>
    </w:p>
    <w:p>
      <w:pPr>
        <w:ind w:left="1760" w:hanging="212"/>
        <w:spacing w:after="0"/>
        <w:tabs>
          <w:tab w:leader="none" w:pos="1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revenue;</w:t>
      </w:r>
    </w:p>
    <w:p>
      <w:pPr>
        <w:spacing w:after="0" w:line="184" w:lineRule="exact"/>
        <w:rPr>
          <w:rFonts w:ascii="Arial" w:cs="Arial" w:eastAsia="Arial" w:hAnsi="Arial"/>
          <w:sz w:val="18"/>
          <w:szCs w:val="18"/>
          <w:color w:val="auto"/>
        </w:rPr>
      </w:pPr>
    </w:p>
    <w:p>
      <w:pPr>
        <w:ind w:left="1820" w:hanging="272"/>
        <w:spacing w:after="0"/>
        <w:tabs>
          <w:tab w:leader="none" w:pos="18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sales;</w:t>
      </w:r>
    </w:p>
    <w:p>
      <w:pPr>
        <w:spacing w:after="0" w:line="198" w:lineRule="exact"/>
        <w:rPr>
          <w:rFonts w:ascii="Arial" w:cs="Arial" w:eastAsia="Arial" w:hAnsi="Arial"/>
          <w:sz w:val="18"/>
          <w:szCs w:val="18"/>
          <w:color w:val="auto"/>
        </w:rPr>
      </w:pPr>
    </w:p>
    <w:p>
      <w:pPr>
        <w:ind w:left="1860" w:hanging="312"/>
        <w:spacing w:after="0"/>
        <w:tabs>
          <w:tab w:leader="none" w:pos="18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expenses;</w:t>
      </w:r>
    </w:p>
    <w:p>
      <w:pPr>
        <w:spacing w:after="0" w:line="184" w:lineRule="exact"/>
        <w:rPr>
          <w:rFonts w:ascii="Arial" w:cs="Arial" w:eastAsia="Arial" w:hAnsi="Arial"/>
          <w:sz w:val="18"/>
          <w:szCs w:val="18"/>
          <w:color w:val="auto"/>
        </w:rPr>
      </w:pPr>
    </w:p>
    <w:p>
      <w:pPr>
        <w:ind w:left="1860" w:hanging="312"/>
        <w:spacing w:after="0"/>
        <w:tabs>
          <w:tab w:leader="none" w:pos="18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84" w:lineRule="exact"/>
        <w:rPr>
          <w:rFonts w:ascii="Arial" w:cs="Arial" w:eastAsia="Arial" w:hAnsi="Arial"/>
          <w:sz w:val="18"/>
          <w:szCs w:val="18"/>
          <w:color w:val="auto"/>
        </w:rPr>
      </w:pPr>
    </w:p>
    <w:p>
      <w:pPr>
        <w:ind w:left="1800" w:hanging="252"/>
        <w:spacing w:after="0"/>
        <w:tabs>
          <w:tab w:leader="none" w:pos="18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198" w:lineRule="exact"/>
        <w:rPr>
          <w:rFonts w:ascii="Arial" w:cs="Arial" w:eastAsia="Arial" w:hAnsi="Arial"/>
          <w:sz w:val="18"/>
          <w:szCs w:val="18"/>
          <w:color w:val="auto"/>
        </w:rPr>
      </w:pPr>
    </w:p>
    <w:p>
      <w:pPr>
        <w:ind w:left="1860" w:hanging="312"/>
        <w:spacing w:after="0"/>
        <w:tabs>
          <w:tab w:leader="none" w:pos="18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184" w:lineRule="exact"/>
        <w:rPr>
          <w:rFonts w:ascii="Arial" w:cs="Arial" w:eastAsia="Arial" w:hAnsi="Arial"/>
          <w:sz w:val="18"/>
          <w:szCs w:val="18"/>
          <w:color w:val="auto"/>
        </w:rPr>
      </w:pPr>
    </w:p>
    <w:p>
      <w:pPr>
        <w:ind w:left="1900" w:hanging="352"/>
        <w:spacing w:after="0"/>
        <w:tabs>
          <w:tab w:leader="none" w:pos="19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earnings before any one or more of: stock-based compensation expense, interest, taxes, depreciation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amortization;</w:t>
      </w:r>
    </w:p>
    <w:p>
      <w:pPr>
        <w:spacing w:after="0" w:line="170" w:lineRule="exact"/>
        <w:rPr>
          <w:rFonts w:ascii="Arial" w:cs="Arial" w:eastAsia="Arial" w:hAnsi="Arial"/>
          <w:sz w:val="16"/>
          <w:szCs w:val="16"/>
          <w:color w:val="auto"/>
        </w:rPr>
      </w:pPr>
    </w:p>
    <w:p>
      <w:pPr>
        <w:ind w:left="1960" w:hanging="412"/>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pre-tax profit;</w:t>
      </w:r>
    </w:p>
    <w:p>
      <w:pPr>
        <w:spacing w:after="0" w:line="198" w:lineRule="exact"/>
        <w:rPr>
          <w:rFonts w:ascii="Arial" w:cs="Arial" w:eastAsia="Arial" w:hAnsi="Arial"/>
          <w:sz w:val="18"/>
          <w:szCs w:val="18"/>
          <w:color w:val="auto"/>
        </w:rPr>
      </w:pPr>
    </w:p>
    <w:p>
      <w:pPr>
        <w:ind w:left="1860" w:hanging="312"/>
        <w:spacing w:after="0"/>
        <w:tabs>
          <w:tab w:leader="none" w:pos="18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184" w:lineRule="exact"/>
        <w:rPr>
          <w:rFonts w:ascii="Arial" w:cs="Arial" w:eastAsia="Arial" w:hAnsi="Arial"/>
          <w:sz w:val="18"/>
          <w:szCs w:val="18"/>
          <w:color w:val="auto"/>
        </w:rPr>
      </w:pPr>
    </w:p>
    <w:p>
      <w:pPr>
        <w:ind w:left="1800" w:hanging="252"/>
        <w:spacing w:after="0"/>
        <w:tabs>
          <w:tab w:leader="none" w:pos="18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84" w:lineRule="exact"/>
        <w:rPr>
          <w:rFonts w:ascii="Arial" w:cs="Arial" w:eastAsia="Arial" w:hAnsi="Arial"/>
          <w:sz w:val="18"/>
          <w:szCs w:val="18"/>
          <w:color w:val="auto"/>
        </w:rPr>
      </w:pPr>
    </w:p>
    <w:p>
      <w:pPr>
        <w:ind w:left="1860" w:hanging="312"/>
        <w:spacing w:after="0"/>
        <w:tabs>
          <w:tab w:leader="none" w:pos="18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98" w:lineRule="exact"/>
        <w:rPr>
          <w:rFonts w:ascii="Arial" w:cs="Arial" w:eastAsia="Arial" w:hAnsi="Arial"/>
          <w:sz w:val="18"/>
          <w:szCs w:val="18"/>
          <w:color w:val="auto"/>
        </w:rPr>
      </w:pPr>
    </w:p>
    <w:p>
      <w:pPr>
        <w:ind w:left="1900" w:hanging="352"/>
        <w:spacing w:after="0"/>
        <w:tabs>
          <w:tab w:leader="none" w:pos="1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free cash flow;</w:t>
      </w:r>
    </w:p>
    <w:p>
      <w:pPr>
        <w:spacing w:after="0" w:line="184" w:lineRule="exact"/>
        <w:rPr>
          <w:rFonts w:ascii="Arial" w:cs="Arial" w:eastAsia="Arial" w:hAnsi="Arial"/>
          <w:sz w:val="18"/>
          <w:szCs w:val="18"/>
          <w:color w:val="auto"/>
        </w:rPr>
      </w:pPr>
    </w:p>
    <w:p>
      <w:pPr>
        <w:ind w:left="1960" w:hanging="412"/>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184" w:lineRule="exact"/>
        <w:rPr>
          <w:rFonts w:ascii="Arial" w:cs="Arial" w:eastAsia="Arial" w:hAnsi="Arial"/>
          <w:sz w:val="18"/>
          <w:szCs w:val="18"/>
          <w:color w:val="auto"/>
        </w:rPr>
      </w:pPr>
    </w:p>
    <w:p>
      <w:pPr>
        <w:ind w:left="1940" w:hanging="392"/>
        <w:spacing w:after="0"/>
        <w:tabs>
          <w:tab w:leader="none" w:pos="19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balance of cash, cash equivalents and marketable securities;</w:t>
      </w:r>
    </w:p>
    <w:p>
      <w:pPr>
        <w:spacing w:after="0" w:line="198" w:lineRule="exact"/>
        <w:rPr>
          <w:rFonts w:ascii="Arial" w:cs="Arial" w:eastAsia="Arial" w:hAnsi="Arial"/>
          <w:sz w:val="18"/>
          <w:szCs w:val="18"/>
          <w:color w:val="auto"/>
        </w:rPr>
      </w:pPr>
    </w:p>
    <w:p>
      <w:pPr>
        <w:ind w:left="1900" w:hanging="352"/>
        <w:spacing w:after="0"/>
        <w:tabs>
          <w:tab w:leader="none" w:pos="1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65" w:name="page66"/>
    <w:bookmarkEnd w:id="65"/>
    <w:p>
      <w:pPr>
        <w:ind w:left="1940" w:hanging="392"/>
        <w:spacing w:after="0"/>
        <w:tabs>
          <w:tab w:leader="none" w:pos="19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98" w:lineRule="exact"/>
        <w:rPr>
          <w:rFonts w:ascii="Arial" w:cs="Arial" w:eastAsia="Arial" w:hAnsi="Arial"/>
          <w:sz w:val="18"/>
          <w:szCs w:val="18"/>
          <w:color w:val="auto"/>
        </w:rPr>
      </w:pPr>
    </w:p>
    <w:p>
      <w:pPr>
        <w:ind w:left="2000" w:hanging="452"/>
        <w:spacing w:after="0"/>
        <w:tabs>
          <w:tab w:leader="none" w:pos="2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return on stockholder equity;</w:t>
      </w:r>
    </w:p>
    <w:p>
      <w:pPr>
        <w:spacing w:after="0" w:line="184" w:lineRule="exact"/>
        <w:rPr>
          <w:rFonts w:ascii="Arial" w:cs="Arial" w:eastAsia="Arial" w:hAnsi="Arial"/>
          <w:sz w:val="18"/>
          <w:szCs w:val="18"/>
          <w:color w:val="auto"/>
        </w:rPr>
      </w:pPr>
    </w:p>
    <w:p>
      <w:pPr>
        <w:ind w:left="2040" w:hanging="492"/>
        <w:spacing w:after="0"/>
        <w:tabs>
          <w:tab w:leader="none" w:pos="2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184" w:lineRule="exact"/>
        <w:rPr>
          <w:rFonts w:ascii="Arial" w:cs="Arial" w:eastAsia="Arial" w:hAnsi="Arial"/>
          <w:sz w:val="18"/>
          <w:szCs w:val="18"/>
          <w:color w:val="auto"/>
        </w:rPr>
      </w:pPr>
    </w:p>
    <w:p>
      <w:pPr>
        <w:ind w:left="1940" w:hanging="392"/>
        <w:spacing w:after="0"/>
        <w:tabs>
          <w:tab w:leader="none" w:pos="19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198" w:lineRule="exact"/>
        <w:rPr>
          <w:rFonts w:ascii="Arial" w:cs="Arial" w:eastAsia="Arial" w:hAnsi="Arial"/>
          <w:sz w:val="18"/>
          <w:szCs w:val="18"/>
          <w:color w:val="auto"/>
        </w:rPr>
      </w:pPr>
    </w:p>
    <w:p>
      <w:pPr>
        <w:ind w:left="1900" w:hanging="352"/>
        <w:spacing w:after="0"/>
        <w:tabs>
          <w:tab w:leader="none" w:pos="1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184" w:lineRule="exact"/>
        <w:rPr>
          <w:rFonts w:ascii="Arial" w:cs="Arial" w:eastAsia="Arial" w:hAnsi="Arial"/>
          <w:sz w:val="18"/>
          <w:szCs w:val="18"/>
          <w:color w:val="auto"/>
        </w:rPr>
      </w:pPr>
    </w:p>
    <w:p>
      <w:pPr>
        <w:ind w:left="1940" w:hanging="392"/>
        <w:spacing w:after="0"/>
        <w:tabs>
          <w:tab w:leader="none" w:pos="19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184" w:lineRule="exact"/>
        <w:rPr>
          <w:rFonts w:ascii="Arial" w:cs="Arial" w:eastAsia="Arial" w:hAnsi="Arial"/>
          <w:sz w:val="18"/>
          <w:szCs w:val="18"/>
          <w:color w:val="auto"/>
        </w:rPr>
      </w:pPr>
    </w:p>
    <w:p>
      <w:pPr>
        <w:ind w:left="2000" w:hanging="452"/>
        <w:spacing w:after="0"/>
        <w:tabs>
          <w:tab w:leader="none" w:pos="2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employee retention;</w:t>
      </w:r>
    </w:p>
    <w:p>
      <w:pPr>
        <w:spacing w:after="0" w:line="198" w:lineRule="exact"/>
        <w:rPr>
          <w:rFonts w:ascii="Arial" w:cs="Arial" w:eastAsia="Arial" w:hAnsi="Arial"/>
          <w:sz w:val="18"/>
          <w:szCs w:val="18"/>
          <w:color w:val="auto"/>
        </w:rPr>
      </w:pPr>
    </w:p>
    <w:p>
      <w:pPr>
        <w:ind w:left="2040" w:hanging="492"/>
        <w:spacing w:after="0"/>
        <w:tabs>
          <w:tab w:leader="none" w:pos="2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84" w:lineRule="exact"/>
        <w:rPr>
          <w:rFonts w:ascii="Arial" w:cs="Arial" w:eastAsia="Arial" w:hAnsi="Arial"/>
          <w:sz w:val="18"/>
          <w:szCs w:val="18"/>
          <w:color w:val="auto"/>
        </w:rPr>
      </w:pPr>
    </w:p>
    <w:p>
      <w:pPr>
        <w:ind w:left="2040" w:hanging="492"/>
        <w:spacing w:after="0"/>
        <w:tabs>
          <w:tab w:leader="none" w:pos="2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184" w:lineRule="exact"/>
        <w:rPr>
          <w:rFonts w:ascii="Arial" w:cs="Arial" w:eastAsia="Arial" w:hAnsi="Arial"/>
          <w:sz w:val="18"/>
          <w:szCs w:val="18"/>
          <w:color w:val="auto"/>
        </w:rPr>
      </w:pPr>
    </w:p>
    <w:p>
      <w:pPr>
        <w:ind w:left="1980" w:hanging="432"/>
        <w:spacing w:after="0"/>
        <w:tabs>
          <w:tab w:leader="none" w:pos="1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98" w:lineRule="exact"/>
        <w:rPr>
          <w:rFonts w:ascii="Arial" w:cs="Arial" w:eastAsia="Arial" w:hAnsi="Arial"/>
          <w:sz w:val="18"/>
          <w:szCs w:val="18"/>
          <w:color w:val="auto"/>
        </w:rPr>
      </w:pPr>
    </w:p>
    <w:p>
      <w:pPr>
        <w:ind w:left="2040" w:hanging="492"/>
        <w:spacing w:after="0"/>
        <w:tabs>
          <w:tab w:leader="none" w:pos="2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84" w:lineRule="exact"/>
        <w:rPr>
          <w:rFonts w:ascii="Arial" w:cs="Arial" w:eastAsia="Arial" w:hAnsi="Arial"/>
          <w:sz w:val="18"/>
          <w:szCs w:val="18"/>
          <w:color w:val="auto"/>
        </w:rPr>
      </w:pPr>
    </w:p>
    <w:p>
      <w:pPr>
        <w:ind w:left="2080" w:hanging="532"/>
        <w:spacing w:after="0"/>
        <w:tabs>
          <w:tab w:leader="none" w:pos="2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completion of an identified special project; and</w:t>
      </w:r>
    </w:p>
    <w:p>
      <w:pPr>
        <w:spacing w:after="0" w:line="184" w:lineRule="exact"/>
        <w:rPr>
          <w:rFonts w:ascii="Arial" w:cs="Arial" w:eastAsia="Arial" w:hAnsi="Arial"/>
          <w:sz w:val="18"/>
          <w:szCs w:val="18"/>
          <w:color w:val="auto"/>
        </w:rPr>
      </w:pPr>
    </w:p>
    <w:p>
      <w:pPr>
        <w:ind w:left="2140" w:hanging="592"/>
        <w:spacing w:after="0"/>
        <w:tabs>
          <w:tab w:leader="none" w:pos="2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w:t>
      </w:r>
    </w:p>
    <w:p>
      <w:pPr>
        <w:spacing w:after="0" w:line="198" w:lineRule="exact"/>
        <w:rPr>
          <w:rFonts w:ascii="Arial" w:cs="Arial" w:eastAsia="Arial" w:hAnsi="Arial"/>
          <w:sz w:val="18"/>
          <w:szCs w:val="18"/>
          <w:color w:val="auto"/>
        </w:rPr>
      </w:pPr>
    </w:p>
    <w:p>
      <w:pPr>
        <w:ind w:right="299" w:firstLine="1159"/>
        <w:spacing w:after="0" w:line="279" w:lineRule="auto"/>
        <w:tabs>
          <w:tab w:leader="none" w:pos="1421"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Performance Targets. </w:t>
      </w:r>
      <w:r>
        <w:rPr>
          <w:rFonts w:ascii="Arial" w:cs="Arial" w:eastAsia="Arial" w:hAnsi="Arial"/>
          <w:sz w:val="17"/>
          <w:szCs w:val="17"/>
          <w:color w:val="auto"/>
        </w:rPr>
        <w:t>Performance Targets may include a minimum, maximum, target level and intermediate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levels of performance, with the final value of a Performance Award determined under the applicable Performance Award Formula by the level attained during the applicable Performance Period. A Performance Target may be stated as an absolute value or as a value determined relative to an index, budget or other standard selected by the Committee.</w:t>
      </w:r>
    </w:p>
    <w:p>
      <w:pPr>
        <w:spacing w:after="0" w:line="12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Settlement of Performance Awards.</w:t>
      </w:r>
    </w:p>
    <w:p>
      <w:pPr>
        <w:spacing w:after="0" w:line="189" w:lineRule="exact"/>
        <w:rPr>
          <w:sz w:val="20"/>
          <w:szCs w:val="20"/>
          <w:color w:val="auto"/>
        </w:rPr>
      </w:pPr>
    </w:p>
    <w:p>
      <w:pPr>
        <w:ind w:right="199" w:firstLine="1159"/>
        <w:spacing w:after="0" w:line="259" w:lineRule="auto"/>
        <w:tabs>
          <w:tab w:leader="none" w:pos="1411"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Determination of Final Value. </w:t>
      </w:r>
      <w:r>
        <w:rPr>
          <w:rFonts w:ascii="Arial" w:cs="Arial" w:eastAsia="Arial" w:hAnsi="Arial"/>
          <w:sz w:val="18"/>
          <w:szCs w:val="18"/>
          <w:color w:val="auto"/>
        </w:rPr>
        <w:t>As soon as practicable following the completion of the Performance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to a Performance Award, the Committee shall certify in writing the extent to which the applicable Performance Goals have been attained and the resulting final value of the Award earned by the Participant and to be paid upon its settlement in accordance with the applicable Performance Award Formula.</w:t>
      </w:r>
    </w:p>
    <w:p>
      <w:pPr>
        <w:spacing w:after="0" w:line="159" w:lineRule="exact"/>
        <w:rPr>
          <w:rFonts w:ascii="Arial" w:cs="Arial" w:eastAsia="Arial" w:hAnsi="Arial"/>
          <w:sz w:val="18"/>
          <w:szCs w:val="18"/>
          <w:color w:val="auto"/>
        </w:rPr>
      </w:pPr>
    </w:p>
    <w:p>
      <w:pPr>
        <w:ind w:right="179" w:firstLine="1159"/>
        <w:spacing w:after="0" w:line="289" w:lineRule="auto"/>
        <w:tabs>
          <w:tab w:leader="none" w:pos="1421"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Discretionary Adjustment of Award Formula. </w:t>
      </w:r>
      <w:r>
        <w:rPr>
          <w:rFonts w:ascii="Arial" w:cs="Arial" w:eastAsia="Arial" w:hAnsi="Arial"/>
          <w:sz w:val="16"/>
          <w:szCs w:val="16"/>
          <w:color w:val="auto"/>
        </w:rPr>
        <w:t>In its discretion, the Committee may, either at the time it grants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Award or at any time thereafter, provide for the positive or negative adjustment of the Performance Award Formula applicable to a Performance Award granted to any Participant who is not a Covered Employee to reflect such Participant’s individual performance in his or her position with the Company or such other factors as the Committee may determine. If permitted under a Covered Employee’s Award Agreement, the Committee shall have the discretion, on the basis of such criteria as may be established by the Committee, to reduce some or all of the value of the Performance Award that would otherwise be paid to the Covered Employee upon its settlement notwithstanding the attainment of any Performance Goal and the resulting value of the Performance Award determined in accordance with the Performance Award Formula. No such reduction may result in an increase in the amount payable upon settlement of another Participant’s Performance Award that is intended to result in Performance-Based Compensation.</w:t>
      </w: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66" w:name="page67"/>
    <w:bookmarkEnd w:id="66"/>
    <w:p>
      <w:pPr>
        <w:jc w:val="both"/>
        <w:ind w:left="-20" w:right="399" w:firstLine="1159"/>
        <w:spacing w:after="0" w:line="279" w:lineRule="auto"/>
        <w:tabs>
          <w:tab w:leader="none" w:pos="1391"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Effect of Leaves of Absence. </w:t>
      </w:r>
      <w:r>
        <w:rPr>
          <w:rFonts w:ascii="Arial" w:cs="Arial" w:eastAsia="Arial" w:hAnsi="Arial"/>
          <w:sz w:val="17"/>
          <w:szCs w:val="17"/>
          <w:color w:val="auto"/>
        </w:rPr>
        <w:t>Unless otherwise required by law or a Participant’s Award Agreement, payment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final value, if any, of a Performance Award held by a Participant who has taken in excess of thirty (30) days in unpaid leaves of absence during a Performance Period shall be prorated on the basis of the number of days of the Participant’s Service during the Performance Period during which the Participant was not on an unpaid leave of absence.</w:t>
      </w:r>
    </w:p>
    <w:p>
      <w:pPr>
        <w:spacing w:after="0" w:line="144" w:lineRule="exact"/>
        <w:rPr>
          <w:rFonts w:ascii="Arial" w:cs="Arial" w:eastAsia="Arial" w:hAnsi="Arial"/>
          <w:sz w:val="17"/>
          <w:szCs w:val="17"/>
          <w:color w:val="auto"/>
        </w:rPr>
      </w:pPr>
    </w:p>
    <w:p>
      <w:pPr>
        <w:ind w:left="-20" w:right="719" w:firstLine="1159"/>
        <w:spacing w:after="0" w:line="342" w:lineRule="auto"/>
        <w:tabs>
          <w:tab w:leader="none" w:pos="1401"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Notice to Participants. </w:t>
      </w:r>
      <w:r>
        <w:rPr>
          <w:rFonts w:ascii="Arial" w:cs="Arial" w:eastAsia="Arial" w:hAnsi="Arial"/>
          <w:sz w:val="16"/>
          <w:szCs w:val="16"/>
          <w:color w:val="auto"/>
        </w:rPr>
        <w:t>As soon as practicable following the Committee’s determination and certification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Sections 10.5(a) and (b), the Company shall notify each Participant of the determination of the Committee.</w:t>
      </w:r>
    </w:p>
    <w:p>
      <w:pPr>
        <w:spacing w:after="0" w:line="83" w:lineRule="exact"/>
        <w:rPr>
          <w:rFonts w:ascii="Arial" w:cs="Arial" w:eastAsia="Arial" w:hAnsi="Arial"/>
          <w:sz w:val="16"/>
          <w:szCs w:val="16"/>
          <w:color w:val="auto"/>
        </w:rPr>
      </w:pPr>
    </w:p>
    <w:p>
      <w:pPr>
        <w:ind w:left="-20" w:right="199" w:firstLine="1159"/>
        <w:spacing w:after="0" w:line="269" w:lineRule="auto"/>
        <w:tabs>
          <w:tab w:leader="none" w:pos="1391"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Payment in Settlement of Performance Awards. </w:t>
      </w:r>
      <w:r>
        <w:rPr>
          <w:rFonts w:ascii="Arial" w:cs="Arial" w:eastAsia="Arial" w:hAnsi="Arial"/>
          <w:sz w:val="17"/>
          <w:szCs w:val="17"/>
          <w:color w:val="auto"/>
        </w:rPr>
        <w:t>As soon as practicable following the Committee’s determination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certification in accordance with Sections 10.5(a) and (b), but in any event within the Short-Term Deferral Period described in Section 16.1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Participant pursuant to this Section, and such deferred payment date(s) elected by the Participant shall be set forth in the Award Agreement. If any payment is to be made on a deferred basis, the Committee may, but shall not be obligated to, provide for the payment during the deferral period of Dividend Equivalent Rights or interest.</w:t>
      </w:r>
    </w:p>
    <w:p>
      <w:pPr>
        <w:spacing w:after="0" w:line="142" w:lineRule="exact"/>
        <w:rPr>
          <w:rFonts w:ascii="Arial" w:cs="Arial" w:eastAsia="Arial" w:hAnsi="Arial"/>
          <w:sz w:val="17"/>
          <w:szCs w:val="17"/>
          <w:color w:val="auto"/>
        </w:rPr>
      </w:pPr>
    </w:p>
    <w:p>
      <w:pPr>
        <w:ind w:left="-20" w:right="339" w:firstLine="1159"/>
        <w:spacing w:after="0" w:line="255" w:lineRule="auto"/>
        <w:tabs>
          <w:tab w:leader="none" w:pos="1371"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Provisions Applicable to Payment in Shares. </w:t>
      </w:r>
      <w:r>
        <w:rPr>
          <w:rFonts w:ascii="Arial" w:cs="Arial" w:eastAsia="Arial" w:hAnsi="Arial"/>
          <w:sz w:val="18"/>
          <w:szCs w:val="18"/>
          <w:color w:val="auto"/>
        </w:rPr>
        <w:t>If payment is to be made in shares of Stock, the number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200" w:lineRule="exact"/>
        <w:rPr>
          <w:sz w:val="20"/>
          <w:szCs w:val="20"/>
          <w:color w:val="auto"/>
        </w:rPr>
      </w:pPr>
    </w:p>
    <w:p>
      <w:pPr>
        <w:spacing w:after="0" w:line="3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935" w:right="1440" w:bottom="1440" w:gutter="0" w:footer="0" w:header="0"/>
        </w:sectPr>
      </w:pPr>
    </w:p>
    <w:bookmarkStart w:id="67" w:name="page68"/>
    <w:bookmarkEnd w:id="67"/>
    <w:p>
      <w:pPr>
        <w:ind w:right="159" w:firstLine="778"/>
        <w:spacing w:after="0" w:line="285"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b w:val="1"/>
          <w:bCs w:val="1"/>
          <w:color w:val="auto"/>
        </w:rPr>
        <w:t>Voting Rights; Dividend Equivalent Rights and Distributions.</w:t>
      </w:r>
      <w:r>
        <w:rPr>
          <w:rFonts w:ascii="Arial" w:cs="Arial" w:eastAsia="Arial" w:hAnsi="Arial"/>
          <w:sz w:val="16"/>
          <w:szCs w:val="16"/>
          <w:color w:val="auto"/>
        </w:rPr>
        <w:t xml:space="preserve">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in the form of additional whole Performance Shares as of the date of payment of such cash dividends on Stock. The number of additional Performance Shares (rounded to the nearest whole number)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may be paid currently or may be accumulated and paid to the extent that Performance Shares become nonforfeitable, as determined by the Committee.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4.4, appropriate adjustments shall be made in the Participant’s Performance Share Award so that it represents the right to receive upon settlement any and all new, substituted or additional securities or other property (other than normal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p>
    <w:p>
      <w:pPr>
        <w:spacing w:after="0" w:line="357" w:lineRule="exact"/>
        <w:rPr>
          <w:sz w:val="20"/>
          <w:szCs w:val="20"/>
          <w:color w:val="auto"/>
        </w:rPr>
      </w:pPr>
    </w:p>
    <w:p>
      <w:pPr>
        <w:ind w:right="199" w:firstLine="778"/>
        <w:spacing w:after="0" w:line="347"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b w:val="1"/>
          <w:bCs w:val="1"/>
          <w:color w:val="auto"/>
        </w:rPr>
        <w:t>Effect of Termination of Service.</w:t>
      </w:r>
      <w:r>
        <w:rPr>
          <w:rFonts w:ascii="Arial" w:cs="Arial" w:eastAsia="Arial" w:hAnsi="Arial"/>
          <w:sz w:val="16"/>
          <w:szCs w:val="16"/>
          <w:color w:val="auto"/>
        </w:rPr>
        <w:t xml:space="preserve"> Unless otherwise provided by the Committee and set forth in the Award Agreement evidencing a Performance Award, the effect of a Participant’s termination of Service on the Performance Award shall be as follows:</w:t>
      </w:r>
    </w:p>
    <w:p>
      <w:pPr>
        <w:spacing w:after="0" w:line="80" w:lineRule="exact"/>
        <w:rPr>
          <w:sz w:val="20"/>
          <w:szCs w:val="20"/>
          <w:color w:val="auto"/>
        </w:rPr>
      </w:pPr>
    </w:p>
    <w:p>
      <w:pPr>
        <w:ind w:right="379" w:firstLine="1159"/>
        <w:spacing w:after="0" w:line="297" w:lineRule="auto"/>
        <w:tabs>
          <w:tab w:leader="none" w:pos="1411"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Death or Disability. </w:t>
      </w:r>
      <w:r>
        <w:rPr>
          <w:rFonts w:ascii="Arial" w:cs="Arial" w:eastAsia="Arial" w:hAnsi="Arial"/>
          <w:sz w:val="16"/>
          <w:szCs w:val="16"/>
          <w:color w:val="auto"/>
        </w:rPr>
        <w:t>If the Participant’s Service terminates because of the death or Disability of the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117" w:lineRule="exact"/>
        <w:rPr>
          <w:rFonts w:ascii="Arial" w:cs="Arial" w:eastAsia="Arial" w:hAnsi="Arial"/>
          <w:sz w:val="16"/>
          <w:szCs w:val="16"/>
          <w:color w:val="auto"/>
        </w:rPr>
      </w:pPr>
    </w:p>
    <w:p>
      <w:pPr>
        <w:ind w:right="259" w:firstLine="1159"/>
        <w:spacing w:after="0" w:line="255" w:lineRule="auto"/>
        <w:tabs>
          <w:tab w:leader="none" w:pos="1421"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Termination of Service. </w:t>
      </w:r>
      <w:r>
        <w:rPr>
          <w:rFonts w:ascii="Arial" w:cs="Arial" w:eastAsia="Arial" w:hAnsi="Arial"/>
          <w:sz w:val="18"/>
          <w:szCs w:val="18"/>
          <w:color w:val="auto"/>
        </w:rPr>
        <w:t>If the Participant’s Service terminates for any reason except death or Disability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the 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(e.g., by determining the final value of the Performance Award in the manner provided by Section 10.7(a)) and provide for payment following the end of the Performance Period in any manner permitted by Section 10.5.</w:t>
      </w:r>
    </w:p>
    <w:p>
      <w:pPr>
        <w:spacing w:after="0" w:line="200" w:lineRule="exact"/>
        <w:rPr>
          <w:sz w:val="20"/>
          <w:szCs w:val="20"/>
          <w:color w:val="auto"/>
        </w:rPr>
      </w:pPr>
    </w:p>
    <w:p>
      <w:pPr>
        <w:spacing w:after="0" w:line="3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68" w:name="page69"/>
    <w:bookmarkEnd w:id="68"/>
    <w:p>
      <w:pPr>
        <w:ind w:right="219" w:firstLine="778"/>
        <w:spacing w:after="0" w:line="277"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b w:val="1"/>
          <w:bCs w:val="1"/>
          <w:color w:val="auto"/>
        </w:rPr>
        <w:t>Nontransferability of Performance Awards.</w:t>
      </w:r>
      <w:r>
        <w:rPr>
          <w:rFonts w:ascii="Arial" w:cs="Arial" w:eastAsia="Arial" w:hAnsi="Arial"/>
          <w:sz w:val="17"/>
          <w:szCs w:val="17"/>
          <w:color w:val="auto"/>
        </w:rPr>
        <w:t xml:space="preserve">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141" w:lineRule="exact"/>
        <w:rPr>
          <w:sz w:val="20"/>
          <w:szCs w:val="20"/>
          <w:color w:val="auto"/>
        </w:rPr>
      </w:pPr>
    </w:p>
    <w:p>
      <w:pPr>
        <w:ind w:left="640" w:hanging="259"/>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ASH</w:t>
      </w:r>
      <w:r>
        <w:rPr>
          <w:rFonts w:ascii="Arial" w:cs="Arial" w:eastAsia="Arial" w:hAnsi="Arial"/>
          <w:sz w:val="18"/>
          <w:szCs w:val="18"/>
          <w:b w:val="1"/>
          <w:bCs w:val="1"/>
          <w:u w:val="single" w:color="auto"/>
          <w:color w:val="auto"/>
        </w:rPr>
        <w:t>-B</w:t>
      </w:r>
      <w:r>
        <w:rPr>
          <w:rFonts w:ascii="Arial" w:cs="Arial" w:eastAsia="Arial" w:hAnsi="Arial"/>
          <w:sz w:val="12"/>
          <w:szCs w:val="12"/>
          <w:b w:val="1"/>
          <w:bCs w:val="1"/>
          <w:u w:val="single" w:color="auto"/>
          <w:color w:val="auto"/>
        </w:rPr>
        <w:t>ASED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THER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w:t>
      </w:r>
      <w:r>
        <w:rPr>
          <w:rFonts w:ascii="Arial" w:cs="Arial" w:eastAsia="Arial" w:hAnsi="Arial"/>
          <w:sz w:val="18"/>
          <w:szCs w:val="18"/>
          <w:b w:val="1"/>
          <w:bCs w:val="1"/>
          <w:u w:val="single" w:color="auto"/>
          <w:color w:val="auto"/>
        </w:rPr>
        <w:t>-B</w:t>
      </w:r>
      <w:r>
        <w:rPr>
          <w:rFonts w:ascii="Arial" w:cs="Arial" w:eastAsia="Arial" w:hAnsi="Arial"/>
          <w:sz w:val="12"/>
          <w:szCs w:val="12"/>
          <w:b w:val="1"/>
          <w:bCs w:val="1"/>
          <w:u w:val="single" w:color="auto"/>
          <w:color w:val="auto"/>
        </w:rPr>
        <w:t>ASED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WARDS</w:t>
      </w:r>
      <w:r>
        <w:rPr>
          <w:rFonts w:ascii="Arial" w:cs="Arial" w:eastAsia="Arial" w:hAnsi="Arial"/>
          <w:sz w:val="18"/>
          <w:szCs w:val="18"/>
          <w:b w:val="1"/>
          <w:bCs w:val="1"/>
          <w:color w:val="auto"/>
        </w:rPr>
        <w:t>.</w:t>
      </w:r>
    </w:p>
    <w:p>
      <w:pPr>
        <w:spacing w:after="0" w:line="189" w:lineRule="exact"/>
        <w:rPr>
          <w:sz w:val="20"/>
          <w:szCs w:val="20"/>
          <w:color w:val="auto"/>
        </w:rPr>
      </w:pPr>
    </w:p>
    <w:p>
      <w:pPr>
        <w:ind w:right="179" w:firstLine="778"/>
        <w:spacing w:after="0" w:line="312" w:lineRule="auto"/>
        <w:rPr>
          <w:sz w:val="20"/>
          <w:szCs w:val="20"/>
          <w:color w:val="auto"/>
        </w:rPr>
      </w:pPr>
      <w:r>
        <w:rPr>
          <w:rFonts w:ascii="Arial" w:cs="Arial" w:eastAsia="Arial" w:hAnsi="Arial"/>
          <w:sz w:val="16"/>
          <w:szCs w:val="16"/>
          <w:color w:val="auto"/>
        </w:rPr>
        <w:t>Cash-Based Awards and Other Stock-Based Awards shall be evidenced by Award Agreements in such form as the Committee shall from time to time establish. Award Agreements evidencing Cash-Based Awards and Other Stock-Based Awards may incorporate all or any of the terms of the Plan by reference and shall comply with and be subject to the following terms and conditions:</w:t>
      </w:r>
    </w:p>
    <w:p>
      <w:pPr>
        <w:spacing w:after="0" w:line="102" w:lineRule="exact"/>
        <w:rPr>
          <w:sz w:val="20"/>
          <w:szCs w:val="20"/>
          <w:color w:val="auto"/>
        </w:rPr>
      </w:pPr>
    </w:p>
    <w:p>
      <w:pPr>
        <w:ind w:right="339" w:firstLine="778"/>
        <w:spacing w:after="0" w:line="26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Grant of Cash-Based Awards</w:t>
      </w:r>
      <w:r>
        <w:rPr>
          <w:rFonts w:ascii="Arial" w:cs="Arial" w:eastAsia="Arial" w:hAnsi="Arial"/>
          <w:sz w:val="18"/>
          <w:szCs w:val="18"/>
          <w:color w:val="auto"/>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149" w:lineRule="exact"/>
        <w:rPr>
          <w:sz w:val="20"/>
          <w:szCs w:val="20"/>
          <w:color w:val="auto"/>
        </w:rPr>
      </w:pPr>
    </w:p>
    <w:p>
      <w:pPr>
        <w:ind w:right="239" w:firstLine="778"/>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Grant of Other Stock-Based Awards</w:t>
      </w:r>
      <w:r>
        <w:rPr>
          <w:rFonts w:ascii="Arial" w:cs="Arial" w:eastAsia="Arial" w:hAnsi="Arial"/>
          <w:sz w:val="18"/>
          <w:szCs w:val="18"/>
          <w:color w:val="auto"/>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Such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149" w:lineRule="exact"/>
        <w:rPr>
          <w:sz w:val="20"/>
          <w:szCs w:val="20"/>
          <w:color w:val="auto"/>
        </w:rPr>
      </w:pPr>
    </w:p>
    <w:p>
      <w:pPr>
        <w:ind w:right="179" w:firstLine="778"/>
        <w:spacing w:after="0" w:line="270"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color w:val="auto"/>
        </w:rPr>
        <w:t>Value of Cash-Based and Other Stock-Based Awards</w:t>
      </w:r>
      <w:r>
        <w:rPr>
          <w:rFonts w:ascii="Arial" w:cs="Arial" w:eastAsia="Arial" w:hAnsi="Arial"/>
          <w:sz w:val="17"/>
          <w:szCs w:val="17"/>
          <w:color w:val="auto"/>
        </w:rPr>
        <w:t>.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 The establishment of performance criteria with respect to the grant or vesting of any Cash-Based Award or Other Stock-Based Award intended to result in Performance-Based Compensation shall follow procedures substantially equivalent to those applicable to Performance Awards set forth in Section 10.</w:t>
      </w: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69" w:name="page70"/>
    <w:bookmarkEnd w:id="69"/>
    <w:p>
      <w:pPr>
        <w:ind w:right="179" w:firstLine="778"/>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Payment or Settlement of Cash-Based Awards and Other Stock-Based Awards</w:t>
      </w:r>
      <w:r>
        <w:rPr>
          <w:rFonts w:ascii="Arial" w:cs="Arial" w:eastAsia="Arial" w:hAnsi="Arial"/>
          <w:sz w:val="18"/>
          <w:szCs w:val="18"/>
          <w:color w:val="auto"/>
        </w:rPr>
        <w:t>. Payment or settlement, if any, with respect to a Cash-Based Award or an Other Stock-Based Award shall be made in accordance with the terms of the Award, in cash, shares of Stock or other securities or any combination thereof as the Committee determines. The determination and certification of the final value with respect to any Cash-Based Award or Other Stock-Based Award intended to result in Performance-Based Compensation shall comply with the requirements applicable to Performance Awards set forth in Section 10. To the extent applicable, payment or settlement with respect to each Cash-Based Award and Other Stock-Based Award shall be made in compliance with the requirements of Section 409A.</w:t>
      </w:r>
    </w:p>
    <w:p>
      <w:pPr>
        <w:spacing w:after="0" w:line="162" w:lineRule="exact"/>
        <w:rPr>
          <w:sz w:val="20"/>
          <w:szCs w:val="20"/>
          <w:color w:val="auto"/>
        </w:rPr>
      </w:pPr>
    </w:p>
    <w:p>
      <w:pPr>
        <w:ind w:right="179" w:firstLine="778"/>
        <w:spacing w:after="0" w:line="291"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b w:val="1"/>
          <w:bCs w:val="1"/>
          <w:color w:val="auto"/>
        </w:rPr>
        <w:t>Voting Rights; Dividend Equivalent Rights and Distributions.</w:t>
      </w:r>
      <w:r>
        <w:rPr>
          <w:rFonts w:ascii="Arial" w:cs="Arial" w:eastAsia="Arial" w:hAnsi="Arial"/>
          <w:sz w:val="16"/>
          <w:szCs w:val="16"/>
          <w:color w:val="auto"/>
        </w:rPr>
        <w:t xml:space="preserve">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w:t>
      </w:r>
    </w:p>
    <w:p>
      <w:pPr>
        <w:spacing w:after="0" w:line="120" w:lineRule="exact"/>
        <w:rPr>
          <w:sz w:val="20"/>
          <w:szCs w:val="20"/>
          <w:color w:val="auto"/>
        </w:rPr>
      </w:pPr>
    </w:p>
    <w:p>
      <w:pPr>
        <w:ind w:right="419" w:firstLine="778"/>
        <w:spacing w:after="0" w:line="258"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143" w:lineRule="exact"/>
        <w:rPr>
          <w:sz w:val="20"/>
          <w:szCs w:val="20"/>
          <w:color w:val="auto"/>
        </w:rPr>
      </w:pPr>
    </w:p>
    <w:p>
      <w:pPr>
        <w:ind w:right="199" w:firstLine="778"/>
        <w:spacing w:after="0" w:line="272"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b w:val="1"/>
          <w:bCs w:val="1"/>
          <w:color w:val="auto"/>
        </w:rPr>
        <w:t>Nontransferability of Cash-Based Awards and Other Stock-Based Awards.</w:t>
      </w:r>
      <w:r>
        <w:rPr>
          <w:rFonts w:ascii="Arial" w:cs="Arial" w:eastAsia="Arial" w:hAnsi="Arial"/>
          <w:sz w:val="17"/>
          <w:szCs w:val="17"/>
          <w:color w:val="auto"/>
        </w:rPr>
        <w:t xml:space="preserve">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applicable to such shares of Stock.</w:t>
      </w:r>
    </w:p>
    <w:p>
      <w:pPr>
        <w:spacing w:after="0" w:line="200" w:lineRule="exact"/>
        <w:rPr>
          <w:sz w:val="20"/>
          <w:szCs w:val="20"/>
          <w:color w:val="auto"/>
        </w:rPr>
      </w:pPr>
    </w:p>
    <w:p>
      <w:pPr>
        <w:spacing w:after="0" w:line="3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0" w:name="page71"/>
    <w:bookmarkEnd w:id="70"/>
    <w:p>
      <w:pPr>
        <w:ind w:left="660" w:hanging="279"/>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2"/>
          <w:szCs w:val="12"/>
          <w:b w:val="1"/>
          <w:bCs w:val="1"/>
          <w:u w:val="single" w:color="auto"/>
          <w:color w:val="auto"/>
        </w:rPr>
        <w:t>ONEMPLOYEE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IRECTOR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WARDS</w:t>
      </w:r>
      <w:r>
        <w:rPr>
          <w:rFonts w:ascii="Arial" w:cs="Arial" w:eastAsia="Arial" w:hAnsi="Arial"/>
          <w:sz w:val="18"/>
          <w:szCs w:val="18"/>
          <w:b w:val="1"/>
          <w:bCs w:val="1"/>
          <w:color w:val="auto"/>
        </w:rPr>
        <w:t>.</w:t>
      </w:r>
    </w:p>
    <w:p>
      <w:pPr>
        <w:spacing w:after="0" w:line="202" w:lineRule="exact"/>
        <w:rPr>
          <w:sz w:val="20"/>
          <w:szCs w:val="20"/>
          <w:color w:val="auto"/>
        </w:rPr>
      </w:pPr>
    </w:p>
    <w:p>
      <w:pPr>
        <w:ind w:right="179" w:firstLine="778"/>
        <w:spacing w:after="0" w:line="270" w:lineRule="auto"/>
        <w:rPr>
          <w:sz w:val="20"/>
          <w:szCs w:val="20"/>
          <w:color w:val="auto"/>
        </w:rPr>
      </w:pPr>
      <w:r>
        <w:rPr>
          <w:rFonts w:ascii="Arial" w:cs="Arial" w:eastAsia="Arial" w:hAnsi="Arial"/>
          <w:sz w:val="17"/>
          <w:szCs w:val="17"/>
          <w:color w:val="auto"/>
        </w:rPr>
        <w:t>From time to time, the Board or the Committee shall set the amount(s) and type(s) of Nonemployee Director Awards that shall be granted to all Nonemployee Directors on a periodic, nondiscriminatory basis pursuant to the Plan, as well as the additional amount(s) and type(s) of Nonemployee Director Awards, if any, to be awarded, also on a periodic, nondiscriminatory basis, in consideration of one or more of the following: (a) the initial election or appointment of an individual to the Board as a Nonemployee Director, (b) a Nonemployee Director’s service as Chairman or Lead Director of the Board, (c) a Nonemployee Director’s service as the chairman of a committee of the Board, and (d) a Nonemployee Director’s service other than as the chairman of a committee of the Board. The terms and conditions of each Nonemployee Director Award shall comply with the applicable provisions of the Plan. Subject to the foregoing, the Board or the Committee shall grant Nonemployee Director Awards having such terms and conditions as it shall from time to time determine.</w:t>
      </w:r>
    </w:p>
    <w:p>
      <w:pPr>
        <w:spacing w:after="0" w:line="137" w:lineRule="exact"/>
        <w:rPr>
          <w:sz w:val="20"/>
          <w:szCs w:val="20"/>
          <w:color w:val="auto"/>
        </w:rPr>
      </w:pPr>
    </w:p>
    <w:p>
      <w:pPr>
        <w:ind w:left="660" w:hanging="27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TANDARD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w:t>
      </w:r>
      <w:r>
        <w:rPr>
          <w:rFonts w:ascii="Arial" w:cs="Arial" w:eastAsia="Arial" w:hAnsi="Arial"/>
          <w:sz w:val="12"/>
          <w:szCs w:val="12"/>
          <w:b w:val="1"/>
          <w:bCs w:val="1"/>
          <w:u w:val="single" w:color="auto"/>
          <w:color w:val="auto"/>
        </w:rPr>
        <w:t>ORMS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WARD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GREEMENT</w:t>
      </w:r>
      <w:r>
        <w:rPr>
          <w:rFonts w:ascii="Arial" w:cs="Arial" w:eastAsia="Arial" w:hAnsi="Arial"/>
          <w:sz w:val="18"/>
          <w:szCs w:val="18"/>
          <w:b w:val="1"/>
          <w:bCs w:val="1"/>
          <w:color w:val="auto"/>
        </w:rPr>
        <w:t>.</w:t>
      </w:r>
    </w:p>
    <w:p>
      <w:pPr>
        <w:spacing w:after="0" w:line="185" w:lineRule="exact"/>
        <w:rPr>
          <w:sz w:val="20"/>
          <w:szCs w:val="20"/>
          <w:color w:val="auto"/>
        </w:rPr>
      </w:pPr>
    </w:p>
    <w:p>
      <w:pPr>
        <w:ind w:right="239" w:firstLine="778"/>
        <w:spacing w:after="0" w:line="277"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color w:val="auto"/>
        </w:rPr>
        <w:t>Award Agreements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fully executed Award Agreement. Any Award Agreement may consist of an appropriate form of Notice of Grant and a form of Agreement incorporated therein by reference, or such other form or forms, including electronic media, as the Committee may approve from time to time.</w:t>
      </w:r>
    </w:p>
    <w:p>
      <w:pPr>
        <w:spacing w:after="0" w:line="141" w:lineRule="exact"/>
        <w:rPr>
          <w:sz w:val="20"/>
          <w:szCs w:val="20"/>
          <w:color w:val="auto"/>
        </w:rPr>
      </w:pPr>
    </w:p>
    <w:p>
      <w:pPr>
        <w:ind w:right="179" w:firstLine="778"/>
        <w:spacing w:after="0" w:line="281"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color w:val="auto"/>
        </w:rPr>
        <w:t>Authority to Vary Terms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124" w:lineRule="exact"/>
        <w:rPr>
          <w:sz w:val="20"/>
          <w:szCs w:val="20"/>
          <w:color w:val="auto"/>
        </w:rPr>
      </w:pPr>
    </w:p>
    <w:p>
      <w:pPr>
        <w:ind w:left="660" w:hanging="279"/>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HANGE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ONTROL</w:t>
      </w:r>
      <w:r>
        <w:rPr>
          <w:rFonts w:ascii="Arial" w:cs="Arial" w:eastAsia="Arial" w:hAnsi="Arial"/>
          <w:sz w:val="18"/>
          <w:szCs w:val="18"/>
          <w:b w:val="1"/>
          <w:bCs w:val="1"/>
          <w:color w:val="auto"/>
        </w:rPr>
        <w:t>.</w:t>
      </w:r>
    </w:p>
    <w:p>
      <w:pPr>
        <w:spacing w:after="0" w:line="185" w:lineRule="exact"/>
        <w:rPr>
          <w:sz w:val="20"/>
          <w:szCs w:val="20"/>
          <w:color w:val="auto"/>
        </w:rPr>
      </w:pPr>
    </w:p>
    <w:p>
      <w:pPr>
        <w:ind w:right="319" w:firstLine="778"/>
        <w:spacing w:after="0" w:line="282"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Effect of Change in Control on Awards.</w:t>
      </w:r>
      <w:r>
        <w:rPr>
          <w:rFonts w:ascii="Arial" w:cs="Arial" w:eastAsia="Arial" w:hAnsi="Arial"/>
          <w:sz w:val="18"/>
          <w:szCs w:val="18"/>
          <w:color w:val="auto"/>
        </w:rPr>
        <w:t xml:space="preserve"> Subject to the requirements and limitations of Section 409A, if applicable, the Committee may provide for any one or more of the following:</w:t>
      </w:r>
    </w:p>
    <w:p>
      <w:pPr>
        <w:spacing w:after="0" w:line="139" w:lineRule="exact"/>
        <w:rPr>
          <w:sz w:val="20"/>
          <w:szCs w:val="20"/>
          <w:color w:val="auto"/>
        </w:rPr>
      </w:pPr>
    </w:p>
    <w:p>
      <w:pPr>
        <w:ind w:right="339" w:firstLine="1159"/>
        <w:spacing w:after="0" w:line="257" w:lineRule="auto"/>
        <w:tabs>
          <w:tab w:leader="none" w:pos="1411"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Accelerated Vesting. </w:t>
      </w:r>
      <w:r>
        <w:rPr>
          <w:rFonts w:ascii="Arial" w:cs="Arial" w:eastAsia="Arial" w:hAnsi="Arial"/>
          <w:sz w:val="18"/>
          <w:szCs w:val="18"/>
          <w:color w:val="auto"/>
        </w:rPr>
        <w:t>In its discretion, the Committee may provide in the grant of any Award or at any other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take 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such Change in Control, and to such extent as the Committee shall determine.</w:t>
      </w:r>
    </w:p>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71" w:name="page72"/>
    <w:bookmarkEnd w:id="71"/>
    <w:p>
      <w:pPr>
        <w:ind w:right="179" w:firstLine="1159"/>
        <w:spacing w:after="0" w:line="286" w:lineRule="auto"/>
        <w:tabs>
          <w:tab w:leader="none" w:pos="1421"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Assumption, Continuation or Substitution. </w:t>
      </w:r>
      <w:r>
        <w:rPr>
          <w:rFonts w:ascii="Arial" w:cs="Arial" w:eastAsia="Arial" w:hAnsi="Arial"/>
          <w:sz w:val="16"/>
          <w:szCs w:val="16"/>
          <w:color w:val="auto"/>
        </w:rPr>
        <w:t>In the event of a Change in Control, the surviving, continuing,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successor, or purchasing corporation or other business entity or parent thereof, as the case may be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Acquiror</w:t>
      </w:r>
      <w:r>
        <w:rPr>
          <w:rFonts w:ascii="Arial" w:cs="Arial" w:eastAsia="Arial" w:hAnsi="Arial"/>
          <w:sz w:val="16"/>
          <w:szCs w:val="16"/>
          <w:i w:val="1"/>
          <w:iCs w:val="1"/>
          <w:color w:val="auto"/>
        </w:rPr>
        <w:t>”</w:t>
      </w:r>
      <w:r>
        <w:rPr>
          <w:rFonts w:ascii="Arial" w:cs="Arial" w:eastAsia="Arial" w:hAnsi="Arial"/>
          <w:sz w:val="16"/>
          <w:szCs w:val="16"/>
          <w:color w:val="auto"/>
        </w:rPr>
        <w:t>), may, without the consent of any Participant,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provided, however, that if such consideration is not solely common stock of the Acquiror, the Committee may, with the consent of the Acquiror,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141" w:lineRule="exact"/>
        <w:rPr>
          <w:rFonts w:ascii="Arial" w:cs="Arial" w:eastAsia="Arial" w:hAnsi="Arial"/>
          <w:sz w:val="16"/>
          <w:szCs w:val="16"/>
          <w:color w:val="auto"/>
        </w:rPr>
      </w:pPr>
    </w:p>
    <w:p>
      <w:pPr>
        <w:ind w:right="219" w:firstLine="1159"/>
        <w:spacing w:after="0" w:line="286" w:lineRule="auto"/>
        <w:tabs>
          <w:tab w:leader="none" w:pos="1411"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Cash-Out of Outstanding Stock-Based Awards. </w:t>
      </w:r>
      <w:r>
        <w:rPr>
          <w:rFonts w:ascii="Arial" w:cs="Arial" w:eastAsia="Arial" w:hAnsi="Arial"/>
          <w:sz w:val="16"/>
          <w:szCs w:val="16"/>
          <w:color w:val="auto"/>
        </w:rPr>
        <w:t>The Committee may, in its discretion and without the consent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Participant,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w:t>
      </w:r>
    </w:p>
    <w:p>
      <w:pPr>
        <w:spacing w:after="0" w:line="130" w:lineRule="exact"/>
        <w:rPr>
          <w:sz w:val="20"/>
          <w:szCs w:val="20"/>
          <w:color w:val="auto"/>
        </w:rPr>
      </w:pPr>
    </w:p>
    <w:p>
      <w:pPr>
        <w:ind w:right="259" w:firstLine="778"/>
        <w:spacing w:after="0" w:line="281"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b w:val="1"/>
          <w:bCs w:val="1"/>
          <w:color w:val="auto"/>
        </w:rPr>
        <w:t>Effect of Change in Control on Nonemployee Director Awards.</w:t>
      </w:r>
      <w:r>
        <w:rPr>
          <w:rFonts w:ascii="Arial" w:cs="Arial" w:eastAsia="Arial" w:hAnsi="Arial"/>
          <w:sz w:val="17"/>
          <w:szCs w:val="17"/>
          <w:color w:val="auto"/>
        </w:rPr>
        <w:t xml:space="preserve"> Subject to the requirements and limitations of Section 409A, if applicable, in the event of a Change in Control, each outstanding Nonemployee Director Award shall become immediately exercisable and vested in full and, except to the extent assumed, continued or substituted for pursuant to Section 14.1(b), shall be settled effective immediately prior to the time of consummation of the Change in Control.</w:t>
      </w: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72" w:name="page73"/>
    <w:bookmarkEnd w:id="72"/>
    <w:p>
      <w:pPr>
        <w:ind w:left="780"/>
        <w:spacing w:after="0"/>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color w:val="auto"/>
        </w:rPr>
        <w:t>Federal Excise Tax Under Section 4999 of the Code.</w:t>
      </w:r>
    </w:p>
    <w:p>
      <w:pPr>
        <w:spacing w:after="0" w:line="202" w:lineRule="exact"/>
        <w:rPr>
          <w:sz w:val="20"/>
          <w:szCs w:val="20"/>
          <w:color w:val="auto"/>
        </w:rPr>
      </w:pPr>
    </w:p>
    <w:p>
      <w:pPr>
        <w:ind w:right="219" w:firstLine="1159"/>
        <w:spacing w:after="0" w:line="257" w:lineRule="auto"/>
        <w:tabs>
          <w:tab w:leader="none" w:pos="1411" w:val="left"/>
        </w:tabs>
        <w:numPr>
          <w:ilvl w:val="1"/>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Excess Parachute Payment. </w:t>
      </w:r>
      <w:r>
        <w:rPr>
          <w:rFonts w:ascii="Arial" w:cs="Arial" w:eastAsia="Arial" w:hAnsi="Arial"/>
          <w:sz w:val="18"/>
          <w:szCs w:val="18"/>
          <w:color w:val="auto"/>
        </w:rPr>
        <w:t>In the event that any acceleration of vesting pursuant to an Award and any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or 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 Participant may elect to reduce the amount of any acceleration of vesting called for under the Award in order to avoid such characterization.</w:t>
      </w:r>
    </w:p>
    <w:p>
      <w:pPr>
        <w:spacing w:after="0" w:line="147" w:lineRule="exact"/>
        <w:rPr>
          <w:rFonts w:ascii="Arial" w:cs="Arial" w:eastAsia="Arial" w:hAnsi="Arial"/>
          <w:sz w:val="18"/>
          <w:szCs w:val="18"/>
          <w:color w:val="auto"/>
        </w:rPr>
      </w:pPr>
    </w:p>
    <w:p>
      <w:pPr>
        <w:ind w:right="159" w:firstLine="1159"/>
        <w:spacing w:after="0" w:line="270" w:lineRule="auto"/>
        <w:tabs>
          <w:tab w:leader="none" w:pos="1421" w:val="left"/>
        </w:tabs>
        <w:numPr>
          <w:ilvl w:val="1"/>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Determination by Independent Accountants. </w:t>
      </w:r>
      <w:r>
        <w:rPr>
          <w:rFonts w:ascii="Arial" w:cs="Arial" w:eastAsia="Arial" w:hAnsi="Arial"/>
          <w:sz w:val="17"/>
          <w:szCs w:val="17"/>
          <w:color w:val="auto"/>
        </w:rPr>
        <w:t>To aid the Participant in making any election called for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Section 14.3(a), no later than the date of the occurrence of any event that might reasonably be anticipated to result in an “excess parachute payment” to the Participant as described in Section 14.3(a), the Company shall request a determination in writing by independent public accountants selected by the Company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Accountants</w:t>
      </w:r>
      <w:r>
        <w:rPr>
          <w:rFonts w:ascii="Arial" w:cs="Arial" w:eastAsia="Arial" w:hAnsi="Arial"/>
          <w:sz w:val="17"/>
          <w:szCs w:val="17"/>
          <w:i w:val="1"/>
          <w:iCs w:val="1"/>
          <w:color w:val="auto"/>
        </w:rPr>
        <w:t>”</w:t>
      </w:r>
      <w:r>
        <w:rPr>
          <w:rFonts w:ascii="Arial" w:cs="Arial" w:eastAsia="Arial" w:hAnsi="Arial"/>
          <w:sz w:val="17"/>
          <w:szCs w:val="17"/>
          <w:color w:val="auto"/>
        </w:rPr>
        <w:t>). As soon as practicable thereafter, the Accountants shall determine and report to the Company and the Participant the amount of such acceleration of vesting, payments and benefits which would produce the greatest after-tax benefit to the Participant. For the purposes of such determination, the Accountants may rely on reasonable, good faith interpretations concerning the application of Sections 280G and 4999 of the Code. The Company and the Participant shall furnish to the Accountants such information and documents as the Accountants may reasonably request in order to make their required determination. The Company shall bear all fees and expenses the Accountants may reasonably charge in connection with their services contemplated by this Section.</w:t>
      </w:r>
    </w:p>
    <w:p>
      <w:pPr>
        <w:spacing w:after="0" w:line="133" w:lineRule="exact"/>
        <w:rPr>
          <w:rFonts w:ascii="Arial" w:cs="Arial" w:eastAsia="Arial" w:hAnsi="Arial"/>
          <w:sz w:val="17"/>
          <w:szCs w:val="17"/>
          <w:color w:val="auto"/>
        </w:rPr>
      </w:pPr>
    </w:p>
    <w:p>
      <w:pPr>
        <w:ind w:left="660" w:hanging="279"/>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OMPLIANCE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ECURITIES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2"/>
          <w:szCs w:val="12"/>
          <w:b w:val="1"/>
          <w:bCs w:val="1"/>
          <w:u w:val="single" w:color="auto"/>
          <w:color w:val="auto"/>
        </w:rPr>
        <w:t>AW</w:t>
      </w:r>
      <w:r>
        <w:rPr>
          <w:rFonts w:ascii="Arial" w:cs="Arial" w:eastAsia="Arial" w:hAnsi="Arial"/>
          <w:sz w:val="18"/>
          <w:szCs w:val="18"/>
          <w:b w:val="1"/>
          <w:bCs w:val="1"/>
          <w:color w:val="auto"/>
        </w:rPr>
        <w:t>.</w:t>
      </w:r>
    </w:p>
    <w:p>
      <w:pPr>
        <w:spacing w:after="0" w:line="202" w:lineRule="exact"/>
        <w:rPr>
          <w:sz w:val="20"/>
          <w:szCs w:val="20"/>
          <w:color w:val="auto"/>
        </w:rPr>
      </w:pPr>
    </w:p>
    <w:p>
      <w:pPr>
        <w:ind w:right="179" w:firstLine="778"/>
        <w:spacing w:after="0" w:line="269" w:lineRule="auto"/>
        <w:rPr>
          <w:sz w:val="20"/>
          <w:szCs w:val="20"/>
          <w:color w:val="auto"/>
        </w:rPr>
      </w:pPr>
      <w:r>
        <w:rPr>
          <w:rFonts w:ascii="Arial" w:cs="Arial" w:eastAsia="Arial" w:hAnsi="Arial"/>
          <w:sz w:val="17"/>
          <w:szCs w:val="17"/>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hereunder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35" w:lineRule="exact"/>
        <w:rPr>
          <w:sz w:val="20"/>
          <w:szCs w:val="20"/>
          <w:color w:val="auto"/>
        </w:rPr>
      </w:pPr>
    </w:p>
    <w:p>
      <w:pPr>
        <w:ind w:left="660" w:hanging="279"/>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OMPLIANCE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ECTION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409A</w:t>
      </w:r>
      <w:r>
        <w:rPr>
          <w:rFonts w:ascii="Arial" w:cs="Arial" w:eastAsia="Arial" w:hAnsi="Arial"/>
          <w:sz w:val="18"/>
          <w:szCs w:val="18"/>
          <w:b w:val="1"/>
          <w:bCs w:val="1"/>
          <w:color w:val="auto"/>
        </w:rPr>
        <w:t>.</w:t>
      </w:r>
    </w:p>
    <w:p>
      <w:pPr>
        <w:spacing w:after="0" w:line="185" w:lineRule="exact"/>
        <w:rPr>
          <w:sz w:val="20"/>
          <w:szCs w:val="20"/>
          <w:color w:val="auto"/>
        </w:rPr>
      </w:pPr>
    </w:p>
    <w:p>
      <w:pPr>
        <w:ind w:right="179" w:firstLine="778"/>
        <w:spacing w:after="0" w:line="261"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Awards Subject to Section 409A.</w:t>
      </w:r>
      <w:r>
        <w:rPr>
          <w:rFonts w:ascii="Arial" w:cs="Arial" w:eastAsia="Arial" w:hAnsi="Arial"/>
          <w:sz w:val="18"/>
          <w:szCs w:val="18"/>
          <w:color w:val="auto"/>
        </w:rPr>
        <w:t xml:space="preserve"> The Company intends that Awards granted pursuant to the Plan shall either be exempt from or comply with Section 409A, and the Plan shall be so construed. The provisions of this Section 16 shall apply to any Award or portion thereof that constitutes or provides for payment of Section 409A Deferred Compensation. Such Awards may include, without limitation:</w:t>
      </w: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3" w:name="page74"/>
    <w:bookmarkEnd w:id="73"/>
    <w:p>
      <w:pPr>
        <w:ind w:left="8" w:right="579" w:firstLine="1159"/>
        <w:spacing w:after="0" w:line="264" w:lineRule="auto"/>
        <w:tabs>
          <w:tab w:leader="none" w:pos="1409"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154" w:lineRule="exact"/>
        <w:rPr>
          <w:rFonts w:ascii="Arial" w:cs="Arial" w:eastAsia="Arial" w:hAnsi="Arial"/>
          <w:sz w:val="18"/>
          <w:szCs w:val="18"/>
          <w:color w:val="auto"/>
        </w:rPr>
      </w:pPr>
    </w:p>
    <w:p>
      <w:pPr>
        <w:ind w:left="1408" w:hanging="241"/>
        <w:spacing w:after="0"/>
        <w:tabs>
          <w:tab w:leader="none" w:pos="1408" w:val="left"/>
        </w:tabs>
        <w:numPr>
          <w:ilvl w:val="1"/>
          <w:numId w:val="71"/>
        </w:numPr>
        <w:rPr>
          <w:rFonts w:ascii="Arial" w:cs="Arial" w:eastAsia="Arial" w:hAnsi="Arial"/>
          <w:sz w:val="16"/>
          <w:szCs w:val="16"/>
          <w:color w:val="auto"/>
        </w:rPr>
      </w:pPr>
      <w:r>
        <w:rPr>
          <w:rFonts w:ascii="Arial" w:cs="Arial" w:eastAsia="Arial" w:hAnsi="Arial"/>
          <w:sz w:val="16"/>
          <w:szCs w:val="16"/>
          <w:color w:val="auto"/>
        </w:rPr>
        <w:t>Any Restricted Stock Unit Award, Performance Award, Cash-Based Award or Other Stock-Based Award that either</w:t>
      </w:r>
    </w:p>
    <w:p>
      <w:pPr>
        <w:spacing w:after="0" w:line="46" w:lineRule="exact"/>
        <w:rPr>
          <w:rFonts w:ascii="Arial" w:cs="Arial" w:eastAsia="Arial" w:hAnsi="Arial"/>
          <w:sz w:val="16"/>
          <w:szCs w:val="16"/>
          <w:color w:val="auto"/>
        </w:rPr>
      </w:pPr>
    </w:p>
    <w:p>
      <w:pPr>
        <w:ind w:left="8" w:right="399" w:hanging="8"/>
        <w:spacing w:after="0" w:line="277" w:lineRule="auto"/>
        <w:tabs>
          <w:tab w:leader="none" w:pos="223"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spacing w:after="0" w:line="133" w:lineRule="exact"/>
        <w:rPr>
          <w:sz w:val="20"/>
          <w:szCs w:val="20"/>
          <w:color w:val="auto"/>
        </w:rPr>
      </w:pPr>
    </w:p>
    <w:p>
      <w:pPr>
        <w:ind w:left="8" w:right="259" w:firstLine="389"/>
        <w:spacing w:after="0" w:line="255" w:lineRule="auto"/>
        <w:rPr>
          <w:sz w:val="20"/>
          <w:szCs w:val="20"/>
          <w:color w:val="auto"/>
        </w:rPr>
      </w:pPr>
      <w:r>
        <w:rPr>
          <w:rFonts w:ascii="Arial" w:cs="Arial" w:eastAsia="Arial" w:hAnsi="Arial"/>
          <w:sz w:val="18"/>
          <w:szCs w:val="18"/>
          <w:color w:val="auto"/>
        </w:rPr>
        <w:t>Subject to the provisions of Section 409A, the term “</w:t>
      </w:r>
      <w:r>
        <w:rPr>
          <w:rFonts w:ascii="Arial" w:cs="Arial" w:eastAsia="Arial" w:hAnsi="Arial"/>
          <w:sz w:val="18"/>
          <w:szCs w:val="18"/>
          <w:b w:val="1"/>
          <w:bCs w:val="1"/>
          <w:i w:val="1"/>
          <w:iCs w:val="1"/>
          <w:color w:val="auto"/>
        </w:rPr>
        <w:t>Short-Term Deferral Period</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2</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xml:space="preserve"> month period ending on the later of (i) the 15th day of the third month following the end of the Participant’s taxable year in which the right to payment under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149" w:lineRule="exact"/>
        <w:rPr>
          <w:sz w:val="20"/>
          <w:szCs w:val="20"/>
          <w:color w:val="auto"/>
        </w:rPr>
      </w:pPr>
    </w:p>
    <w:p>
      <w:pPr>
        <w:ind w:left="8" w:right="179" w:firstLine="778"/>
        <w:spacing w:after="0" w:line="266"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color w:val="auto"/>
        </w:rPr>
        <w:t>Deferral and/or Distribution Elections.</w:t>
      </w:r>
      <w:r>
        <w:rPr>
          <w:rFonts w:ascii="Arial" w:cs="Arial" w:eastAsia="Arial" w:hAnsi="Arial"/>
          <w:sz w:val="18"/>
          <w:szCs w:val="18"/>
          <w:color w:val="auto"/>
        </w:rPr>
        <w:t xml:space="preserve"> Except as otherwise permitted or required by Section 409A, the following rules shall apply to any compensation deferral and/or payment elections (each, an “</w:t>
      </w:r>
      <w:r>
        <w:rPr>
          <w:rFonts w:ascii="Arial" w:cs="Arial" w:eastAsia="Arial" w:hAnsi="Arial"/>
          <w:sz w:val="18"/>
          <w:szCs w:val="18"/>
          <w:b w:val="1"/>
          <w:bCs w:val="1"/>
          <w:i w:val="1"/>
          <w:iCs w:val="1"/>
          <w:color w:val="auto"/>
        </w:rPr>
        <w:t>Election</w:t>
      </w:r>
      <w:r>
        <w:rPr>
          <w:rFonts w:ascii="Arial" w:cs="Arial" w:eastAsia="Arial" w:hAnsi="Arial"/>
          <w:sz w:val="18"/>
          <w:szCs w:val="18"/>
          <w:color w:val="auto"/>
        </w:rPr>
        <w:t>”) that may be permitted or required by the Committee pursuant to an Award providing Section 409A Deferred Compensation:</w:t>
      </w:r>
    </w:p>
    <w:p>
      <w:pPr>
        <w:spacing w:after="0" w:line="153" w:lineRule="exact"/>
        <w:rPr>
          <w:sz w:val="20"/>
          <w:szCs w:val="20"/>
          <w:color w:val="auto"/>
        </w:rPr>
      </w:pPr>
    </w:p>
    <w:p>
      <w:pPr>
        <w:ind w:left="8" w:right="379" w:firstLine="1159"/>
        <w:spacing w:after="0" w:line="277" w:lineRule="auto"/>
        <w:tabs>
          <w:tab w:leader="none" w:pos="1419" w:val="left"/>
        </w:tabs>
        <w:numPr>
          <w:ilvl w:val="0"/>
          <w:numId w:val="73"/>
        </w:numPr>
        <w:rPr>
          <w:rFonts w:ascii="Arial" w:cs="Arial" w:eastAsia="Arial" w:hAnsi="Arial"/>
          <w:sz w:val="18"/>
          <w:szCs w:val="18"/>
          <w:color w:val="auto"/>
        </w:rPr>
      </w:pPr>
      <w:r>
        <w:rPr>
          <w:rFonts w:ascii="Arial" w:cs="Arial" w:eastAsia="Arial" w:hAnsi="Arial"/>
          <w:sz w:val="18"/>
          <w:szCs w:val="18"/>
          <w:color w:val="auto"/>
        </w:rPr>
        <w:t>Elections must be in writing and specify the amount of the payment in settlement of an Award being deferred, as well as the time and form of payment as permitted by this Plan.</w:t>
      </w:r>
    </w:p>
    <w:p>
      <w:pPr>
        <w:spacing w:after="0" w:line="129" w:lineRule="exact"/>
        <w:rPr>
          <w:rFonts w:ascii="Arial" w:cs="Arial" w:eastAsia="Arial" w:hAnsi="Arial"/>
          <w:sz w:val="18"/>
          <w:szCs w:val="18"/>
          <w:color w:val="auto"/>
        </w:rPr>
      </w:pPr>
    </w:p>
    <w:p>
      <w:pPr>
        <w:ind w:left="8" w:right="319" w:firstLine="1159"/>
        <w:spacing w:after="0" w:line="277" w:lineRule="auto"/>
        <w:tabs>
          <w:tab w:leader="none" w:pos="1429" w:val="left"/>
        </w:tabs>
        <w:numPr>
          <w:ilvl w:val="0"/>
          <w:numId w:val="73"/>
        </w:numPr>
        <w:rPr>
          <w:rFonts w:ascii="Arial" w:cs="Arial" w:eastAsia="Arial" w:hAnsi="Arial"/>
          <w:sz w:val="18"/>
          <w:szCs w:val="18"/>
          <w:color w:val="auto"/>
        </w:rPr>
      </w:pPr>
      <w:r>
        <w:rPr>
          <w:rFonts w:ascii="Arial" w:cs="Arial" w:eastAsia="Arial" w:hAnsi="Arial"/>
          <w:sz w:val="18"/>
          <w:szCs w:val="18"/>
          <w:color w:val="auto"/>
        </w:rPr>
        <w:t>Elections shall be made by the end of the Participant’s taxable year prior to the year in which services commence for which an Award may be granted to such Participant.</w:t>
      </w:r>
    </w:p>
    <w:p>
      <w:pPr>
        <w:spacing w:after="0" w:line="129" w:lineRule="exact"/>
        <w:rPr>
          <w:rFonts w:ascii="Arial" w:cs="Arial" w:eastAsia="Arial" w:hAnsi="Arial"/>
          <w:sz w:val="18"/>
          <w:szCs w:val="18"/>
          <w:color w:val="auto"/>
        </w:rPr>
      </w:pPr>
    </w:p>
    <w:p>
      <w:pPr>
        <w:ind w:left="8" w:right="339" w:firstLine="1159"/>
        <w:spacing w:after="0" w:line="264" w:lineRule="auto"/>
        <w:tabs>
          <w:tab w:leader="none" w:pos="1419" w:val="left"/>
        </w:tabs>
        <w:numPr>
          <w:ilvl w:val="0"/>
          <w:numId w:val="73"/>
        </w:numPr>
        <w:rPr>
          <w:rFonts w:ascii="Arial" w:cs="Arial" w:eastAsia="Arial" w:hAnsi="Arial"/>
          <w:sz w:val="18"/>
          <w:szCs w:val="18"/>
          <w:color w:val="auto"/>
        </w:rPr>
      </w:pPr>
      <w:r>
        <w:rPr>
          <w:rFonts w:ascii="Arial" w:cs="Arial" w:eastAsia="Arial" w:hAnsi="Arial"/>
          <w:sz w:val="18"/>
          <w:szCs w:val="18"/>
          <w:color w:val="auto"/>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16.3.</w:t>
      </w:r>
    </w:p>
    <w:p>
      <w:pPr>
        <w:spacing w:after="0" w:line="150" w:lineRule="exact"/>
        <w:rPr>
          <w:sz w:val="20"/>
          <w:szCs w:val="20"/>
          <w:color w:val="auto"/>
        </w:rPr>
      </w:pPr>
    </w:p>
    <w:p>
      <w:pPr>
        <w:ind w:left="788"/>
        <w:spacing w:after="0"/>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b w:val="1"/>
          <w:bCs w:val="1"/>
          <w:color w:val="auto"/>
        </w:rPr>
        <w:t>Subsequent Elections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Except as otherwise permitted or required by Section 409A, any Award providing</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6"/>
          <w:szCs w:val="16"/>
          <w:color w:val="auto"/>
        </w:rPr>
        <w:t>Section 409A Deferred Compensation which permits a subsequent Election to delay the payment or change the form of payment in</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8"/>
          <w:szCs w:val="18"/>
          <w:color w:val="auto"/>
        </w:rPr>
        <w:t>settlement of such Award shall comply with the following requirements:</w:t>
      </w:r>
    </w:p>
    <w:p>
      <w:pPr>
        <w:spacing w:after="0" w:line="170" w:lineRule="exact"/>
        <w:rPr>
          <w:sz w:val="20"/>
          <w:szCs w:val="20"/>
          <w:color w:val="auto"/>
        </w:rPr>
      </w:pPr>
    </w:p>
    <w:p>
      <w:pPr>
        <w:ind w:left="1408" w:hanging="241"/>
        <w:spacing w:after="0"/>
        <w:tabs>
          <w:tab w:leader="none" w:pos="1408"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 subsequent Election may take effect until at least twelve (12) months after the date on which the subsequent</w:t>
      </w:r>
    </w:p>
    <w:p>
      <w:pPr>
        <w:spacing w:after="0" w:line="46" w:lineRule="exact"/>
        <w:rPr>
          <w:rFonts w:ascii="Arial" w:cs="Arial" w:eastAsia="Arial" w:hAnsi="Arial"/>
          <w:sz w:val="16"/>
          <w:szCs w:val="16"/>
          <w:color w:val="auto"/>
        </w:rPr>
      </w:pPr>
    </w:p>
    <w:p>
      <w:pPr>
        <w:ind w:left="8"/>
        <w:spacing w:after="0"/>
        <w:rPr>
          <w:rFonts w:ascii="Arial" w:cs="Arial" w:eastAsia="Arial" w:hAnsi="Arial"/>
          <w:sz w:val="16"/>
          <w:szCs w:val="16"/>
          <w:color w:val="auto"/>
        </w:rPr>
      </w:pPr>
      <w:r>
        <w:rPr>
          <w:rFonts w:ascii="Arial" w:cs="Arial" w:eastAsia="Arial" w:hAnsi="Arial"/>
          <w:sz w:val="18"/>
          <w:szCs w:val="18"/>
          <w:color w:val="auto"/>
        </w:rPr>
        <w:t>Election is made.</w:t>
      </w:r>
    </w:p>
    <w:p>
      <w:pPr>
        <w:spacing w:after="0" w:line="200" w:lineRule="exact"/>
        <w:rPr>
          <w:sz w:val="20"/>
          <w:szCs w:val="20"/>
          <w:color w:val="auto"/>
        </w:rPr>
      </w:pPr>
    </w:p>
    <w:p>
      <w:pPr>
        <w:spacing w:after="0" w:line="376"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74" w:name="page75"/>
    <w:bookmarkEnd w:id="74"/>
    <w:p>
      <w:pPr>
        <w:ind w:left="1168"/>
        <w:spacing w:after="0"/>
        <w:rPr>
          <w:sz w:val="20"/>
          <w:szCs w:val="20"/>
          <w:color w:val="auto"/>
        </w:rPr>
      </w:pPr>
      <w:r>
        <w:rPr>
          <w:rFonts w:ascii="Arial" w:cs="Arial" w:eastAsia="Arial" w:hAnsi="Arial"/>
          <w:sz w:val="17"/>
          <w:szCs w:val="17"/>
          <w:color w:val="auto"/>
        </w:rPr>
        <w:t>(b) Each subsequent Election related to a payment in settlement of an Award not described in Section 16.4(a)(ii),</w:t>
      </w:r>
    </w:p>
    <w:p>
      <w:pPr>
        <w:spacing w:after="0" w:line="35" w:lineRule="exact"/>
        <w:rPr>
          <w:sz w:val="20"/>
          <w:szCs w:val="20"/>
          <w:color w:val="auto"/>
        </w:rPr>
      </w:pPr>
    </w:p>
    <w:p>
      <w:pPr>
        <w:ind w:left="8"/>
        <w:spacing w:after="0"/>
        <w:rPr>
          <w:sz w:val="20"/>
          <w:szCs w:val="20"/>
          <w:color w:val="auto"/>
        </w:rPr>
      </w:pPr>
      <w:r>
        <w:rPr>
          <w:rFonts w:ascii="Arial" w:cs="Arial" w:eastAsia="Arial" w:hAnsi="Arial"/>
          <w:sz w:val="16"/>
          <w:szCs w:val="16"/>
          <w:color w:val="auto"/>
        </w:rPr>
        <w:t>16.4(a)(iii) or 16.4(a)(vi) must result in a delay of the payment for a period of not less than five (5) years from the date on which such</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8"/>
          <w:szCs w:val="18"/>
          <w:color w:val="auto"/>
        </w:rPr>
        <w:t>payment would otherwise have been made.</w:t>
      </w:r>
    </w:p>
    <w:p>
      <w:pPr>
        <w:spacing w:after="0" w:line="184" w:lineRule="exact"/>
        <w:rPr>
          <w:sz w:val="20"/>
          <w:szCs w:val="20"/>
          <w:color w:val="auto"/>
        </w:rPr>
      </w:pPr>
    </w:p>
    <w:p>
      <w:pPr>
        <w:ind w:left="1408" w:hanging="241"/>
        <w:spacing w:after="0"/>
        <w:tabs>
          <w:tab w:leader="none" w:pos="1408" w:val="left"/>
        </w:tabs>
        <w:numPr>
          <w:ilvl w:val="1"/>
          <w:numId w:val="75"/>
        </w:numPr>
        <w:rPr>
          <w:rFonts w:ascii="Arial" w:cs="Arial" w:eastAsia="Arial" w:hAnsi="Arial"/>
          <w:sz w:val="17"/>
          <w:szCs w:val="17"/>
          <w:color w:val="auto"/>
        </w:rPr>
      </w:pPr>
      <w:r>
        <w:rPr>
          <w:rFonts w:ascii="Arial" w:cs="Arial" w:eastAsia="Arial" w:hAnsi="Arial"/>
          <w:sz w:val="17"/>
          <w:szCs w:val="17"/>
          <w:color w:val="auto"/>
        </w:rPr>
        <w:t>No subsequent Election related to a payment pursuant to Section 16.4(a)(iv) shall be made less than twelve</w:t>
      </w:r>
    </w:p>
    <w:p>
      <w:pPr>
        <w:spacing w:after="0" w:line="34" w:lineRule="exact"/>
        <w:rPr>
          <w:rFonts w:ascii="Arial" w:cs="Arial" w:eastAsia="Arial" w:hAnsi="Arial"/>
          <w:sz w:val="17"/>
          <w:szCs w:val="17"/>
          <w:color w:val="auto"/>
        </w:rPr>
      </w:pPr>
    </w:p>
    <w:p>
      <w:pPr>
        <w:ind w:left="348" w:hanging="348"/>
        <w:spacing w:after="0"/>
        <w:tabs>
          <w:tab w:leader="none" w:pos="348"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months before the date on which such payment would otherwise have been made.</w:t>
      </w:r>
    </w:p>
    <w:p>
      <w:pPr>
        <w:spacing w:after="0" w:line="170" w:lineRule="exact"/>
        <w:rPr>
          <w:rFonts w:ascii="Arial" w:cs="Arial" w:eastAsia="Arial" w:hAnsi="Arial"/>
          <w:sz w:val="18"/>
          <w:szCs w:val="18"/>
          <w:color w:val="auto"/>
        </w:rPr>
      </w:pPr>
    </w:p>
    <w:p>
      <w:pPr>
        <w:ind w:left="8" w:right="259" w:firstLine="1159"/>
        <w:spacing w:after="0" w:line="312" w:lineRule="auto"/>
        <w:tabs>
          <w:tab w:leader="none" w:pos="1429" w:val="left"/>
        </w:tabs>
        <w:numPr>
          <w:ilvl w:val="1"/>
          <w:numId w:val="76"/>
        </w:numPr>
        <w:rPr>
          <w:rFonts w:ascii="Arial" w:cs="Arial" w:eastAsia="Arial" w:hAnsi="Arial"/>
          <w:sz w:val="16"/>
          <w:szCs w:val="16"/>
          <w:color w:val="auto"/>
        </w:rPr>
      </w:pPr>
      <w:r>
        <w:rPr>
          <w:rFonts w:ascii="Arial" w:cs="Arial" w:eastAsia="Arial" w:hAnsi="Arial"/>
          <w:sz w:val="16"/>
          <w:szCs w:val="16"/>
          <w:color w:val="auto"/>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16.3.</w:t>
      </w:r>
    </w:p>
    <w:p>
      <w:pPr>
        <w:spacing w:after="0" w:line="102" w:lineRule="exact"/>
        <w:rPr>
          <w:sz w:val="20"/>
          <w:szCs w:val="20"/>
          <w:color w:val="auto"/>
        </w:rPr>
      </w:pPr>
    </w:p>
    <w:p>
      <w:pPr>
        <w:ind w:left="788"/>
        <w:spacing w:after="0"/>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b w:val="1"/>
          <w:bCs w:val="1"/>
          <w:color w:val="auto"/>
        </w:rPr>
        <w:t>Payment of Section 409A Deferred Compensation</w:t>
      </w:r>
      <w:r>
        <w:rPr>
          <w:rFonts w:ascii="Arial" w:cs="Arial" w:eastAsia="Arial" w:hAnsi="Arial"/>
          <w:sz w:val="18"/>
          <w:szCs w:val="18"/>
          <w:b w:val="1"/>
          <w:bCs w:val="1"/>
          <w:i w:val="1"/>
          <w:iCs w:val="1"/>
          <w:color w:val="auto"/>
        </w:rPr>
        <w:t>.</w:t>
      </w:r>
    </w:p>
    <w:p>
      <w:pPr>
        <w:spacing w:after="0" w:line="202" w:lineRule="exact"/>
        <w:rPr>
          <w:sz w:val="20"/>
          <w:szCs w:val="20"/>
          <w:color w:val="auto"/>
        </w:rPr>
      </w:pPr>
    </w:p>
    <w:p>
      <w:pPr>
        <w:ind w:left="1168"/>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i w:val="1"/>
          <w:iCs w:val="1"/>
          <w:color w:val="auto"/>
        </w:rPr>
        <w:t>Permissible Payments.</w:t>
      </w:r>
      <w:r>
        <w:rPr>
          <w:rFonts w:ascii="Arial" w:cs="Arial" w:eastAsia="Arial" w:hAnsi="Arial"/>
          <w:sz w:val="17"/>
          <w:szCs w:val="17"/>
          <w:color w:val="auto"/>
        </w:rPr>
        <w:t xml:space="preserve"> Except as otherwise permitted or required by Section 409A, an Award providing</w:t>
      </w:r>
    </w:p>
    <w:p>
      <w:pPr>
        <w:spacing w:after="0" w:line="35" w:lineRule="exact"/>
        <w:rPr>
          <w:sz w:val="20"/>
          <w:szCs w:val="20"/>
          <w:color w:val="auto"/>
        </w:rPr>
      </w:pPr>
    </w:p>
    <w:p>
      <w:pPr>
        <w:ind w:left="8"/>
        <w:spacing w:after="0"/>
        <w:rPr>
          <w:sz w:val="20"/>
          <w:szCs w:val="20"/>
          <w:color w:val="auto"/>
        </w:rPr>
      </w:pPr>
      <w:r>
        <w:rPr>
          <w:rFonts w:ascii="Arial" w:cs="Arial" w:eastAsia="Arial" w:hAnsi="Arial"/>
          <w:sz w:val="16"/>
          <w:szCs w:val="16"/>
          <w:color w:val="auto"/>
        </w:rPr>
        <w:t>Section 409A Deferred Compensation must provide for payment in settlement of the Award only upon one or more of the following:</w:t>
      </w:r>
    </w:p>
    <w:p>
      <w:pPr>
        <w:spacing w:after="0" w:line="193" w:lineRule="exact"/>
        <w:rPr>
          <w:sz w:val="20"/>
          <w:szCs w:val="20"/>
          <w:color w:val="auto"/>
        </w:rPr>
      </w:pPr>
    </w:p>
    <w:p>
      <w:pPr>
        <w:ind w:left="1768" w:hanging="212"/>
        <w:spacing w:after="0"/>
        <w:tabs>
          <w:tab w:leader="none" w:pos="176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Participant’s “separation from service” (as such term is defined by Section 409A);</w:t>
      </w:r>
    </w:p>
    <w:p>
      <w:pPr>
        <w:spacing w:after="0" w:line="184" w:lineRule="exact"/>
        <w:rPr>
          <w:rFonts w:ascii="Arial" w:cs="Arial" w:eastAsia="Arial" w:hAnsi="Arial"/>
          <w:sz w:val="18"/>
          <w:szCs w:val="18"/>
          <w:color w:val="auto"/>
        </w:rPr>
      </w:pPr>
    </w:p>
    <w:p>
      <w:pPr>
        <w:ind w:left="1808" w:hanging="252"/>
        <w:spacing w:after="0"/>
        <w:tabs>
          <w:tab w:leader="none" w:pos="180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Participant’s becoming “disabled” (as such term is defined by Section 409A);</w:t>
      </w:r>
    </w:p>
    <w:p>
      <w:pPr>
        <w:spacing w:after="0" w:line="198" w:lineRule="exact"/>
        <w:rPr>
          <w:rFonts w:ascii="Arial" w:cs="Arial" w:eastAsia="Arial" w:hAnsi="Arial"/>
          <w:sz w:val="18"/>
          <w:szCs w:val="18"/>
          <w:color w:val="auto"/>
        </w:rPr>
      </w:pPr>
    </w:p>
    <w:p>
      <w:pPr>
        <w:ind w:left="1868" w:hanging="312"/>
        <w:spacing w:after="0"/>
        <w:tabs>
          <w:tab w:leader="none" w:pos="186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184" w:lineRule="exact"/>
        <w:rPr>
          <w:rFonts w:ascii="Arial" w:cs="Arial" w:eastAsia="Arial" w:hAnsi="Arial"/>
          <w:sz w:val="18"/>
          <w:szCs w:val="18"/>
          <w:color w:val="auto"/>
        </w:rPr>
      </w:pPr>
    </w:p>
    <w:p>
      <w:pPr>
        <w:ind w:left="8" w:right="519" w:firstLine="1548"/>
        <w:spacing w:after="0" w:line="264" w:lineRule="auto"/>
        <w:tabs>
          <w:tab w:leader="none" w:pos="18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time or fixed schedule that is either (i) specified by the Committee upon the grant of an Award and set forth in the Award Agreement evidencing such Award or (ii) specified by the Participant in an Election complying with the requirements of Section 16.2 or 16.3, as applicable;</w:t>
      </w:r>
    </w:p>
    <w:p>
      <w:pPr>
        <w:spacing w:after="0" w:line="140" w:lineRule="exact"/>
        <w:rPr>
          <w:rFonts w:ascii="Arial" w:cs="Arial" w:eastAsia="Arial" w:hAnsi="Arial"/>
          <w:sz w:val="18"/>
          <w:szCs w:val="18"/>
          <w:color w:val="auto"/>
        </w:rPr>
      </w:pPr>
    </w:p>
    <w:p>
      <w:pPr>
        <w:ind w:left="8" w:right="199" w:firstLine="1548"/>
        <w:spacing w:after="0" w:line="277" w:lineRule="auto"/>
        <w:tabs>
          <w:tab w:leader="none" w:pos="180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change in the ownership or effective control or the Company or in the ownership of a substantial portion of the assets of the Company determined in accordance with Section 409A; or</w:t>
      </w:r>
    </w:p>
    <w:p>
      <w:pPr>
        <w:spacing w:after="0" w:line="143" w:lineRule="exact"/>
        <w:rPr>
          <w:rFonts w:ascii="Arial" w:cs="Arial" w:eastAsia="Arial" w:hAnsi="Arial"/>
          <w:sz w:val="18"/>
          <w:szCs w:val="18"/>
          <w:color w:val="auto"/>
        </w:rPr>
      </w:pPr>
    </w:p>
    <w:p>
      <w:pPr>
        <w:ind w:left="1848" w:hanging="292"/>
        <w:spacing w:after="0"/>
        <w:tabs>
          <w:tab w:leader="none" w:pos="18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occurrence of an “unforeseeable emergency” (as such term is defined by Section 409A).</w:t>
      </w:r>
    </w:p>
    <w:p>
      <w:pPr>
        <w:spacing w:after="0" w:line="200" w:lineRule="exact"/>
        <w:rPr>
          <w:sz w:val="20"/>
          <w:szCs w:val="20"/>
          <w:color w:val="auto"/>
        </w:rPr>
      </w:pPr>
    </w:p>
    <w:p>
      <w:pPr>
        <w:spacing w:after="0" w:line="376"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75" w:name="page76"/>
    <w:bookmarkEnd w:id="75"/>
    <w:p>
      <w:pPr>
        <w:ind w:right="239" w:firstLine="1159"/>
        <w:spacing w:after="0" w:line="272" w:lineRule="auto"/>
        <w:tabs>
          <w:tab w:leader="none" w:pos="1421"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Required Delay in Payment to Specified Employee Pursuant to Separation from Service. </w:t>
      </w:r>
      <w:r>
        <w:rPr>
          <w:rFonts w:ascii="Arial" w:cs="Arial" w:eastAsia="Arial" w:hAnsi="Arial"/>
          <w:sz w:val="17"/>
          <w:szCs w:val="17"/>
          <w:color w:val="auto"/>
        </w:rPr>
        <w:t>Notwithstanding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provision of the Plan or an Award Agreement to the contrary, except as otherwise permitted by Section 409A, no payment pursuant to Section 16.4(a)(i) in settlement of an Award providing for Section 409A Deferred Compensation may be made to a Participant who is a “specified employee” (as such term is defined by Section 409A) as of the date of the Participant’s separation from service before the date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Delayed Payment Date</w:t>
      </w:r>
      <w:r>
        <w:rPr>
          <w:rFonts w:ascii="Arial" w:cs="Arial" w:eastAsia="Arial" w:hAnsi="Arial"/>
          <w:sz w:val="17"/>
          <w:szCs w:val="17"/>
          <w:i w:val="1"/>
          <w:iCs w:val="1"/>
          <w:color w:val="auto"/>
        </w:rPr>
        <w:t>”</w:t>
      </w:r>
      <w:r>
        <w:rPr>
          <w:rFonts w:ascii="Arial" w:cs="Arial" w:eastAsia="Arial" w:hAnsi="Arial"/>
          <w:sz w:val="17"/>
          <w:szCs w:val="17"/>
          <w:color w:val="auto"/>
        </w:rPr>
        <w:t>)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w:t>
      </w:r>
    </w:p>
    <w:p>
      <w:pPr>
        <w:spacing w:after="0" w:line="150" w:lineRule="exact"/>
        <w:rPr>
          <w:rFonts w:ascii="Arial" w:cs="Arial" w:eastAsia="Arial" w:hAnsi="Arial"/>
          <w:sz w:val="17"/>
          <w:szCs w:val="17"/>
          <w:color w:val="auto"/>
        </w:rPr>
      </w:pPr>
    </w:p>
    <w:p>
      <w:pPr>
        <w:ind w:right="199" w:firstLine="1159"/>
        <w:spacing w:after="0" w:line="259" w:lineRule="auto"/>
        <w:tabs>
          <w:tab w:leader="none" w:pos="1411"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Upon Disability. </w:t>
      </w:r>
      <w:r>
        <w:rPr>
          <w:rFonts w:ascii="Arial" w:cs="Arial" w:eastAsia="Arial" w:hAnsi="Arial"/>
          <w:sz w:val="18"/>
          <w:szCs w:val="18"/>
          <w:color w:val="auto"/>
        </w:rPr>
        <w:t>All distributions payable by reason of a Participant becoming disabled shall be paid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lump sum or in periodic installments as established by the Participant’s Election. If the Participant has made no Election with respect to distributions upon becoming disabled, all such distributions shall be paid in a lump sum upon the determination that the Participant has become disabled.</w:t>
      </w:r>
    </w:p>
    <w:p>
      <w:pPr>
        <w:spacing w:after="0" w:line="142" w:lineRule="exact"/>
        <w:rPr>
          <w:rFonts w:ascii="Arial" w:cs="Arial" w:eastAsia="Arial" w:hAnsi="Arial"/>
          <w:sz w:val="18"/>
          <w:szCs w:val="18"/>
          <w:color w:val="auto"/>
        </w:rPr>
      </w:pPr>
    </w:p>
    <w:p>
      <w:pPr>
        <w:ind w:right="219" w:firstLine="1159"/>
        <w:spacing w:after="0" w:line="298" w:lineRule="auto"/>
        <w:tabs>
          <w:tab w:leader="none" w:pos="1421"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Payment Upon Death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a Participant dies before complete distribution of amounts payable upon settlement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upon death, all such distributions shall be paid in a lump sum upon receipt by the Committee of satisfactory notice and confirmation of the Participant’s death.</w:t>
      </w:r>
    </w:p>
    <w:p>
      <w:pPr>
        <w:spacing w:after="0" w:line="117" w:lineRule="exact"/>
        <w:rPr>
          <w:rFonts w:ascii="Arial" w:cs="Arial" w:eastAsia="Arial" w:hAnsi="Arial"/>
          <w:sz w:val="16"/>
          <w:szCs w:val="16"/>
          <w:color w:val="auto"/>
        </w:rPr>
      </w:pPr>
    </w:p>
    <w:p>
      <w:pPr>
        <w:ind w:right="359" w:firstLine="1159"/>
        <w:spacing w:after="0" w:line="257" w:lineRule="auto"/>
        <w:tabs>
          <w:tab w:leader="none" w:pos="1411"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Upon Change in Control. </w:t>
      </w:r>
      <w:r>
        <w:rPr>
          <w:rFonts w:ascii="Arial" w:cs="Arial" w:eastAsia="Arial" w:hAnsi="Arial"/>
          <w:sz w:val="18"/>
          <w:szCs w:val="18"/>
          <w:color w:val="auto"/>
        </w:rPr>
        <w:t>Notwithstanding any provision of the Plan or an Award Agreement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w:t>
      </w:r>
    </w:p>
    <w:p>
      <w:pPr>
        <w:spacing w:after="0" w:line="161" w:lineRule="exact"/>
        <w:rPr>
          <w:rFonts w:ascii="Arial" w:cs="Arial" w:eastAsia="Arial" w:hAnsi="Arial"/>
          <w:sz w:val="18"/>
          <w:szCs w:val="18"/>
          <w:color w:val="auto"/>
        </w:rPr>
      </w:pPr>
    </w:p>
    <w:p>
      <w:pPr>
        <w:ind w:right="239" w:firstLine="1159"/>
        <w:spacing w:after="0" w:line="269" w:lineRule="auto"/>
        <w:tabs>
          <w:tab w:leader="none" w:pos="1391"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Payment Upon Unforeseeable Emergency. </w:t>
      </w:r>
      <w:r>
        <w:rPr>
          <w:rFonts w:ascii="Arial" w:cs="Arial" w:eastAsia="Arial" w:hAnsi="Arial"/>
          <w:sz w:val="17"/>
          <w:szCs w:val="17"/>
          <w:color w:val="auto"/>
        </w:rPr>
        <w:t>The Committee shall have the authority to provide in the Award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evidencing any Award providing for Section 409A Deferred Compensation for payment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as soon as practicable following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139" w:lineRule="exact"/>
        <w:rPr>
          <w:rFonts w:ascii="Arial" w:cs="Arial" w:eastAsia="Arial" w:hAnsi="Arial"/>
          <w:sz w:val="17"/>
          <w:szCs w:val="17"/>
          <w:color w:val="auto"/>
        </w:rPr>
      </w:pPr>
    </w:p>
    <w:p>
      <w:pPr>
        <w:ind w:right="379" w:firstLine="1159"/>
        <w:spacing w:after="0" w:line="291" w:lineRule="auto"/>
        <w:tabs>
          <w:tab w:leader="none" w:pos="1421"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Prohibition of Acceleration of Payments. </w:t>
      </w:r>
      <w:r>
        <w:rPr>
          <w:rFonts w:ascii="Arial" w:cs="Arial" w:eastAsia="Arial" w:hAnsi="Arial"/>
          <w:sz w:val="16"/>
          <w:szCs w:val="16"/>
          <w:color w:val="auto"/>
        </w:rPr>
        <w:t>Notwithstanding any provision of the Plan or an Award Agreement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contrary, this Plan does not permit the acceleration of the time or schedule of any payment under an Award providing</w:t>
      </w:r>
    </w:p>
    <w:p>
      <w:pPr>
        <w:spacing w:after="0"/>
        <w:rPr>
          <w:rFonts w:ascii="Arial" w:cs="Arial" w:eastAsia="Arial" w:hAnsi="Arial"/>
          <w:sz w:val="16"/>
          <w:szCs w:val="16"/>
          <w:color w:val="auto"/>
        </w:rPr>
      </w:pPr>
      <w:r>
        <w:rPr>
          <w:rFonts w:ascii="Arial" w:cs="Arial" w:eastAsia="Arial" w:hAnsi="Arial"/>
          <w:sz w:val="18"/>
          <w:szCs w:val="18"/>
          <w:color w:val="auto"/>
        </w:rPr>
        <w:t>Section 409A Deferred Compensation, except as permitted by Section 409A.</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76" w:name="page77"/>
    <w:bookmarkEnd w:id="76"/>
    <w:p>
      <w:pPr>
        <w:ind w:left="660" w:hanging="279"/>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AX</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t>
      </w:r>
      <w:r>
        <w:rPr>
          <w:rFonts w:ascii="Arial" w:cs="Arial" w:eastAsia="Arial" w:hAnsi="Arial"/>
          <w:sz w:val="12"/>
          <w:szCs w:val="12"/>
          <w:b w:val="1"/>
          <w:bCs w:val="1"/>
          <w:u w:val="single" w:color="auto"/>
          <w:color w:val="auto"/>
        </w:rPr>
        <w:t>ITHHOLDING</w:t>
      </w:r>
      <w:r>
        <w:rPr>
          <w:rFonts w:ascii="Arial" w:cs="Arial" w:eastAsia="Arial" w:hAnsi="Arial"/>
          <w:sz w:val="18"/>
          <w:szCs w:val="18"/>
          <w:b w:val="1"/>
          <w:bCs w:val="1"/>
          <w:color w:val="auto"/>
        </w:rPr>
        <w:t>.</w:t>
      </w:r>
    </w:p>
    <w:p>
      <w:pPr>
        <w:spacing w:after="0" w:line="198" w:lineRule="exact"/>
        <w:rPr>
          <w:sz w:val="20"/>
          <w:szCs w:val="20"/>
          <w:color w:val="auto"/>
        </w:rPr>
      </w:pPr>
    </w:p>
    <w:p>
      <w:pPr>
        <w:ind w:right="179" w:firstLine="778"/>
        <w:spacing w:after="0" w:line="274"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b w:val="1"/>
          <w:bCs w:val="1"/>
          <w:color w:val="auto"/>
        </w:rPr>
        <w:t>Tax Withholding in General.</w:t>
      </w:r>
      <w:r>
        <w:rPr>
          <w:rFonts w:ascii="Arial" w:cs="Arial" w:eastAsia="Arial" w:hAnsi="Arial"/>
          <w:sz w:val="17"/>
          <w:szCs w:val="17"/>
          <w:color w:val="auto"/>
        </w:rPr>
        <w:t xml:space="preserve"> The Company shall have the right to deduct from any and all payments made under the Plan, or to require the Participant, through payroll withholding, cash payment or otherwise, to make adequate provision for, the federal, state, local and foreign taxes,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133" w:lineRule="exact"/>
        <w:rPr>
          <w:sz w:val="20"/>
          <w:szCs w:val="20"/>
          <w:color w:val="auto"/>
        </w:rPr>
      </w:pPr>
    </w:p>
    <w:p>
      <w:pPr>
        <w:ind w:right="299" w:firstLine="778"/>
        <w:spacing w:after="0" w:line="298"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b w:val="1"/>
          <w:bCs w:val="1"/>
          <w:color w:val="auto"/>
        </w:rPr>
        <w:t>Withholding in Shares.</w:t>
      </w:r>
      <w:r>
        <w:rPr>
          <w:rFonts w:ascii="Arial" w:cs="Arial" w:eastAsia="Arial" w:hAnsi="Arial"/>
          <w:sz w:val="16"/>
          <w:szCs w:val="16"/>
          <w:color w:val="auto"/>
        </w:rPr>
        <w:t xml:space="preserve">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not exceed the amount determined by the applicable minimum statutory withholding rates.</w:t>
      </w:r>
    </w:p>
    <w:p>
      <w:pPr>
        <w:spacing w:after="0" w:line="114" w:lineRule="exact"/>
        <w:rPr>
          <w:sz w:val="20"/>
          <w:szCs w:val="20"/>
          <w:color w:val="auto"/>
        </w:rPr>
      </w:pPr>
    </w:p>
    <w:p>
      <w:pPr>
        <w:ind w:left="660" w:hanging="279"/>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MENDMENT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ERMINATION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LAN</w:t>
      </w:r>
      <w:r>
        <w:rPr>
          <w:rFonts w:ascii="Arial" w:cs="Arial" w:eastAsia="Arial" w:hAnsi="Arial"/>
          <w:sz w:val="18"/>
          <w:szCs w:val="18"/>
          <w:color w:val="auto"/>
        </w:rPr>
        <w:t>.</w:t>
      </w:r>
    </w:p>
    <w:p>
      <w:pPr>
        <w:spacing w:after="0" w:line="202" w:lineRule="exact"/>
        <w:rPr>
          <w:sz w:val="20"/>
          <w:szCs w:val="20"/>
          <w:color w:val="auto"/>
        </w:rPr>
      </w:pPr>
    </w:p>
    <w:p>
      <w:pPr>
        <w:ind w:right="159" w:firstLine="778"/>
        <w:spacing w:after="0" w:line="287" w:lineRule="auto"/>
        <w:rPr>
          <w:sz w:val="20"/>
          <w:szCs w:val="20"/>
          <w:color w:val="auto"/>
        </w:rPr>
      </w:pPr>
      <w:r>
        <w:rPr>
          <w:rFonts w:ascii="Arial" w:cs="Arial" w:eastAsia="Arial" w:hAnsi="Arial"/>
          <w:sz w:val="16"/>
          <w:szCs w:val="16"/>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 4.4), (b) no change in the class of persons eligible to receive Incentive Stock Options, and (c) no other amendment of the Plan that would require approval of the Company’s stockholders under any applicable law, regulation or rule, including the rules of any stock exchange or market system upon which the Stock may then be listed. No amendment, suspension or termination of the Plan shall affect any then outstanding Award unless expressly provided by the Committee. Except as provided by the next sentence, no amendment, suspension or termination of the Plan may adversely affect any then outstanding Award without the consent of the Participant. Notwithstanding any other provision of the Plan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7" w:name="page78"/>
    <w:bookmarkEnd w:id="77"/>
    <w:p>
      <w:pPr>
        <w:ind w:left="668" w:hanging="279"/>
        <w:spacing w:after="0"/>
        <w:tabs>
          <w:tab w:leader="none" w:pos="668"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2"/>
          <w:szCs w:val="12"/>
          <w:b w:val="1"/>
          <w:bCs w:val="1"/>
          <w:u w:val="single" w:color="auto"/>
          <w:color w:val="auto"/>
        </w:rPr>
        <w:t>ISCELLANEOUS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ROVISIONS</w:t>
      </w:r>
      <w:r>
        <w:rPr>
          <w:rFonts w:ascii="Arial" w:cs="Arial" w:eastAsia="Arial" w:hAnsi="Arial"/>
          <w:sz w:val="18"/>
          <w:szCs w:val="18"/>
          <w:b w:val="1"/>
          <w:bCs w:val="1"/>
          <w:color w:val="auto"/>
        </w:rPr>
        <w:t>.</w:t>
      </w:r>
    </w:p>
    <w:p>
      <w:pPr>
        <w:spacing w:after="0" w:line="198" w:lineRule="exact"/>
        <w:rPr>
          <w:sz w:val="20"/>
          <w:szCs w:val="20"/>
          <w:color w:val="auto"/>
        </w:rPr>
      </w:pPr>
    </w:p>
    <w:p>
      <w:pPr>
        <w:ind w:left="8" w:right="179" w:firstLine="778"/>
        <w:spacing w:after="0" w:line="255"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b w:val="1"/>
          <w:bCs w:val="1"/>
          <w:color w:val="auto"/>
        </w:rPr>
        <w:t>Repurchase Rights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49" w:lineRule="exact"/>
        <w:rPr>
          <w:sz w:val="20"/>
          <w:szCs w:val="20"/>
          <w:color w:val="auto"/>
        </w:rPr>
      </w:pPr>
    </w:p>
    <w:p>
      <w:pPr>
        <w:ind w:left="788"/>
        <w:spacing w:after="0"/>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b w:val="1"/>
          <w:bCs w:val="1"/>
          <w:color w:val="auto"/>
        </w:rPr>
        <w:t>Forfeiture Events.</w:t>
      </w:r>
    </w:p>
    <w:p>
      <w:pPr>
        <w:spacing w:after="0" w:line="189" w:lineRule="exact"/>
        <w:rPr>
          <w:sz w:val="20"/>
          <w:szCs w:val="20"/>
          <w:color w:val="auto"/>
        </w:rPr>
      </w:pPr>
    </w:p>
    <w:p>
      <w:pPr>
        <w:ind w:left="8" w:right="199" w:firstLine="1159"/>
        <w:spacing w:after="0" w:line="257" w:lineRule="auto"/>
        <w:tabs>
          <w:tab w:leader="none" w:pos="1416"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w:t>
      </w:r>
    </w:p>
    <w:p>
      <w:pPr>
        <w:spacing w:after="0" w:line="161" w:lineRule="exact"/>
        <w:rPr>
          <w:rFonts w:ascii="Arial" w:cs="Arial" w:eastAsia="Arial" w:hAnsi="Arial"/>
          <w:sz w:val="18"/>
          <w:szCs w:val="18"/>
          <w:color w:val="auto"/>
        </w:rPr>
      </w:pPr>
    </w:p>
    <w:p>
      <w:pPr>
        <w:ind w:left="8" w:right="399" w:firstLine="1159"/>
        <w:spacing w:after="0" w:line="284" w:lineRule="auto"/>
        <w:tabs>
          <w:tab w:leader="none" w:pos="1429" w:val="left"/>
        </w:tabs>
        <w:numPr>
          <w:ilvl w:val="1"/>
          <w:numId w:val="82"/>
        </w:numPr>
        <w:rPr>
          <w:rFonts w:ascii="Arial" w:cs="Arial" w:eastAsia="Arial" w:hAnsi="Arial"/>
          <w:sz w:val="16"/>
          <w:szCs w:val="16"/>
          <w:color w:val="auto"/>
        </w:rPr>
      </w:pPr>
      <w:r>
        <w:rPr>
          <w:rFonts w:ascii="Arial" w:cs="Arial" w:eastAsia="Arial" w:hAnsi="Arial"/>
          <w:sz w:val="16"/>
          <w:szCs w:val="16"/>
          <w:color w:val="auto"/>
        </w:rPr>
        <w:t>If the Company is required to prepare an accounting restatement due to the material noncompliance of the Company, as a result of misconduct, with any financial reporting requirement under the securities laws,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w:t>
      </w:r>
    </w:p>
    <w:p>
      <w:pPr>
        <w:spacing w:after="0" w:line="2" w:lineRule="exact"/>
        <w:rPr>
          <w:rFonts w:ascii="Arial" w:cs="Arial" w:eastAsia="Arial" w:hAnsi="Arial"/>
          <w:sz w:val="16"/>
          <w:szCs w:val="16"/>
          <w:color w:val="auto"/>
        </w:rPr>
      </w:pPr>
    </w:p>
    <w:p>
      <w:pPr>
        <w:ind w:left="268" w:hanging="268"/>
        <w:spacing w:after="0"/>
        <w:tabs>
          <w:tab w:leader="none" w:pos="268"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any profits realized by such Participant from the sale of securities of the Company during such twelve- (12-) month period.</w:t>
      </w:r>
    </w:p>
    <w:p>
      <w:pPr>
        <w:spacing w:after="0" w:line="178" w:lineRule="exact"/>
        <w:rPr>
          <w:sz w:val="20"/>
          <w:szCs w:val="20"/>
          <w:color w:val="auto"/>
        </w:rPr>
      </w:pPr>
    </w:p>
    <w:p>
      <w:pPr>
        <w:ind w:left="8" w:right="299" w:firstLine="778"/>
        <w:spacing w:after="0" w:line="282" w:lineRule="auto"/>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b w:val="1"/>
          <w:bCs w:val="1"/>
          <w:color w:val="auto"/>
        </w:rPr>
        <w:t>Provision of Information.</w:t>
      </w:r>
      <w:r>
        <w:rPr>
          <w:rFonts w:ascii="Arial" w:cs="Arial" w:eastAsia="Arial" w:hAnsi="Arial"/>
          <w:sz w:val="18"/>
          <w:szCs w:val="18"/>
          <w:color w:val="auto"/>
        </w:rPr>
        <w:t xml:space="preserve"> Each Participant shall be given access to information concerning the Company equivalent to that information generally made available to the Company’s common stockholders.</w:t>
      </w:r>
    </w:p>
    <w:p>
      <w:pPr>
        <w:spacing w:after="0" w:line="121" w:lineRule="exact"/>
        <w:rPr>
          <w:sz w:val="20"/>
          <w:szCs w:val="20"/>
          <w:color w:val="auto"/>
        </w:rPr>
      </w:pPr>
    </w:p>
    <w:p>
      <w:pPr>
        <w:ind w:left="8" w:right="179" w:firstLine="778"/>
        <w:spacing w:after="0" w:line="255"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color w:val="auto"/>
        </w:rPr>
        <w:t>Rights as Employee, Consultant or Director.</w:t>
      </w:r>
      <w:r>
        <w:rPr>
          <w:rFonts w:ascii="Arial" w:cs="Arial" w:eastAsia="Arial" w:hAnsi="Arial"/>
          <w:sz w:val="18"/>
          <w:szCs w:val="18"/>
          <w:color w:val="auto"/>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162" w:lineRule="exact"/>
        <w:rPr>
          <w:sz w:val="20"/>
          <w:szCs w:val="20"/>
          <w:color w:val="auto"/>
        </w:rPr>
      </w:pPr>
    </w:p>
    <w:p>
      <w:pPr>
        <w:ind w:left="8" w:right="299" w:firstLine="778"/>
        <w:spacing w:after="0" w:line="303" w:lineRule="auto"/>
        <w:rPr>
          <w:sz w:val="20"/>
          <w:szCs w:val="20"/>
          <w:color w:val="auto"/>
        </w:rPr>
      </w:pPr>
      <w:r>
        <w:rPr>
          <w:rFonts w:ascii="Arial" w:cs="Arial" w:eastAsia="Arial" w:hAnsi="Arial"/>
          <w:sz w:val="16"/>
          <w:szCs w:val="16"/>
          <w:color w:val="auto"/>
        </w:rPr>
        <w:t xml:space="preserve">19.5 </w:t>
      </w:r>
      <w:r>
        <w:rPr>
          <w:rFonts w:ascii="Arial" w:cs="Arial" w:eastAsia="Arial" w:hAnsi="Arial"/>
          <w:sz w:val="16"/>
          <w:szCs w:val="16"/>
          <w:b w:val="1"/>
          <w:bCs w:val="1"/>
          <w:color w:val="auto"/>
        </w:rPr>
        <w:t>Rights as a Stockholder.</w:t>
      </w:r>
      <w:r>
        <w:rPr>
          <w:rFonts w:ascii="Arial" w:cs="Arial" w:eastAsia="Arial" w:hAnsi="Arial"/>
          <w:sz w:val="16"/>
          <w:szCs w:val="16"/>
          <w:color w:val="auto"/>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4.4 or another provision of the Plan.</w:t>
      </w:r>
    </w:p>
    <w:p>
      <w:pPr>
        <w:spacing w:after="0" w:line="200" w:lineRule="exact"/>
        <w:rPr>
          <w:sz w:val="20"/>
          <w:szCs w:val="20"/>
          <w:color w:val="auto"/>
        </w:rPr>
      </w:pPr>
    </w:p>
    <w:p>
      <w:pPr>
        <w:spacing w:after="0" w:line="306"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78" w:name="page79"/>
    <w:bookmarkEnd w:id="78"/>
    <w:p>
      <w:pPr>
        <w:ind w:right="219" w:firstLine="778"/>
        <w:spacing w:after="0" w:line="277" w:lineRule="auto"/>
        <w:rPr>
          <w:sz w:val="20"/>
          <w:szCs w:val="20"/>
          <w:color w:val="auto"/>
        </w:rPr>
      </w:pPr>
      <w:r>
        <w:rPr>
          <w:rFonts w:ascii="Arial" w:cs="Arial" w:eastAsia="Arial" w:hAnsi="Arial"/>
          <w:sz w:val="17"/>
          <w:szCs w:val="17"/>
          <w:color w:val="auto"/>
        </w:rPr>
        <w:t xml:space="preserve">19.6 </w:t>
      </w:r>
      <w:r>
        <w:rPr>
          <w:rFonts w:ascii="Arial" w:cs="Arial" w:eastAsia="Arial" w:hAnsi="Arial"/>
          <w:sz w:val="17"/>
          <w:szCs w:val="17"/>
          <w:b w:val="1"/>
          <w:bCs w:val="1"/>
          <w:color w:val="auto"/>
        </w:rPr>
        <w:t>Delivery of Title to Shares.</w:t>
      </w:r>
      <w:r>
        <w:rPr>
          <w:rFonts w:ascii="Arial" w:cs="Arial" w:eastAsia="Arial" w:hAnsi="Arial"/>
          <w:sz w:val="17"/>
          <w:szCs w:val="17"/>
          <w:color w:val="auto"/>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141" w:lineRule="exact"/>
        <w:rPr>
          <w:sz w:val="20"/>
          <w:szCs w:val="20"/>
          <w:color w:val="auto"/>
        </w:rPr>
      </w:pPr>
    </w:p>
    <w:p>
      <w:pPr>
        <w:ind w:right="459" w:firstLine="778"/>
        <w:spacing w:after="0" w:line="282" w:lineRule="auto"/>
        <w:rPr>
          <w:sz w:val="20"/>
          <w:szCs w:val="20"/>
          <w:color w:val="auto"/>
        </w:rPr>
      </w:pPr>
      <w:r>
        <w:rPr>
          <w:rFonts w:ascii="Arial" w:cs="Arial" w:eastAsia="Arial" w:hAnsi="Arial"/>
          <w:sz w:val="18"/>
          <w:szCs w:val="18"/>
          <w:color w:val="auto"/>
        </w:rPr>
        <w:t xml:space="preserve">19.7 </w:t>
      </w:r>
      <w:r>
        <w:rPr>
          <w:rFonts w:ascii="Arial" w:cs="Arial" w:eastAsia="Arial" w:hAnsi="Arial"/>
          <w:sz w:val="18"/>
          <w:szCs w:val="18"/>
          <w:b w:val="1"/>
          <w:bCs w:val="1"/>
          <w:color w:val="auto"/>
        </w:rPr>
        <w:t>Fractional Shares.</w:t>
      </w:r>
      <w:r>
        <w:rPr>
          <w:rFonts w:ascii="Arial" w:cs="Arial" w:eastAsia="Arial" w:hAnsi="Arial"/>
          <w:sz w:val="18"/>
          <w:szCs w:val="18"/>
          <w:color w:val="auto"/>
        </w:rPr>
        <w:t xml:space="preserve"> The Company shall not be required to issue fractional shares upon the exercise or settlement of any Award.</w:t>
      </w:r>
    </w:p>
    <w:p>
      <w:pPr>
        <w:spacing w:after="0" w:line="121" w:lineRule="exact"/>
        <w:rPr>
          <w:sz w:val="20"/>
          <w:szCs w:val="20"/>
          <w:color w:val="auto"/>
        </w:rPr>
      </w:pPr>
    </w:p>
    <w:p>
      <w:pPr>
        <w:ind w:right="299" w:firstLine="778"/>
        <w:spacing w:after="0" w:line="281" w:lineRule="auto"/>
        <w:rPr>
          <w:sz w:val="20"/>
          <w:szCs w:val="20"/>
          <w:color w:val="auto"/>
        </w:rPr>
      </w:pPr>
      <w:r>
        <w:rPr>
          <w:rFonts w:ascii="Arial" w:cs="Arial" w:eastAsia="Arial" w:hAnsi="Arial"/>
          <w:sz w:val="17"/>
          <w:szCs w:val="17"/>
          <w:color w:val="auto"/>
        </w:rPr>
        <w:t xml:space="preserve">19.8 </w:t>
      </w:r>
      <w:r>
        <w:rPr>
          <w:rFonts w:ascii="Arial" w:cs="Arial" w:eastAsia="Arial" w:hAnsi="Arial"/>
          <w:sz w:val="17"/>
          <w:szCs w:val="17"/>
          <w:b w:val="1"/>
          <w:bCs w:val="1"/>
          <w:color w:val="auto"/>
        </w:rPr>
        <w:t>Retirement and Welfare Plans</w:t>
      </w:r>
      <w:r>
        <w:rPr>
          <w:rFonts w:ascii="Arial" w:cs="Arial" w:eastAsia="Arial" w:hAnsi="Arial"/>
          <w:sz w:val="17"/>
          <w:szCs w:val="17"/>
          <w:color w:val="auto"/>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w:t>
      </w:r>
    </w:p>
    <w:p>
      <w:pPr>
        <w:spacing w:after="0" w:line="124" w:lineRule="exact"/>
        <w:rPr>
          <w:sz w:val="20"/>
          <w:szCs w:val="20"/>
          <w:color w:val="auto"/>
        </w:rPr>
      </w:pPr>
    </w:p>
    <w:p>
      <w:pPr>
        <w:ind w:right="219" w:firstLine="778"/>
        <w:spacing w:after="0" w:line="272" w:lineRule="auto"/>
        <w:rPr>
          <w:sz w:val="20"/>
          <w:szCs w:val="20"/>
          <w:color w:val="auto"/>
        </w:rPr>
      </w:pPr>
      <w:r>
        <w:rPr>
          <w:rFonts w:ascii="Arial" w:cs="Arial" w:eastAsia="Arial" w:hAnsi="Arial"/>
          <w:sz w:val="17"/>
          <w:szCs w:val="17"/>
          <w:color w:val="auto"/>
        </w:rPr>
        <w:t xml:space="preserve">19.9 </w:t>
      </w:r>
      <w:r>
        <w:rPr>
          <w:rFonts w:ascii="Arial" w:cs="Arial" w:eastAsia="Arial" w:hAnsi="Arial"/>
          <w:sz w:val="17"/>
          <w:szCs w:val="17"/>
          <w:b w:val="1"/>
          <w:bCs w:val="1"/>
          <w:color w:val="auto"/>
        </w:rPr>
        <w:t>Beneficiary Designation.</w:t>
      </w:r>
      <w:r>
        <w:rPr>
          <w:rFonts w:ascii="Arial" w:cs="Arial" w:eastAsia="Arial" w:hAnsi="Arial"/>
          <w:sz w:val="17"/>
          <w:szCs w:val="17"/>
          <w:color w:val="auto"/>
        </w:rPr>
        <w:t xml:space="preserve">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145" w:lineRule="exact"/>
        <w:rPr>
          <w:sz w:val="20"/>
          <w:szCs w:val="20"/>
          <w:color w:val="auto"/>
        </w:rPr>
      </w:pPr>
    </w:p>
    <w:p>
      <w:pPr>
        <w:ind w:right="359" w:firstLine="778"/>
        <w:spacing w:after="0" w:line="314" w:lineRule="auto"/>
        <w:rPr>
          <w:sz w:val="20"/>
          <w:szCs w:val="20"/>
          <w:color w:val="auto"/>
        </w:rPr>
      </w:pPr>
      <w:r>
        <w:rPr>
          <w:rFonts w:ascii="Arial" w:cs="Arial" w:eastAsia="Arial" w:hAnsi="Arial"/>
          <w:sz w:val="16"/>
          <w:szCs w:val="16"/>
          <w:color w:val="auto"/>
        </w:rPr>
        <w:t xml:space="preserve">19.10 </w:t>
      </w:r>
      <w:r>
        <w:rPr>
          <w:rFonts w:ascii="Arial" w:cs="Arial" w:eastAsia="Arial" w:hAnsi="Arial"/>
          <w:sz w:val="16"/>
          <w:szCs w:val="16"/>
          <w:b w:val="1"/>
          <w:bCs w:val="1"/>
          <w:color w:val="auto"/>
        </w:rPr>
        <w:t>Severability</w:t>
      </w:r>
      <w:r>
        <w:rPr>
          <w:rFonts w:ascii="Arial" w:cs="Arial" w:eastAsia="Arial" w:hAnsi="Arial"/>
          <w:sz w:val="16"/>
          <w:szCs w:val="16"/>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102" w:lineRule="exact"/>
        <w:rPr>
          <w:sz w:val="20"/>
          <w:szCs w:val="20"/>
          <w:color w:val="auto"/>
        </w:rPr>
      </w:pPr>
    </w:p>
    <w:p>
      <w:pPr>
        <w:ind w:right="199" w:firstLine="778"/>
        <w:spacing w:after="0" w:line="258" w:lineRule="auto"/>
        <w:rPr>
          <w:sz w:val="20"/>
          <w:szCs w:val="20"/>
          <w:color w:val="auto"/>
        </w:rPr>
      </w:pPr>
      <w:r>
        <w:rPr>
          <w:rFonts w:ascii="Arial" w:cs="Arial" w:eastAsia="Arial" w:hAnsi="Arial"/>
          <w:sz w:val="18"/>
          <w:szCs w:val="18"/>
          <w:color w:val="auto"/>
        </w:rPr>
        <w:t xml:space="preserve">19.11 </w:t>
      </w:r>
      <w:r>
        <w:rPr>
          <w:rFonts w:ascii="Arial" w:cs="Arial" w:eastAsia="Arial" w:hAnsi="Arial"/>
          <w:sz w:val="18"/>
          <w:szCs w:val="18"/>
          <w:b w:val="1"/>
          <w:bCs w:val="1"/>
          <w:color w:val="auto"/>
        </w:rPr>
        <w:t>No Constraint on Corporate Action.</w:t>
      </w:r>
      <w:r>
        <w:rPr>
          <w:rFonts w:ascii="Arial" w:cs="Arial" w:eastAsia="Arial" w:hAnsi="Arial"/>
          <w:sz w:val="18"/>
          <w:szCs w:val="18"/>
          <w:color w:val="auto"/>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9" w:name="page80"/>
    <w:bookmarkEnd w:id="79"/>
    <w:p>
      <w:pPr>
        <w:ind w:right="199" w:firstLine="778"/>
        <w:spacing w:after="0" w:line="289" w:lineRule="auto"/>
        <w:rPr>
          <w:sz w:val="20"/>
          <w:szCs w:val="20"/>
          <w:color w:val="auto"/>
        </w:rPr>
      </w:pPr>
      <w:r>
        <w:rPr>
          <w:rFonts w:ascii="Arial" w:cs="Arial" w:eastAsia="Arial" w:hAnsi="Arial"/>
          <w:sz w:val="16"/>
          <w:szCs w:val="16"/>
          <w:color w:val="auto"/>
        </w:rPr>
        <w:t xml:space="preserve">19.12 </w:t>
      </w:r>
      <w:r>
        <w:rPr>
          <w:rFonts w:ascii="Arial" w:cs="Arial" w:eastAsia="Arial" w:hAnsi="Arial"/>
          <w:sz w:val="16"/>
          <w:szCs w:val="16"/>
          <w:b w:val="1"/>
          <w:bCs w:val="1"/>
          <w:color w:val="auto"/>
        </w:rPr>
        <w:t>Unfunded Obligation.</w:t>
      </w:r>
      <w:r>
        <w:rPr>
          <w:rFonts w:ascii="Arial" w:cs="Arial" w:eastAsia="Arial" w:hAnsi="Arial"/>
          <w:sz w:val="16"/>
          <w:szCs w:val="16"/>
          <w:color w:val="auto"/>
        </w:rPr>
        <w:t xml:space="preserve">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134" w:lineRule="exact"/>
        <w:rPr>
          <w:sz w:val="20"/>
          <w:szCs w:val="20"/>
          <w:color w:val="auto"/>
        </w:rPr>
      </w:pPr>
    </w:p>
    <w:p>
      <w:pPr>
        <w:ind w:right="239" w:firstLine="778"/>
        <w:spacing w:after="0" w:line="266" w:lineRule="auto"/>
        <w:rPr>
          <w:sz w:val="20"/>
          <w:szCs w:val="20"/>
          <w:color w:val="auto"/>
        </w:rPr>
      </w:pPr>
      <w:r>
        <w:rPr>
          <w:rFonts w:ascii="Arial" w:cs="Arial" w:eastAsia="Arial" w:hAnsi="Arial"/>
          <w:sz w:val="18"/>
          <w:szCs w:val="18"/>
          <w:color w:val="auto"/>
        </w:rPr>
        <w:t xml:space="preserve">19.13 </w:t>
      </w:r>
      <w:r>
        <w:rPr>
          <w:rFonts w:ascii="Arial" w:cs="Arial" w:eastAsia="Arial" w:hAnsi="Arial"/>
          <w:sz w:val="18"/>
          <w:szCs w:val="18"/>
          <w:b w:val="1"/>
          <w:bCs w:val="1"/>
          <w:color w:val="auto"/>
        </w:rPr>
        <w:t>Choice of Law.</w:t>
      </w:r>
      <w:r>
        <w:rPr>
          <w:rFonts w:ascii="Arial" w:cs="Arial" w:eastAsia="Arial" w:hAnsi="Arial"/>
          <w:sz w:val="18"/>
          <w:szCs w:val="18"/>
          <w:color w:val="auto"/>
        </w:rPr>
        <w:t xml:space="preserve"> Except to the extent governed by applicable federal law, the validity, interpretation, construction and performance of the Plan and each Award Agreement shall be governed by the laws of the State of Arizona, without regard to its conflict of law rules.</w:t>
      </w:r>
    </w:p>
    <w:p>
      <w:pPr>
        <w:spacing w:after="0" w:line="140" w:lineRule="exact"/>
        <w:rPr>
          <w:sz w:val="20"/>
          <w:szCs w:val="20"/>
          <w:color w:val="auto"/>
        </w:rPr>
      </w:pPr>
    </w:p>
    <w:p>
      <w:pPr>
        <w:jc w:val="both"/>
        <w:ind w:right="339" w:firstLine="389"/>
        <w:spacing w:after="0" w:line="264" w:lineRule="auto"/>
        <w:rPr>
          <w:sz w:val="20"/>
          <w:szCs w:val="20"/>
          <w:color w:val="auto"/>
        </w:rPr>
      </w:pPr>
      <w:r>
        <w:rPr>
          <w:rFonts w:ascii="Arial" w:cs="Arial" w:eastAsia="Arial" w:hAnsi="Arial"/>
          <w:sz w:val="18"/>
          <w:szCs w:val="18"/>
          <w:color w:val="auto"/>
        </w:rPr>
        <w:t>IN WITNESS WHEREOF, the undersigned Secretary of the Company certifies that the foregoing sets forth the Grand Canyon Education, Inc. 2008 Equity Incentive Plan as duly adopted by the Board on September 26, 2008 and as amended through March 24, 2011.</w:t>
      </w:r>
    </w:p>
    <w:p>
      <w:pPr>
        <w:spacing w:after="0" w:line="18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 Christopher C. Richardson</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Christopher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9879"/>
          </w:cols>
          <w:pgMar w:left="580" w:top="932" w:right="1440" w:bottom="1440" w:gutter="0" w:footer="0" w:header="0"/>
        </w:sectPr>
      </w:pPr>
    </w:p>
    <w:bookmarkStart w:id="80" w:name="page81"/>
    <w:bookmarkEnd w:id="80"/>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 I have reviewed this Quarterly Report on Form 10-Q for the quarter ending September 30, 2011 of Grand Canyon Education,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70" w:lineRule="exact"/>
        <w:rPr>
          <w:sz w:val="20"/>
          <w:szCs w:val="20"/>
          <w:color w:val="auto"/>
        </w:rPr>
      </w:pPr>
    </w:p>
    <w:p>
      <w:pPr>
        <w:jc w:val="both"/>
        <w:ind w:right="459" w:firstLine="381"/>
        <w:spacing w:after="0" w:line="264" w:lineRule="auto"/>
        <w:tabs>
          <w:tab w:leader="none" w:pos="569"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339" w:firstLine="381"/>
        <w:spacing w:after="0" w:line="264" w:lineRule="auto"/>
        <w:tabs>
          <w:tab w:leader="none" w:pos="569"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479" w:firstLine="381"/>
        <w:spacing w:after="0" w:line="264" w:lineRule="auto"/>
        <w:tabs>
          <w:tab w:leader="none" w:pos="56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479" w:firstLine="770"/>
        <w:spacing w:after="0" w:line="312" w:lineRule="auto"/>
        <w:tabs>
          <w:tab w:leader="none" w:pos="963" w:val="left"/>
        </w:tabs>
        <w:numPr>
          <w:ilvl w:val="1"/>
          <w:numId w:val="8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299" w:firstLine="770"/>
        <w:spacing w:after="0" w:line="286" w:lineRule="auto"/>
        <w:tabs>
          <w:tab w:leader="none" w:pos="973" w:val="left"/>
        </w:tabs>
        <w:numPr>
          <w:ilvl w:val="1"/>
          <w:numId w:val="8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299" w:firstLine="770"/>
        <w:spacing w:after="0" w:line="264" w:lineRule="auto"/>
        <w:tabs>
          <w:tab w:leader="none" w:pos="963"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259" w:firstLine="770"/>
        <w:spacing w:after="0" w:line="286" w:lineRule="auto"/>
        <w:tabs>
          <w:tab w:leader="none" w:pos="973" w:val="left"/>
        </w:tabs>
        <w:numPr>
          <w:ilvl w:val="1"/>
          <w:numId w:val="8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right="219" w:firstLine="381"/>
        <w:spacing w:after="0" w:line="264" w:lineRule="auto"/>
        <w:tabs>
          <w:tab w:leader="none" w:pos="56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179" w:firstLine="770"/>
        <w:spacing w:after="0" w:line="264" w:lineRule="auto"/>
        <w:tabs>
          <w:tab w:leader="none" w:pos="963"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59" w:firstLine="770"/>
        <w:spacing w:after="0" w:line="277" w:lineRule="auto"/>
        <w:tabs>
          <w:tab w:leader="none" w:pos="973"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November 14,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79"/>
          </w:cols>
          <w:pgMar w:left="580" w:top="121" w:right="1440" w:bottom="1440" w:gutter="0" w:footer="0" w:header="0"/>
        </w:sectPr>
      </w:pPr>
    </w:p>
    <w:bookmarkStart w:id="81" w:name="page82"/>
    <w:bookmarkEnd w:id="81"/>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 I have reviewed this Quarterly Report on Form 10-Q for the quarter ending September 30, 2011 of Grand Canyon Education,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70" w:lineRule="exact"/>
        <w:rPr>
          <w:sz w:val="20"/>
          <w:szCs w:val="20"/>
          <w:color w:val="auto"/>
        </w:rPr>
      </w:pPr>
    </w:p>
    <w:p>
      <w:pPr>
        <w:jc w:val="both"/>
        <w:ind w:right="459" w:firstLine="381"/>
        <w:spacing w:after="0" w:line="264" w:lineRule="auto"/>
        <w:tabs>
          <w:tab w:leader="none" w:pos="569"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339" w:firstLine="381"/>
        <w:spacing w:after="0" w:line="264" w:lineRule="auto"/>
        <w:tabs>
          <w:tab w:leader="none" w:pos="569"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479" w:firstLine="381"/>
        <w:spacing w:after="0" w:line="264" w:lineRule="auto"/>
        <w:tabs>
          <w:tab w:leader="none" w:pos="56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479" w:firstLine="770"/>
        <w:spacing w:after="0" w:line="312" w:lineRule="auto"/>
        <w:tabs>
          <w:tab w:leader="none" w:pos="963" w:val="left"/>
        </w:tabs>
        <w:numPr>
          <w:ilvl w:val="1"/>
          <w:numId w:val="8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299" w:firstLine="770"/>
        <w:spacing w:after="0" w:line="286" w:lineRule="auto"/>
        <w:tabs>
          <w:tab w:leader="none" w:pos="973" w:val="left"/>
        </w:tabs>
        <w:numPr>
          <w:ilvl w:val="1"/>
          <w:numId w:val="8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299" w:firstLine="770"/>
        <w:spacing w:after="0" w:line="264" w:lineRule="auto"/>
        <w:tabs>
          <w:tab w:leader="none" w:pos="963"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259" w:firstLine="770"/>
        <w:spacing w:after="0" w:line="286" w:lineRule="auto"/>
        <w:tabs>
          <w:tab w:leader="none" w:pos="973" w:val="left"/>
        </w:tabs>
        <w:numPr>
          <w:ilvl w:val="1"/>
          <w:numId w:val="8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right="219" w:firstLine="381"/>
        <w:spacing w:after="0" w:line="264" w:lineRule="auto"/>
        <w:tabs>
          <w:tab w:leader="none" w:pos="56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179" w:firstLine="770"/>
        <w:spacing w:after="0" w:line="264" w:lineRule="auto"/>
        <w:tabs>
          <w:tab w:leader="none" w:pos="963"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59" w:firstLine="770"/>
        <w:spacing w:after="0" w:line="277" w:lineRule="auto"/>
        <w:tabs>
          <w:tab w:leader="none" w:pos="973"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Date: November 14, 2011</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3980" w:type="dxa"/>
            <w:vAlign w:val="bottom"/>
          </w:tcPr>
          <w:p>
            <w:pPr>
              <w:spacing w:after="0"/>
              <w:rPr>
                <w:sz w:val="16"/>
                <w:szCs w:val="16"/>
                <w:color w:val="auto"/>
              </w:rPr>
            </w:pPr>
          </w:p>
        </w:tc>
        <w:tc>
          <w:tcPr>
            <w:tcW w:w="454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9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98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9879"/>
          </w:cols>
          <w:pgMar w:left="580" w:top="121" w:right="1440" w:bottom="1440" w:gutter="0" w:footer="0" w:header="0"/>
        </w:sectPr>
      </w:pPr>
    </w:p>
    <w:bookmarkStart w:id="82" w:name="page83"/>
    <w:bookmarkEnd w:id="82"/>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8" w:right="199" w:firstLine="389"/>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“University”) for the quarter ended September 30, 2011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146" w:lineRule="exact"/>
        <w:rPr>
          <w:sz w:val="20"/>
          <w:szCs w:val="20"/>
          <w:color w:val="auto"/>
        </w:rPr>
      </w:pPr>
    </w:p>
    <w:p>
      <w:pPr>
        <w:ind w:left="388" w:right="299" w:hanging="388"/>
        <w:spacing w:after="0" w:line="277" w:lineRule="auto"/>
        <w:tabs>
          <w:tab w:leader="none" w:pos="38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88" w:right="299" w:hanging="388"/>
        <w:spacing w:after="0" w:line="277" w:lineRule="auto"/>
        <w:tabs>
          <w:tab w:leader="none" w:pos="38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University.</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November 14, 2011</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4701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9887"/>
          </w:cols>
          <w:pgMar w:left="572" w:top="121" w:right="1440" w:bottom="1440" w:gutter="0" w:footer="0" w:header="0"/>
        </w:sectPr>
      </w:pPr>
    </w:p>
    <w:bookmarkStart w:id="83" w:name="page84"/>
    <w:bookmarkEnd w:id="83"/>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8" w:right="259" w:firstLine="389"/>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“University”) for the quarter ended September 30, 2011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146" w:lineRule="exact"/>
        <w:rPr>
          <w:sz w:val="20"/>
          <w:szCs w:val="20"/>
          <w:color w:val="auto"/>
        </w:rPr>
      </w:pPr>
    </w:p>
    <w:p>
      <w:pPr>
        <w:ind w:left="388" w:right="299" w:hanging="388"/>
        <w:spacing w:after="0" w:line="277" w:lineRule="auto"/>
        <w:tabs>
          <w:tab w:leader="none" w:pos="38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88" w:right="299" w:hanging="388"/>
        <w:spacing w:after="0" w:line="277" w:lineRule="auto"/>
        <w:tabs>
          <w:tab w:leader="none" w:pos="38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University.</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November 14, 2011</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5934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Financial Officer (Principal Financial and Principal Accounting Officer)</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o"/>
      <w:numFmt w:val="bullet"/>
      <w:start w:val="1"/>
    </w:lvl>
  </w:abstractNum>
  <w:abstractNum w:abstractNumId="2">
    <w:nsid w:val="57E4CCAF"/>
    <w:multiLevelType w:val="hybridMultilevel"/>
    <w:lvl w:ilvl="0">
      <w:lvlJc w:val="left"/>
      <w:lvlText w:val="(%1)"/>
      <w:numFmt w:val="decimal"/>
      <w:start w:val="1"/>
    </w:lvl>
  </w:abstractNum>
  <w:abstractNum w:abstractNumId="3">
    <w:nsid w:val="7A6D8D3C"/>
    <w:multiLevelType w:val="hybridMultilevel"/>
    <w:lvl w:ilvl="0">
      <w:lvlJc w:val="left"/>
      <w:lvlText w:val="(%1)"/>
      <w:numFmt w:val="decimal"/>
      <w:start w:val="1"/>
    </w:lvl>
  </w:abstractNum>
  <w:abstractNum w:abstractNumId="4">
    <w:nsid w:val="4B588F54"/>
    <w:multiLevelType w:val="hybridMultilevel"/>
    <w:lvl w:ilvl="0">
      <w:lvlJc w:val="left"/>
      <w:lvlText w:val="(%1)"/>
      <w:numFmt w:val="decimal"/>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1)"/>
      <w:numFmt w:val="decimal"/>
      <w:start w:val="1"/>
    </w:lvl>
  </w:abstractNum>
  <w:abstractNum w:abstractNumId="10">
    <w:nsid w:val="684A481A"/>
    <w:multiLevelType w:val="hybridMultilevel"/>
    <w:lvl w:ilvl="0">
      <w:lvlJc w:val="left"/>
      <w:lvlText w:val="(%1)"/>
      <w:numFmt w:val="decimal"/>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1."/>
      <w:numFmt w:val="decimal"/>
      <w:start w:val="1"/>
    </w:lvl>
  </w:abstractNum>
  <w:abstractNum w:abstractNumId="18">
    <w:nsid w:val="70C6A529"/>
    <w:multiLevelType w:val="hybridMultilevel"/>
    <w:lvl w:ilvl="0">
      <w:lvlJc w:val="left"/>
      <w:lvlText w:val="%1."/>
      <w:numFmt w:val="decimal"/>
      <w:start w:val="2"/>
    </w:lvl>
  </w:abstractNum>
  <w:abstractNum w:abstractNumId="19">
    <w:nsid w:val="520EEDD1"/>
    <w:multiLevelType w:val="hybridMultilevel"/>
    <w:lvl w:ilvl="0">
      <w:lvlJc w:val="left"/>
      <w:lvlText w:val="(%1)"/>
      <w:numFmt w:val="lowerLetter"/>
      <w:start w:val="1"/>
    </w:lvl>
  </w:abstractNum>
  <w:abstractNum w:abstractNumId="20">
    <w:nsid w:val="374A3FE6"/>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21">
    <w:nsid w:val="4F4EF005"/>
    <w:multiLevelType w:val="hybridMultilevel"/>
    <w:lvl w:ilvl="0">
      <w:lvlJc w:val="left"/>
      <w:lvlText w:val="(%1)"/>
      <w:numFmt w:val="upperLetter"/>
      <w:start w:val="5"/>
    </w:lvl>
    <w:lvl w:ilvl="1">
      <w:lvlJc w:val="left"/>
      <w:lvlText w:val="%2"/>
      <w:numFmt w:val="lowerLetter"/>
      <w:start w:val="1"/>
    </w:lvl>
    <w:lvl w:ilvl="2">
      <w:lvlJc w:val="left"/>
      <w:lvlText w:val="%3"/>
      <w:numFmt w:val="lowerLetter"/>
      <w:start w:val="1"/>
    </w:lvl>
  </w:abstractNum>
  <w:abstractNum w:abstractNumId="22">
    <w:nsid w:val="23F9C13C"/>
    <w:multiLevelType w:val="hybridMultilevel"/>
    <w:lvl w:ilvl="0">
      <w:lvlJc w:val="left"/>
      <w:lvlText w:val="(%1)"/>
      <w:numFmt w:val="lowerRoman"/>
      <w:start w:val="2"/>
    </w:lvl>
  </w:abstractNum>
  <w:abstractNum w:abstractNumId="23">
    <w:nsid w:val="649BB77C"/>
    <w:multiLevelType w:val="hybridMultilevel"/>
    <w:lvl w:ilvl="0">
      <w:lvlJc w:val="left"/>
      <w:lvlText w:val="(%1)"/>
      <w:numFmt w:val="lowerLetter"/>
      <w:start w:val="8"/>
    </w:lvl>
  </w:abstractNum>
  <w:abstractNum w:abstractNumId="24">
    <w:nsid w:val="275AC794"/>
    <w:multiLevelType w:val="hybridMultilevel"/>
    <w:lvl w:ilvl="0">
      <w:lvlJc w:val="left"/>
      <w:lvlText w:val="(%1)"/>
      <w:numFmt w:val="lowerLetter"/>
      <w:start w:val="13"/>
    </w:lvl>
  </w:abstractNum>
  <w:abstractNum w:abstractNumId="25">
    <w:nsid w:val="39386575"/>
    <w:multiLevelType w:val="hybridMultilevel"/>
    <w:lvl w:ilvl="0">
      <w:lvlJc w:val="left"/>
      <w:lvlText w:val="(%1)"/>
      <w:numFmt w:val="lowerLetter"/>
      <w:start w:val="15"/>
    </w:lvl>
    <w:lvl w:ilvl="1">
      <w:lvlJc w:val="left"/>
      <w:lvlText w:val="(%2)"/>
      <w:numFmt w:val="lowerLetter"/>
      <w:start w:val="9"/>
    </w:lvl>
  </w:abstractNum>
  <w:abstractNum w:abstractNumId="26">
    <w:nsid w:val="1CF10FD8"/>
    <w:multiLevelType w:val="hybridMultilevel"/>
    <w:lvl w:ilvl="0">
      <w:lvlJc w:val="left"/>
      <w:lvlText w:val="%1"/>
      <w:numFmt w:val="lowerLetter"/>
      <w:start w:val="1"/>
    </w:lvl>
    <w:lvl w:ilvl="1">
      <w:lvlJc w:val="left"/>
      <w:lvlText w:val="(%2)"/>
      <w:numFmt w:val="lowerRoman"/>
      <w:start w:val="2"/>
    </w:lvl>
  </w:abstractNum>
  <w:abstractNum w:abstractNumId="27">
    <w:nsid w:val="180115BE"/>
    <w:multiLevelType w:val="hybridMultilevel"/>
    <w:lvl w:ilvl="0">
      <w:lvlJc w:val="left"/>
      <w:lvlText w:val="(%1)"/>
      <w:numFmt w:val="lowerLetter"/>
      <w:start w:val="19"/>
    </w:lvl>
    <w:lvl w:ilvl="1">
      <w:lvlJc w:val="left"/>
      <w:lvlText w:val="%2"/>
      <w:numFmt w:val="lowerRoman"/>
      <w:start w:val="1"/>
    </w:lvl>
  </w:abstractNum>
  <w:abstractNum w:abstractNumId="28">
    <w:nsid w:val="235BA861"/>
    <w:multiLevelType w:val="hybridMultilevel"/>
    <w:lvl w:ilvl="0">
      <w:lvlJc w:val="left"/>
      <w:lvlText w:val="(%1)"/>
      <w:numFmt w:val="lowerLetter"/>
      <w:start w:val="24"/>
    </w:lvl>
  </w:abstractNum>
  <w:abstractNum w:abstractNumId="29">
    <w:nsid w:val="47398C89"/>
    <w:multiLevelType w:val="hybridMultilevel"/>
    <w:lvl w:ilvl="0">
      <w:lvlJc w:val="left"/>
      <w:lvlText w:val="(%1)"/>
      <w:numFmt w:val="lowerLetter"/>
      <w:start w:val="27"/>
    </w:lvl>
  </w:abstractNum>
  <w:abstractNum w:abstractNumId="30">
    <w:nsid w:val="354FE9F9"/>
    <w:multiLevelType w:val="hybridMultilevel"/>
    <w:lvl w:ilvl="0">
      <w:lvlJc w:val="left"/>
      <w:lvlText w:val="(%1)"/>
      <w:numFmt w:val="lowerLetter"/>
      <w:start w:val="30"/>
    </w:lvl>
  </w:abstractNum>
  <w:abstractNum w:abstractNumId="31">
    <w:nsid w:val="15B5AF5C"/>
    <w:multiLevelType w:val="hybridMultilevel"/>
    <w:lvl w:ilvl="0">
      <w:lvlJc w:val="left"/>
      <w:lvlText w:val="(%1)"/>
      <w:numFmt w:val="lowerLetter"/>
      <w:start w:val="37"/>
    </w:lvl>
  </w:abstractNum>
  <w:abstractNum w:abstractNumId="32">
    <w:nsid w:val="741226BB"/>
    <w:multiLevelType w:val="hybridMultilevel"/>
    <w:lvl w:ilvl="0">
      <w:lvlJc w:val="left"/>
      <w:lvlText w:val="(%1)"/>
      <w:numFmt w:val="lowerLetter"/>
      <w:start w:val="47"/>
    </w:lvl>
  </w:abstractNum>
  <w:abstractNum w:abstractNumId="33">
    <w:nsid w:val="D34B6A8"/>
    <w:multiLevelType w:val="hybridMultilevel"/>
    <w:lvl w:ilvl="0">
      <w:lvlJc w:val="left"/>
      <w:lvlText w:val="(%1)"/>
      <w:numFmt w:val="lowerLetter"/>
      <w:start w:val="51"/>
    </w:lvl>
  </w:abstractNum>
  <w:abstractNum w:abstractNumId="34">
    <w:nsid w:val="10233C99"/>
    <w:multiLevelType w:val="hybridMultilevel"/>
    <w:lvl w:ilvl="0">
      <w:lvlJc w:val="left"/>
      <w:lvlText w:val="(%1)"/>
      <w:numFmt w:val="lowerLetter"/>
      <w:start w:val="54"/>
    </w:lvl>
  </w:abstractNum>
  <w:abstractNum w:abstractNumId="35">
    <w:nsid w:val="3F6AB60F"/>
    <w:multiLevelType w:val="hybridMultilevel"/>
    <w:lvl w:ilvl="0">
      <w:lvlJc w:val="left"/>
      <w:lvlText w:val="%1."/>
      <w:numFmt w:val="decimal"/>
      <w:start w:val="3"/>
    </w:lvl>
  </w:abstractNum>
  <w:abstractNum w:abstractNumId="36">
    <w:nsid w:val="61574095"/>
    <w:multiLevelType w:val="hybridMultilevel"/>
    <w:lvl w:ilvl="0">
      <w:lvlJc w:val="left"/>
      <w:lvlText w:val="(%1)"/>
      <w:numFmt w:val="lowerLetter"/>
      <w:start w:val="1"/>
    </w:lvl>
  </w:abstractNum>
  <w:abstractNum w:abstractNumId="37">
    <w:nsid w:val="7E0C57B1"/>
    <w:multiLevelType w:val="hybridMultilevel"/>
    <w:lvl w:ilvl="0">
      <w:lvlJc w:val="left"/>
      <w:lvlText w:val="%1"/>
      <w:numFmt w:val="lowerLetter"/>
      <w:start w:val="1"/>
    </w:lvl>
    <w:lvl w:ilvl="1">
      <w:lvlJc w:val="left"/>
      <w:lvlText w:val="(%2)"/>
      <w:numFmt w:val="lowerLetter"/>
      <w:start w:val="2"/>
    </w:lvl>
  </w:abstractNum>
  <w:abstractNum w:abstractNumId="38">
    <w:nsid w:val="77AE35EB"/>
    <w:multiLevelType w:val="hybridMultilevel"/>
    <w:lvl w:ilvl="0">
      <w:lvlJc w:val="left"/>
      <w:lvlText w:val="(%1)"/>
      <w:numFmt w:val="lowerLetter"/>
      <w:start w:val="35"/>
    </w:lvl>
    <w:lvl w:ilvl="1">
      <w:lvlJc w:val="left"/>
      <w:lvlText w:val="(%2)"/>
      <w:numFmt w:val="lowerLetter"/>
      <w:start w:val="5"/>
    </w:lvl>
  </w:abstractNum>
  <w:abstractNum w:abstractNumId="39">
    <w:nsid w:val="579BE4F1"/>
    <w:multiLevelType w:val="hybridMultilevel"/>
    <w:lvl w:ilvl="0">
      <w:lvlJc w:val="left"/>
      <w:lvlText w:val="%1."/>
      <w:numFmt w:val="decimal"/>
      <w:start w:val="4"/>
    </w:lvl>
  </w:abstractNum>
  <w:abstractNum w:abstractNumId="40">
    <w:nsid w:val="310C50B3"/>
    <w:multiLevelType w:val="hybridMultilevel"/>
    <w:lvl w:ilvl="0">
      <w:lvlJc w:val="left"/>
      <w:lvlText w:val="%1."/>
      <w:numFmt w:val="decimal"/>
      <w:start w:val="5"/>
    </w:lvl>
  </w:abstractNum>
  <w:abstractNum w:abstractNumId="41">
    <w:nsid w:val="5FF87E05"/>
    <w:multiLevelType w:val="hybridMultilevel"/>
    <w:lvl w:ilvl="0">
      <w:lvlJc w:val="left"/>
      <w:lvlText w:val="(%1)"/>
      <w:numFmt w:val="lowerLetter"/>
      <w:start w:val="1"/>
    </w:lvl>
  </w:abstractNum>
  <w:abstractNum w:abstractNumId="42">
    <w:nsid w:val="2F305DEF"/>
    <w:multiLevelType w:val="hybridMultilevel"/>
    <w:lvl w:ilvl="0">
      <w:lvlJc w:val="left"/>
      <w:lvlText w:val="%1."/>
      <w:numFmt w:val="decimal"/>
      <w:start w:val="6"/>
    </w:lvl>
  </w:abstractNum>
  <w:abstractNum w:abstractNumId="43">
    <w:nsid w:val="25A70BF7"/>
    <w:multiLevelType w:val="hybridMultilevel"/>
    <w:lvl w:ilvl="0">
      <w:lvlJc w:val="left"/>
      <w:lvlText w:val="(%1)"/>
      <w:numFmt w:val="decimal"/>
      <w:start w:val="10"/>
    </w:lvl>
  </w:abstractNum>
  <w:abstractNum w:abstractNumId="44">
    <w:nsid w:val="1DBABF00"/>
    <w:multiLevelType w:val="hybridMultilevel"/>
    <w:lvl w:ilvl="0">
      <w:lvlJc w:val="left"/>
      <w:lvlText w:val="(%1)"/>
      <w:numFmt w:val="lowerLetter"/>
      <w:start w:val="1"/>
    </w:lvl>
    <w:lvl w:ilvl="1">
      <w:lvlJc w:val="left"/>
      <w:lvlText w:val="(%2)"/>
      <w:numFmt w:val="lowerLetter"/>
      <w:start w:val="9"/>
    </w:lvl>
  </w:abstractNum>
  <w:abstractNum w:abstractNumId="45">
    <w:nsid w:val="4AD084E9"/>
    <w:multiLevelType w:val="hybridMultilevel"/>
    <w:lvl w:ilvl="0">
      <w:lvlJc w:val="left"/>
      <w:lvlText w:val="(%1)"/>
      <w:numFmt w:val="lowerRoman"/>
      <w:start w:val="2"/>
    </w:lvl>
  </w:abstractNum>
  <w:abstractNum w:abstractNumId="46">
    <w:nsid w:val="1F48EAA1"/>
    <w:multiLevelType w:val="hybridMultilevel"/>
    <w:lvl w:ilvl="0">
      <w:lvlJc w:val="left"/>
      <w:lvlText w:val="(%1)"/>
      <w:numFmt w:val="lowerLetter"/>
      <w:start w:val="1"/>
    </w:lvl>
    <w:lvl w:ilvl="1">
      <w:lvlJc w:val="left"/>
      <w:lvlText w:val="(%2)"/>
      <w:numFmt w:val="lowerRoman"/>
      <w:start w:val="1"/>
    </w:lvl>
  </w:abstractNum>
  <w:abstractNum w:abstractNumId="47">
    <w:nsid w:val="1381823A"/>
    <w:multiLevelType w:val="hybridMultilevel"/>
    <w:lvl w:ilvl="0">
      <w:lvlJc w:val="left"/>
      <w:lvlText w:val="(%1)"/>
      <w:numFmt w:val="lowerLetter"/>
      <w:start w:val="2"/>
    </w:lvl>
  </w:abstractNum>
  <w:abstractNum w:abstractNumId="48">
    <w:nsid w:val="5DB70AE5"/>
    <w:multiLevelType w:val="hybridMultilevel"/>
    <w:lvl w:ilvl="0">
      <w:lvlJc w:val="left"/>
      <w:lvlText w:val="%1."/>
      <w:numFmt w:val="decimal"/>
      <w:start w:val="7"/>
    </w:lvl>
  </w:abstractNum>
  <w:abstractNum w:abstractNumId="49">
    <w:nsid w:val="100F8FCA"/>
    <w:multiLevelType w:val="hybridMultilevel"/>
    <w:lvl w:ilvl="0">
      <w:lvlJc w:val="left"/>
      <w:lvlText w:val="(%1)"/>
      <w:numFmt w:val="lowerLetter"/>
      <w:start w:val="1"/>
    </w:lvl>
  </w:abstractNum>
  <w:abstractNum w:abstractNumId="50">
    <w:nsid w:val="6590700B"/>
    <w:multiLevelType w:val="hybridMultilevel"/>
    <w:lvl w:ilvl="0">
      <w:lvlJc w:val="left"/>
      <w:lvlText w:val="(%1)"/>
      <w:numFmt w:val="lowerLetter"/>
      <w:start w:val="2"/>
    </w:lvl>
  </w:abstractNum>
  <w:abstractNum w:abstractNumId="51">
    <w:nsid w:val="15014ACB"/>
    <w:multiLevelType w:val="hybridMultilevel"/>
    <w:lvl w:ilvl="0">
      <w:lvlJc w:val="left"/>
      <w:lvlText w:val="%1."/>
      <w:numFmt w:val="decimal"/>
      <w:start w:val="8"/>
    </w:lvl>
  </w:abstractNum>
  <w:abstractNum w:abstractNumId="52">
    <w:nsid w:val="5F5E7FD0"/>
    <w:multiLevelType w:val="hybridMultilevel"/>
    <w:lvl w:ilvl="0">
      <w:lvlJc w:val="left"/>
      <w:lvlText w:val="%1."/>
      <w:numFmt w:val="decimal"/>
      <w:start w:val="9"/>
    </w:lvl>
  </w:abstractNum>
  <w:abstractNum w:abstractNumId="53">
    <w:nsid w:val="98A3148"/>
    <w:multiLevelType w:val="hybridMultilevel"/>
    <w:lvl w:ilvl="0">
      <w:lvlJc w:val="left"/>
      <w:lvlText w:val="%1."/>
      <w:numFmt w:val="decimal"/>
      <w:start w:val="10"/>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1)"/>
      <w:numFmt w:val="lowerLetter"/>
      <w:start w:val="1"/>
    </w:lvl>
    <w:lvl w:ilvl="1">
      <w:lvlJc w:val="left"/>
      <w:lvlText w:val="(%2)"/>
      <w:numFmt w:val="lowerRoman"/>
      <w:start w:val="1"/>
    </w:lvl>
  </w:abstractNum>
  <w:abstractNum w:abstractNumId="56">
    <w:nsid w:val="42C296BD"/>
    <w:multiLevelType w:val="hybridMultilevel"/>
    <w:lvl w:ilvl="0">
      <w:lvlJc w:val="left"/>
      <w:lvlText w:val="%1"/>
      <w:numFmt w:val="lowerLetter"/>
      <w:start w:val="1"/>
    </w:lvl>
    <w:lvl w:ilvl="1">
      <w:lvlJc w:val="left"/>
      <w:lvlText w:val="(%2)"/>
      <w:numFmt w:val="lowerRoman"/>
      <w:start w:val="16"/>
    </w:lvl>
  </w:abstractNum>
  <w:abstractNum w:abstractNumId="57">
    <w:nsid w:val="168E121F"/>
    <w:multiLevelType w:val="hybridMultilevel"/>
    <w:lvl w:ilvl="0">
      <w:lvlJc w:val="left"/>
      <w:lvlText w:val="(%1)"/>
      <w:numFmt w:val="lowerLetter"/>
      <w:start w:val="2"/>
    </w:lvl>
    <w:lvl w:ilvl="1">
      <w:lvlJc w:val="left"/>
      <w:lvlText w:val="%2"/>
      <w:numFmt w:val="lowerRoman"/>
      <w:start w:val="1"/>
    </w:lvl>
  </w:abstractNum>
  <w:abstractNum w:abstractNumId="58">
    <w:nsid w:val="1EBA5D23"/>
    <w:multiLevelType w:val="hybridMultilevel"/>
    <w:lvl w:ilvl="0">
      <w:lvlJc w:val="left"/>
      <w:lvlText w:val="(%1)"/>
      <w:numFmt w:val="lowerLetter"/>
      <w:start w:val="1"/>
    </w:lvl>
  </w:abstractNum>
  <w:abstractNum w:abstractNumId="59">
    <w:nsid w:val="661E3F1E"/>
    <w:multiLevelType w:val="hybridMultilevel"/>
    <w:lvl w:ilvl="0">
      <w:lvlJc w:val="left"/>
      <w:lvlText w:val="(%1)"/>
      <w:numFmt w:val="lowerLetter"/>
      <w:start w:val="3"/>
    </w:lvl>
  </w:abstractNum>
  <w:abstractNum w:abstractNumId="60">
    <w:nsid w:val="5DC79EA8"/>
    <w:multiLevelType w:val="hybridMultilevel"/>
    <w:lvl w:ilvl="0">
      <w:lvlJc w:val="left"/>
      <w:lvlText w:val="(%1)"/>
      <w:numFmt w:val="lowerLetter"/>
      <w:start w:val="1"/>
    </w:lvl>
  </w:abstractNum>
  <w:abstractNum w:abstractNumId="61">
    <w:nsid w:val="540A471C"/>
    <w:multiLevelType w:val="hybridMultilevel"/>
    <w:lvl w:ilvl="0">
      <w:lvlJc w:val="left"/>
      <w:lvlText w:val="%1."/>
      <w:numFmt w:val="decimal"/>
      <w:start w:val="11"/>
    </w:lvl>
  </w:abstractNum>
  <w:abstractNum w:abstractNumId="62">
    <w:nsid w:val="7BD3EE7B"/>
    <w:multiLevelType w:val="hybridMultilevel"/>
    <w:lvl w:ilvl="0">
      <w:lvlJc w:val="left"/>
      <w:lvlText w:val="%1."/>
      <w:numFmt w:val="decimal"/>
      <w:start w:val="12"/>
    </w:lvl>
  </w:abstractNum>
  <w:abstractNum w:abstractNumId="63">
    <w:nsid w:val="51D9C564"/>
    <w:multiLevelType w:val="hybridMultilevel"/>
    <w:lvl w:ilvl="0">
      <w:lvlJc w:val="left"/>
      <w:lvlText w:val="%1."/>
      <w:numFmt w:val="decimal"/>
      <w:start w:val="13"/>
    </w:lvl>
  </w:abstractNum>
  <w:abstractNum w:abstractNumId="64">
    <w:nsid w:val="613EFDC5"/>
    <w:multiLevelType w:val="hybridMultilevel"/>
    <w:lvl w:ilvl="0">
      <w:lvlJc w:val="left"/>
      <w:lvlText w:val="%1."/>
      <w:numFmt w:val="decimal"/>
      <w:start w:val="14"/>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1)"/>
      <w:numFmt w:val="lowerLetter"/>
      <w:start w:val="2"/>
    </w:lvl>
  </w:abstractNum>
  <w:abstractNum w:abstractNumId="67">
    <w:nsid w:val="42963E5A"/>
    <w:multiLevelType w:val="hybridMultilevel"/>
    <w:lvl w:ilvl="0">
      <w:lvlJc w:val="left"/>
      <w:lvlText w:val="%1"/>
      <w:numFmt w:val="decimal"/>
      <w:start w:val="1"/>
    </w:lvl>
    <w:lvl w:ilvl="1">
      <w:lvlJc w:val="left"/>
      <w:lvlText w:val="(%2)"/>
      <w:numFmt w:val="lowerLetter"/>
      <w:start w:val="1"/>
    </w:lvl>
  </w:abstractNum>
  <w:abstractNum w:abstractNumId="68">
    <w:nsid w:val="A0382C5"/>
    <w:multiLevelType w:val="hybridMultilevel"/>
    <w:lvl w:ilvl="0">
      <w:lvlJc w:val="left"/>
      <w:lvlText w:val="%1."/>
      <w:numFmt w:val="decimal"/>
      <w:start w:val="15"/>
    </w:lvl>
    <w:lvl w:ilvl="1">
      <w:lvlJc w:val="left"/>
      <w:lvlText w:val="%2"/>
      <w:numFmt w:val="lowerLetter"/>
      <w:start w:val="1"/>
    </w:lvl>
  </w:abstractNum>
  <w:abstractNum w:abstractNumId="69">
    <w:nsid w:val="8F2B15E"/>
    <w:multiLevelType w:val="hybridMultilevel"/>
    <w:lvl w:ilvl="0">
      <w:lvlJc w:val="left"/>
      <w:lvlText w:val="%1."/>
      <w:numFmt w:val="decimal"/>
      <w:start w:val="16"/>
    </w:lvl>
  </w:abstractNum>
  <w:abstractNum w:abstractNumId="70">
    <w:nsid w:val="1A32234B"/>
    <w:multiLevelType w:val="hybridMultilevel"/>
    <w:lvl w:ilvl="0">
      <w:lvlJc w:val="left"/>
      <w:lvlText w:val="%1"/>
      <w:numFmt w:val="lowerLetter"/>
      <w:start w:val="1"/>
    </w:lvl>
    <w:lvl w:ilvl="1">
      <w:lvlJc w:val="left"/>
      <w:lvlText w:val="(%2)"/>
      <w:numFmt w:val="lowerLetter"/>
      <w:start w:val="1"/>
    </w:lvl>
  </w:abstractNum>
  <w:abstractNum w:abstractNumId="71">
    <w:nsid w:val="3B0FD379"/>
    <w:multiLevelType w:val="hybridMultilevel"/>
    <w:lvl w:ilvl="0">
      <w:lvlJc w:val="left"/>
      <w:lvlText w:val="(%1)"/>
      <w:numFmt w:val="lowerLetter"/>
      <w:start w:val="9"/>
    </w:lvl>
    <w:lvl w:ilvl="1">
      <w:lvlJc w:val="left"/>
      <w:lvlText w:val="%2"/>
      <w:numFmt w:val="lowerLetter"/>
      <w:start w:val="1"/>
    </w:lvl>
  </w:abstractNum>
  <w:abstractNum w:abstractNumId="72">
    <w:nsid w:val="68EB2F63"/>
    <w:multiLevelType w:val="hybridMultilevel"/>
    <w:lvl w:ilvl="0">
      <w:lvlJc w:val="left"/>
      <w:lvlText w:val="(%1)"/>
      <w:numFmt w:val="lowerLetter"/>
      <w:start w:val="1"/>
    </w:lvl>
  </w:abstractNum>
  <w:abstractNum w:abstractNumId="73">
    <w:nsid w:val="4962813B"/>
    <w:multiLevelType w:val="hybridMultilevel"/>
    <w:lvl w:ilvl="0">
      <w:lvlJc w:val="left"/>
      <w:lvlText w:val="(%1)"/>
      <w:numFmt w:val="lowerLetter"/>
      <w:start w:val="1"/>
    </w:lvl>
  </w:abstractNum>
  <w:abstractNum w:abstractNumId="74">
    <w:nsid w:val="60B6DF70"/>
    <w:multiLevelType w:val="hybridMultilevel"/>
    <w:lvl w:ilvl="0">
      <w:lvlJc w:val="left"/>
      <w:lvlText w:val="%1"/>
      <w:numFmt w:val="decimal"/>
      <w:start w:val="1"/>
    </w:lvl>
    <w:lvl w:ilvl="1">
      <w:lvlJc w:val="left"/>
      <w:lvlText w:val="(%2)"/>
      <w:numFmt w:val="lowerLetter"/>
      <w:start w:val="3"/>
    </w:lvl>
  </w:abstractNum>
  <w:abstractNum w:abstractNumId="75">
    <w:nsid w:val="6A5EE64"/>
    <w:multiLevelType w:val="hybridMultilevel"/>
    <w:lvl w:ilvl="0">
      <w:lvlJc w:val="left"/>
      <w:lvlText w:val="(%1)"/>
      <w:numFmt w:val="decimal"/>
      <w:start w:val="12"/>
    </w:lvl>
    <w:lvl w:ilvl="1">
      <w:lvlJc w:val="left"/>
      <w:lvlText w:val="(%2)"/>
      <w:numFmt w:val="lowerLetter"/>
      <w:start w:val="4"/>
    </w:lvl>
  </w:abstractNum>
  <w:abstractNum w:abstractNumId="76">
    <w:nsid w:val="14330624"/>
    <w:multiLevelType w:val="hybridMultilevel"/>
    <w:lvl w:ilvl="0">
      <w:lvlJc w:val="left"/>
      <w:lvlText w:val="(%1)"/>
      <w:numFmt w:val="lowerRoman"/>
      <w:start w:val="1"/>
    </w:lvl>
  </w:abstractNum>
  <w:abstractNum w:abstractNumId="77">
    <w:nsid w:val="7FFFCA11"/>
    <w:multiLevelType w:val="hybridMultilevel"/>
    <w:lvl w:ilvl="0">
      <w:lvlJc w:val="left"/>
      <w:lvlText w:val="(%1)"/>
      <w:numFmt w:val="lowerLetter"/>
      <w:start w:val="2"/>
    </w:lvl>
  </w:abstractNum>
  <w:abstractNum w:abstractNumId="78">
    <w:nsid w:val="1A27709E"/>
    <w:multiLevelType w:val="hybridMultilevel"/>
    <w:lvl w:ilvl="0">
      <w:lvlJc w:val="left"/>
      <w:lvlText w:val="%1."/>
      <w:numFmt w:val="decimal"/>
      <w:start w:val="17"/>
    </w:lvl>
  </w:abstractNum>
  <w:abstractNum w:abstractNumId="79">
    <w:nsid w:val="71EA1109"/>
    <w:multiLevelType w:val="hybridMultilevel"/>
    <w:lvl w:ilvl="0">
      <w:lvlJc w:val="left"/>
      <w:lvlText w:val="%1."/>
      <w:numFmt w:val="decimal"/>
      <w:start w:val="18"/>
    </w:lvl>
  </w:abstractNum>
  <w:abstractNum w:abstractNumId="80">
    <w:nsid w:val="100F59DC"/>
    <w:multiLevelType w:val="hybridMultilevel"/>
    <w:lvl w:ilvl="0">
      <w:lvlJc w:val="left"/>
      <w:lvlText w:val="%1."/>
      <w:numFmt w:val="decimal"/>
      <w:start w:val="19"/>
    </w:lvl>
  </w:abstractNum>
  <w:abstractNum w:abstractNumId="81">
    <w:nsid w:val="7FB7E0AA"/>
    <w:multiLevelType w:val="hybridMultilevel"/>
    <w:lvl w:ilvl="0">
      <w:lvlJc w:val="left"/>
      <w:lvlText w:val="%1"/>
      <w:numFmt w:val="lowerLetter"/>
      <w:start w:val="1"/>
    </w:lvl>
    <w:lvl w:ilvl="1">
      <w:lvlJc w:val="left"/>
      <w:lvlText w:val="(%2)"/>
      <w:numFmt w:val="lowerLetter"/>
      <w:start w:val="1"/>
    </w:lvl>
  </w:abstractNum>
  <w:abstractNum w:abstractNumId="82">
    <w:nsid w:val="6EB5BD4"/>
    <w:multiLevelType w:val="hybridMultilevel"/>
    <w:lvl w:ilvl="0">
      <w:lvlJc w:val="left"/>
      <w:lvlText w:val="(%1)"/>
      <w:numFmt w:val="lowerLetter"/>
      <w:start w:val="35"/>
    </w:lvl>
    <w:lvl w:ilvl="1">
      <w:lvlJc w:val="left"/>
      <w:lvlText w:val="%2"/>
      <w:numFmt w:val="lowerLetter"/>
      <w:start w:val="1"/>
    </w:lvl>
  </w:abstractNum>
  <w:abstractNum w:abstractNumId="83">
    <w:nsid w:val="6F6DD9AC"/>
    <w:multiLevelType w:val="hybridMultilevel"/>
    <w:lvl w:ilvl="0">
      <w:lvlJc w:val="left"/>
      <w:lvlText w:val="%1."/>
      <w:numFmt w:val="decimal"/>
      <w:start w:val="2"/>
    </w:lvl>
    <w:lvl w:ilvl="1">
      <w:lvlJc w:val="left"/>
      <w:lvlText w:val="%2)"/>
      <w:numFmt w:val="lowerLetter"/>
      <w:start w:val="1"/>
    </w:lvl>
  </w:abstractNum>
  <w:abstractNum w:abstractNumId="84">
    <w:nsid w:val="94211F2"/>
    <w:multiLevelType w:val="hybridMultilevel"/>
    <w:lvl w:ilvl="0">
      <w:lvlJc w:val="left"/>
      <w:lvlText w:val="%1."/>
      <w:numFmt w:val="decimal"/>
      <w:start w:val="2"/>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2019-12-11T08:04:42Z</dcterms:created>
  <dcterms:modified xsi:type="dcterms:W3CDTF">2019-12-11T08:04:42Z</dcterms:modified>
</cp:coreProperties>
</file>