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October 24, 2014, was 46,701,554.</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11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8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80" w:type="dxa"/>
            <w:vAlign w:val="bottom"/>
            <w:gridSpan w:val="13"/>
          </w:tcPr>
          <w:p>
            <w:pPr>
              <w:jc w:val="right"/>
              <w:ind w:right="1220"/>
              <w:spacing w:after="0"/>
              <w:rPr>
                <w:sz w:val="20"/>
                <w:szCs w:val="20"/>
                <w:color w:val="auto"/>
              </w:rPr>
            </w:pPr>
            <w:r>
              <w:rPr>
                <w:rFonts w:ascii="Arial" w:cs="Arial" w:eastAsia="Arial" w:hAnsi="Arial"/>
                <w:sz w:val="18"/>
                <w:szCs w:val="18"/>
                <w:color w:val="auto"/>
              </w:rPr>
              <w:t>2</w:t>
            </w: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6900" w:type="dxa"/>
            <w:vAlign w:val="bottom"/>
            <w:gridSpan w:val="3"/>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Consolidated Income Statements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175,056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152,399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501,082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435,892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210,239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186,448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Admissions advisory and related, including $762 and $953 for the 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0"/>
              </w:rPr>
              <w:t>September 30, 2014 and 2013, respectively, and $2,373 and $2,574 for the nine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September 30, 2014 and 2013, respectively, to related parties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27,324</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24,578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79,793</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30"/>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373,803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333,493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23"/>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45,423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126,201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41,969</w:t>
            </w:r>
          </w:p>
        </w:tc>
        <w:tc>
          <w:tcPr>
            <w:tcW w:w="0" w:type="dxa"/>
            <w:vAlign w:val="bottom"/>
          </w:tcPr>
          <w:p>
            <w:pPr>
              <w:spacing w:after="0"/>
              <w:rPr>
                <w:sz w:val="1"/>
                <w:szCs w:val="1"/>
                <w:color w:val="auto"/>
              </w:rPr>
            </w:pPr>
          </w:p>
        </w:tc>
      </w:tr>
      <w:tr>
        <w:trPr>
          <w:trHeight w:val="223"/>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78,373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$29,016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$22,545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$78,373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Unrealized gains (losses) on available-for-sale securities, net of taxes of $8 and $0 for the three</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months ended September 30, 2014 and 2013, respectively, and $10 and $0 for the nine months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ended September 30, 2014 and 2013, respectively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Unrealized gains (losses) on hedging derivatives, net of taxes of $39 and $56 for the three months</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520"/>
              <w:spacing w:after="0"/>
              <w:rPr>
                <w:sz w:val="20"/>
                <w:szCs w:val="20"/>
                <w:color w:val="auto"/>
              </w:rPr>
            </w:pPr>
            <w:r>
              <w:rPr>
                <w:rFonts w:ascii="Arial" w:cs="Arial" w:eastAsia="Arial" w:hAnsi="Arial"/>
                <w:sz w:val="18"/>
                <w:szCs w:val="18"/>
                <w:color w:val="auto"/>
                <w:w w:val="92"/>
              </w:rPr>
              <w:t>ended September 30, 2014 and 2013, respectively, and $73 and $310 for the nine months ended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520"/>
              <w:spacing w:after="0"/>
              <w:rPr>
                <w:sz w:val="20"/>
                <w:szCs w:val="20"/>
                <w:color w:val="auto"/>
              </w:rPr>
            </w:pPr>
            <w:r>
              <w:rPr>
                <w:rFonts w:ascii="Arial" w:cs="Arial" w:eastAsia="Arial" w:hAnsi="Arial"/>
                <w:sz w:val="18"/>
                <w:szCs w:val="18"/>
                <w:color w:val="auto"/>
              </w:rPr>
              <w:t>September 30, 2014 and 2013, respectively</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(113)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29,089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22,496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0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56,482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58,801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127,126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8,289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4,940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275,171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469,294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3,725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755,498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vMerge w:val="restart"/>
          </w:tcPr>
          <w:p>
            <w:pPr>
              <w:jc w:val="center"/>
              <w:ind w:right="231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32,925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18,893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14,084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60,472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76,908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218,256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81,532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86,493</w:t>
            </w:r>
          </w:p>
        </w:tc>
        <w:tc>
          <w:tcPr>
            <w:tcW w:w="0" w:type="dxa"/>
            <w:vAlign w:val="bottom"/>
          </w:tcPr>
          <w:p>
            <w:pPr>
              <w:spacing w:after="0"/>
              <w:rPr>
                <w:sz w:val="1"/>
                <w:szCs w:val="1"/>
                <w:color w:val="auto"/>
              </w:rPr>
            </w:pP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316,008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$0.01 par value, 10,000 shares authorized; 0 shares issued and outstanding at September 30, 2014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49,686 and 48,890 shares issued and 46,697 and 46,045</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shares outstanding at September 30, 2014 and December 31, 2013, respectively</w:t>
            </w:r>
          </w:p>
        </w:tc>
        <w:tc>
          <w:tcPr>
            <w:tcW w:w="18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Treasury stock, at cost, 2,989 and 2,845 shares of common stock at September 30, 2014 and December 31, 2013,</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(53,770)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154,636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337,898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439,490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755,498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72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48,890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489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2,845</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$(48,432)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$132,904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358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$259,525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78,373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78,244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489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6,961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Excess tax benefits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7,413</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307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7,358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49,686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497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2,989</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(53,770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154,636</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6"/>
              </w:rPr>
              <w:t>229</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337,898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439,490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78,373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21,418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Prepaid royalty impairment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proceeds received from note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156,742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(141,217)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(101,185)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82,479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funds held for derivative collateral</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(159,923)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(104,542)</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55,824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105,111</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11,650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is a regionally accredited university focused on offering graduate and undergraduate degree programs in eight colleges across over 160 degree programs on its 186 acre traditional ground campus in Phoenix, Arizona and online. The University is accredited by The Higher Learning Commission of the North Central Association of Colleges and Schools. The University’s wholly-owned subsidiaries are primarily used to facilitate expansion of the University campus.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2013.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2013 from which the December 31, 2013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7"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an other asset and interest and other income of $1,459 for the three months ended September 30,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The briefing phase of the appeal has been completed and the matter is now scheduled for trial. The remaining default interest and statutory trustee’s fee components of the original disputed amount, plus interest accruing thereon at 11%, continue a resolution process through the court, have been treated as a gain contingency and will not be recorded as a receivable or income until the court makes its ruling.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On February 27, 2013 the University entered into an interest rate corridor to manage its 30 Day LIBOR interest exposure related to its variable rate debt. The fair value of the interest rate corridor instrument as of September 30, 2014 was $1,625,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$113 and $448 for the nine months ended September 30, 2014 and 2013, respectively, for the effective portion of the loss on the derivatives is included as a component of other comprehensive income, net of taxes.</w:t>
      </w:r>
    </w:p>
    <w:p>
      <w:pPr>
        <w:spacing w:after="0" w:line="15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$88,333 as of September 30, 2014.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As of September 30, 2014 no derivative ineffectiveness was identified. Any ineffectiveness in the University’s derivative instrument designated as a hedge is reported in interest expense in the income statement. For the nine months ended September 30, 2014, $7 of credit risk was recorded in interest expense for the interest rate corridor. At September 30, 2014, the University does not expect to reclassify gains or losses on derivative instruments from accumulated other comprehensive income (loss) into earnings during the next 12 months.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September 30, 2014,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fair value of investments, primarily municipal securities, including municipal bond portfolios, was determined using Level 2 of the hierarchy of valuation inputs, with the use of inputs other than quoted prices that are observable for the assets.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2014 and 2013, the University’s revenue was reduced by approximately $96,188 and $75,668,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records revenue at the time of collection.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to the student.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May 2014, the Financial Accounting Standards Board (“FASB”) issued, “Revenue from Contracts with Customers.”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standard is effective for fiscal years, and interim periods within those years, beginning after December 15, 2016, and early adoption is not permitted. Accordingly, the standard is effective for us on January 1, 2017. The University is currently evaluating the impact that the standard will have on our financial condition, results of operations and disclosures.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University has determined no other recent accounting pronouncements apply to its operations or would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is a summary of amounts included in investments as of September 30, 2014 and December 31, 2013.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(Losses)</w:t>
            </w:r>
          </w:p>
        </w:tc>
        <w:tc>
          <w:tcPr>
            <w:tcW w:w="2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127,126</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11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(Losses)</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108,393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September 30, 2014. For the nine months ended September 30, 2014, the net unrealized loss on available-for-sale securities was $16, net of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2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45,651</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44,963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45,486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44,631</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47,051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46,424</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46,962</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45,936</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nine months ended September 30, 2014 and 2013, approximately 155 and 179, respectively, of the University’s stock options and restricted stock awards outstanding were excluded from the calculation of diluted earnings per share as their inclusion would have been anti-dilutive. These options could be dilutive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12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1"/>
              </w:rPr>
              <w:t>Charged to</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28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3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Expense</w:t>
            </w:r>
          </w:p>
        </w:tc>
        <w:tc>
          <w:tcPr>
            <w:tcW w:w="13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8"/>
                <w:szCs w:val="18"/>
                <w:color w:val="auto"/>
                <w:w w:val="80"/>
              </w:rPr>
              <w:t>(13,036)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Nine months ended September 30, 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8,657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14,881</w:t>
            </w:r>
          </w:p>
        </w:tc>
        <w:tc>
          <w:tcPr>
            <w:tcW w:w="380" w:type="dxa"/>
            <w:vAlign w:val="bottom"/>
          </w:tcPr>
          <w:p>
            <w:pPr>
              <w:spacing w:after="0"/>
              <w:rPr>
                <w:sz w:val="20"/>
                <w:szCs w:val="20"/>
                <w:color w:val="auto"/>
              </w:rPr>
            </w:pPr>
          </w:p>
        </w:tc>
        <w:tc>
          <w:tcPr>
            <w:tcW w:w="1100" w:type="dxa"/>
            <w:vAlign w:val="bottom"/>
            <w:gridSpan w:val="4"/>
          </w:tcPr>
          <w:p>
            <w:pPr>
              <w:ind w:left="280"/>
              <w:spacing w:after="0"/>
              <w:rPr>
                <w:sz w:val="20"/>
                <w:szCs w:val="20"/>
                <w:color w:val="auto"/>
              </w:rPr>
            </w:pPr>
            <w:r>
              <w:rPr>
                <w:rFonts w:ascii="Arial" w:cs="Arial" w:eastAsia="Arial" w:hAnsi="Arial"/>
                <w:sz w:val="18"/>
                <w:szCs w:val="18"/>
                <w:color w:val="auto"/>
              </w:rPr>
              <w:t>(14,073)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445"/>
        </w:trPr>
        <w:tc>
          <w:tcPr>
            <w:tcW w:w="628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7,968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290,951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222,402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74,136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19,464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27,151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574,648</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424,479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(105,354)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(84,883)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469,294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339,596</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September 30,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2014 (remaining three months)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2015</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2017</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2014 and 2013 were $6,359 and $5,220,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360"/>
          </w:cols>
          <w:pgMar w:left="240" w:top="459" w:right="299" w:bottom="1440" w:gutter="0" w:footer="0" w:header="0"/>
        </w:sectPr>
      </w:pP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September 30, 2014 and December 31, 2013, the University reserved approximately $844 and $729, respectively, for tax matters where its ultimate exposure is considered probable and the potential loss can be reasonably estimated.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the second quarter ended June 30, 2014, the Internal Revenue Service (“IRS”) commenced an examination of the University’s 2011 income tax return. No material adjustments have been proposed by the IRS as of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During the nine months ended September 30, 2014, the University granted 299 shares of common stock with a service vesting condition to certain of its executives, officers, faculty and employees. The restricted shares have voting rights and vest in five annual installments of 20% starting on March 1, 2015 and each of the four anniversaries of the vesting date following the date of grant. Upon vesting, shares will be held in lieu of taxes equivalent to the minimum statutory tax withholding required to be paid when the restricted stock vests. During the nine months ended September 30, 2014, the University withheld 77 shares of common stock in lieu of taxes at a cost of $3,662 on the restricted stock vesting dates. In May 2014, the University granted 8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meeting of stockholders, subject to acceleration in the event of a change in control.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2013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Shares</w:t>
            </w:r>
          </w:p>
        </w:tc>
        <w:tc>
          <w:tcPr>
            <w:tcW w:w="1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2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440" w:type="dxa"/>
            <w:vAlign w:val="bottom"/>
          </w:tcPr>
          <w:p>
            <w:pPr>
              <w:spacing w:after="0"/>
              <w:rPr>
                <w:sz w:val="18"/>
                <w:szCs w:val="18"/>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4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2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1,041</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20" w:type="dxa"/>
            <w:vAlign w:val="bottom"/>
            <w:vMerge w:val="restart"/>
          </w:tcPr>
          <w:p>
            <w:pPr>
              <w:jc w:val="right"/>
              <w:ind w:right="149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September 30, 2014, no options were granted. A summary of the activity related to stock options granted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University’s Incentive Plan since December 31, 2013 is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w w:val="95"/>
              </w:rPr>
              <w:t>Weighted</w:t>
            </w: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17.11</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2,509</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64,939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September 30, 2014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September 30, 2014 ($40.77)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2014 and 2013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$ 4,403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$ 3,988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(2,965)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(3,067)</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$ 4,447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$ 4,601</w:t>
            </w:r>
          </w:p>
        </w:tc>
        <w:tc>
          <w:tcPr>
            <w:tcW w:w="12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September 30, 2014,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part of its oversight of the educational institutions participating in the Title IV programs under the Higher Education Act of 1965, as amended, the Department of Education periodically conducts program reviews at selected schools that receive Title IV funds for the purpose of evaluating the school’s compliance with the Title IV requirements, identifying any liabilities to the Department of Education for errors in compliance, and improving future institutional capabilities. On April 13, 2014, the University received official notification from the Department of Education of the Department of Education’s intent to conduct a program review at Grand Canyon University. The program review included the University’s administration of the Title IV programs in which it participates, its administration of the Clery Act and related regulations, and its compliance with the requirements of the Drug-Free Schools and Communities Act for the 2012-2013 and 2013-2014 award years.</w:t>
      </w:r>
    </w:p>
    <w:p>
      <w:pPr>
        <w:spacing w:after="0" w:line="18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On June 13, 2014, following completion of the program review, the University received from the DOE an expedited final program review determination letter. The final program review determination letter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has been closed with no further action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of Directors has authorized the University to repurchase up to $75,000 in aggregate of common stock, from time to time, depending on market conditions and other considerations. On September 23, 2014, our Board of Directors extended the expiration date on the repurchase authorization to September 30, 2015.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This includes 38 shares of common stock at an aggregate cost of $1,676 during the nine months ended September 30, 2014, which are recorded at cost in the accompanying September 30, 2014 consolidated balance sheet and statement of stockholders’ equity. At September 30, 2014, there remained $25,865 available under its share repurchase authorization. Shares repurchased in lieu of taxes are not included in the repurchase plan totals as they were approved in conjunction with the restricted share awards.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2013,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are a regionally accredited university focused on offering graduate and undergraduate degree programs in eight colleges across over 160 degree programs on its 186 acre traditional campus in Phoenix, Arizona and online.</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At September 30, 2014, we had approximately 68,100 students, an increase of 13.7% over the approximately 59,900 students we had at September 30, 2013. At September 30, 2014, 81.1% of our students were enrolled in our online programs, and of our working adult students (online and professional studies students), 45.2% were pursuing master’s or doctoral degrees. We did not raise tuition in any of our programs for our 2013-2014 and 2014-2015 academic years and have not raised our tuition for our traditional ground programs in six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September 30, 2014 and 2013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4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26,007</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22,394</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Undergraduate degree</w:t>
            </w:r>
          </w:p>
        </w:tc>
        <w:tc>
          <w:tcPr>
            <w:tcW w:w="540" w:type="dxa"/>
            <w:vAlign w:val="bottom"/>
          </w:tcPr>
          <w:p>
            <w:pPr>
              <w:jc w:val="right"/>
              <w:spacing w:after="0"/>
              <w:rPr>
                <w:sz w:val="20"/>
                <w:szCs w:val="20"/>
                <w:color w:val="auto"/>
              </w:rPr>
            </w:pPr>
            <w:r>
              <w:rPr>
                <w:rFonts w:ascii="Arial" w:cs="Arial" w:eastAsia="Arial" w:hAnsi="Arial"/>
                <w:sz w:val="18"/>
                <w:szCs w:val="18"/>
                <w:color w:val="auto"/>
                <w:w w:val="98"/>
              </w:rPr>
              <w:t>42,115</w:t>
            </w:r>
          </w:p>
        </w:tc>
        <w:tc>
          <w:tcPr>
            <w:tcW w:w="4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61.8%</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37,520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68,122</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59,914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9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55,218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49,584</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12,904</w:t>
            </w:r>
          </w:p>
        </w:tc>
        <w:tc>
          <w:tcPr>
            <w:tcW w:w="4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520" w:type="dxa"/>
            <w:vAlign w:val="bottom"/>
          </w:tcPr>
          <w:p>
            <w:pPr>
              <w:ind w:left="40"/>
              <w:spacing w:after="0"/>
              <w:rPr>
                <w:sz w:val="20"/>
                <w:szCs w:val="20"/>
                <w:color w:val="auto"/>
              </w:rPr>
            </w:pPr>
            <w:r>
              <w:rPr>
                <w:rFonts w:ascii="Arial" w:cs="Arial" w:eastAsia="Arial" w:hAnsi="Arial"/>
                <w:sz w:val="18"/>
                <w:szCs w:val="18"/>
                <w:color w:val="auto"/>
                <w:w w:val="79"/>
              </w:rPr>
              <w:t>10,330</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68,122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59,914</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74"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Enrollment at September 30, 2014 and 2013 represents individual students who attended a course during the last two months of the calendar quarter. Included in enrollment at September 30, 2014 and 2013 are students pursuing non-degree certificates of 621 and 552, respectively.</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5,336 and 3,971 students pursuing doctoral degrees at September 30, 2014 and 2013,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As of September 30, 2014 and 2013, 45.2% and 43.2%, respectively, of our online and professional studies students were pursuing graduate degrees.</w:t>
      </w:r>
    </w:p>
    <w:p>
      <w:pPr>
        <w:spacing w:after="0" w:line="32"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2013. During the nine months ended September 30, 2014,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2013. During the nine months ended September 30, 2014, there have been no significant changes in these trends. See Item 7, “Management’s Discussion and Analysis of Financial Condition and Results of Operations – Key Trends, Developments and Challenges” in our Annual Report on Form 10-K for our fiscal year ended December 31, 2013, which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42.5</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15.9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three months ended September 30, 2014 was $175.1 million, an increase of $22.7 million, or 14.9%,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net revenue of $152.4 million for the three months ended September 30, 2013. This increase was primarily due to an increase in enrollment and, to a lesser extent, an increase in room and board and other student fees, partially offset by an increase in institutional scholarships. End-of-period enrollment increased 13.7% between September 30, 2014 and September 30, 2013, as ground enrollment increased 24.9%, and online enrollment increased 11.4%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September 30, 2014 were $71.7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$7.0 million, or 10.8%, as compared to instructional costs and services expenses of $64.7 million for the three months ended September 30, 2013. This increase was primarily due to increases in faculty compensation, employee compensation and related expenses including share based compensation, depreciation and amortization and occupancy expense, and instructional supplies and dues, fees and subscriptions, of $2.1 million, $1.7 million, $2.5 million, and $2.3 million, respectively. These increases were partially offset by a decrease of $1.6 million in bad debt expense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continue to increase our online full-time faculty between years. The increase in depreciation and amortization and occupancy costs is the result of our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revenues decreased 1.5% to 41.0% for the three months ended September 30, 2014, from 42.5% for the three months ended September 30, 2013 primarily due to the decrease in our bad debt expense as a percentage of revenue from 3.5% of revenue in the third quarter of 2013 to 2.2% of revenue in the third quarter of 2014 and our ability to leverage our fixed costs infrastructure across an increasing revenue base, partially offset by an increase in dues, fees, subscriptions and other instructional supplies as a percentage of revenue due to the low profit margin derived on food sales.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September 30, 2014 were $27.3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$2.7 million, or 11.2%, as compared to admissions advisory and related expenses of $24.6 million for the three months ended September 30, 2013. This increase is primarily the result of increases in employee compensation and related expenses including share-based compensation and other admissions advisory related expense of $2.3 million and $0.4 million, respectively. The increase in employee compensation and related expenses is primarily due to increased headcount between years. Our admissions advisory and related expenses as a percentage of net revenues decreased 0.5% to 15.6% for the three months ended September 30, 2014, from 16.1% for the three months ended September 30, 2013 primarily due to our ability to leverage our admissions advisory and related expenses across an increasing revenue base.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three months ended September 30, 2014 were $16.5 million, an increase of $1.0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 as compared to advertising expenses of $15.5 million for the three months ended September 30, 2013.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 advertising focused on the southwestern United States region. Our advertising expenses as a percentage of net revenue decreased by 0.8% to 9.4%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2014, from 10.2% for the three months ended September 30, 2013. We spend less on advertising for ground traditional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students than for online students and our ground traditional campus enrollment is growing faster than our online student enrollment.</w:t>
      </w:r>
    </w:p>
    <w:p>
      <w:pPr>
        <w:spacing w:after="0" w:line="21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September 30, 2014 were $1.9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$0.6 million, or 48.6%, as compared to marketing and promotional expenses of $1.3 million for the three months ended September 30, 2013. This increase is primarily the result of increases in employee compensation and related expenses of $0.7 million. Our marketing and promotional expenses as a percentage of net revenue increased 0.2% to 1.1% for the three months ended September 30, 2014, from 0.9% for the three months ended September 30, 2013.</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three months ended September 30, 2014 were $11.6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$2.6 million, or 28.8%, as compared to general and administrative expenses of $9.0 million for the three months ended September 30, 2013. The increase is primarily attributable to our decision to make contributions to school tuition organizations in lieu of state income taxes of $2.7 million in the third quarter of 2014. The University receives a dollar for dollar reduction in our state income taxes for these contributions. Our general and administrative expenses as a percentage of net revenue increased by 0.7% to 6.6% for the three months ended September 30, 2014, from 5.9% for the three months ended September 30, 2013 due to the timing of our contributions to school tuition organizations as in prior years we have made this contribution in the fourth quarter.</w:t>
      </w:r>
    </w:p>
    <w:p>
      <w:pPr>
        <w:spacing w:after="0" w:line="18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September 30, 2014 were $0.6 million, an increase of $0.1 million, or 9.2%,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interest expense of $0.5 million for the three months ended September 30, 2013. Our interest expense stayed flat as a percentage of net revenue at 0.3% for both the three months ended September 30, 2014 and 2013.</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September 30, 2014 was nil, a decrease of $1.5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income of $1.5 million in the three months ended September 30, 2013. This decrease is primarily attributable to late penalty and default interest earned on a settlement of a note receivable purchased in 2012.</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September 30, 2014 was $16.4 million, an increase of $0.7 million, or 4.4%,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$15.7 million for the three months ended September 30, 2013. Our effective tax rate was 36.1% during the third quarter of 2014 compared to 41.1% during the third quarter of 2013. The effective tax rate was favorably affected in 2014 by our contributions in lieu of state income taxes to school tuition organizations made during the quarter as well as state tax rate changes that began a gradual phase-in process during the first quarter of 2014 and negatively impacted in 2013 by certain non-recurring tax items.</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2014 was $29.0 million, an increase of $6.5 million, as compared to $22.5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2013,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nine months ended September 30, 2014 was $501.1 million, an increase of $65.2 million, or 15.0%,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net revenue of $435.9 million for the nine months ended September 30, 2013. This increase was primarily due to an increase in enrollment and, to a lesser extent, an increase in room and board and other student fees, partially offset by an increase in institutional scholarships. End-of-period enrollment increased 13.7% between September 30, 2014 and September 30, 2013, as ground enrollment increased 24.9%, and online enrollment increased 11.4%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nine months ended September 30, 2014 were $210.2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$23.8 million, or 12.8%, as compared to instructional costs and services expenses of $186.4 million for the nine months ended September 30, 2013. This increase was primarily due to increases in employee compensation and related expenses including share based compensation, faculty compensation, depreciation and amortization and occupancy expense, dues, fees and subscriptions and other instructional supplies, and other instructional costs and related expenses, of $7.0 million, $6.5 million, $5.6 million, $5.0 million, and $3.8 million, respectively. These increases were partially offset by a decrease of $4.1 million in bad debt expense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continue to increase our online full-time faculty and have incurred an increase in benefit costs between years. The increase in depreciation and amortization and occupancy costs is the result of our placing into service additional buildings to support the growing number of ground traditional students in 2013 and 2014.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revenues decreased 0.8% to 42.0% for the nine months ended September 30, 2014, from 42.8% for the nine months ended September 30, 2013 primarily due to the decrease in bad debt expense as a percentage of revenue from 3.4% in the first nine months of 2013 to 2.2% in the first nine months of 2014, partially offset by an increase in dues, fees, subscriptions and other instructional supplies as a percentage of revenue due to the low profit margin derived on food sales.</w:t>
      </w:r>
    </w:p>
    <w:p>
      <w:pPr>
        <w:spacing w:after="0" w:line="16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nine months ended September 30, 2014 were $79.8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$8.9 million, or 12.5%, as compared to admissions advisory and related expenses of $70.9 million for the nine months ended September 30, 2013. This increase is primarily the result of increases in employee compensation and related expenses including share based compensation and other advisory related expense of $7.9 million and $1.0 million, respectively. The increase in employee compensation and related expenses is primarily due to increased headcount and an increase in benefit costs between years. Our admissions advisory and related expenses as a percentage of net revenue decreased 0.4% to 15.9% for the nine months ended September 30, 2014, from 16.3% for the nine months ended September 30, 2013 primarily due to our ability to leverage our admissions advisory personnel across an increasing revenue base.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nine months ended September 30, 2014 were $49.0 million, an increase of $3.1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 as compared to advertising expenses of $45.9 million for the nine months ended September 30, 2013.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 advertising focused on the southwestern United States region. Our advertising expenses as a percentage of net revenue decreased by 0.7% to 9.8%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2014, from 10.5% for the nine months ended September 30, 2013. We spend less on advertising for ground traditional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students than for online students and our ground traditional campus student enrollment is growing faster than our online student enrollment.</w:t>
      </w:r>
    </w:p>
    <w:p>
      <w:pPr>
        <w:spacing w:after="0" w:line="21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nine months ended September 30, 2014 were $5.6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$1.5 million, or 36.7%, as compared to marketing and promotional expenses of $4.1 million for the nine months ended September 30, 2013. This increase is primarily the result of increases in employee compensation and related expenses of $1.5 million. Our marketing and promotional expenses as a percentage of net revenue increased 0.2% to 1.1% for the nine months ended September 30, 2014, from 0.9% for the nine months ended September 30, 2013.</w:t>
      </w:r>
    </w:p>
    <w:p>
      <w:pPr>
        <w:spacing w:after="0" w:line="154"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nine months ended September 30, 2014 was $29.2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$3.1 million, or 12.0%, as compared to general and administrative expenses of $26.1 million for the nine months ended September 30, 2013. The increase is primarily attributable to our decision to make contributions to school tuition organizations in lieu of state income taxes of $2.7 million in the third quarter of 2014. The University receives a dollar for dollar reduction in our state income taxes for these contributions. Our general and administrative expenses as a percentage of net revenue decreased by 0.2% to 5.8% for the nine months ended September 30, 2014, from 6.0% for the nine months ended September 30, 2013 due to our ability to leverage the fixed costs structure of our general and administrative expenses across an increasing revenue base.</w:t>
      </w:r>
    </w:p>
    <w:p>
      <w:pPr>
        <w:spacing w:after="0" w:line="16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nine months ended September 30, 2014 was $1.5 million, a decrease of $0.1 million,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$1.6 million for the nine months ended September 30, 2013. This decrease was primarily due to a decrease in the average balance of our credit facility between periods due to scheduled monthly principal payments. Our interest expense decreased as a percentage of net revenue by 0.1% to 0.3% for the nine months ended September 30, 2014, from 0.4% for the nine months ended September 30, 2013.</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nine months ended September 30, 2014 was $0.4 million, a decrease of $3.4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interest and other income of $3.8 million in the nine months ended September 30, 2013. The decrease was primarily due to the proceeds received from a settlement of a note receivable, which resulted in a $3.6 million gain for the nine months ended September 30, 2013.</w:t>
      </w:r>
    </w:p>
    <w:p>
      <w:pPr>
        <w:spacing w:after="0" w:line="166"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nine months ended September 30, 2014 was $47.8 million, an increase of $5.8 million, or 14.0%,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$42.0 million for the nine months ended September 30, 2013. Our effective tax rate was 37.9% during the first nine months of 2014 compared to 40.2% during the first nine months of 2013. Our effective tax rate in 2014 is lower than the prior year due primarily to our contributions in lieu of state income taxes to school tuition organizations and state tax rate changes that began a gradual phase-in process during the first quarter of 2014.</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2014 was $78.4 million, an increase of $15.8 million, as compared to $62.6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2013,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have increased, and over the next few years we intend to continue to increase, our enrollment of ground traditional students. Thus, we expect this summer effect to become more pronounced in future periods.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nine months ended September 30, 2014 and 2013 primarily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Our unrestricted cash and cash equivalents and investments were $183.6 million and $164.2 million at September 30, 2014 and December 31, 2013, respectively. Our restricted cash and cash equivalents at September 30, 2014 and December 31, 2013 were $58.8 million and $64.4 million, respectively.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September 30,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$75 million in aggregate of common stock, from time to time, depending on market conditions and other considerations. The current expiration date on the repurchase authorization by our Board of Directors is September 30, 2015. Repurchases occur at the University’s discretion.</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applicable SEC rules. The amount and timing of future share repurchases, if any, will be made as market and business conditions warrant.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2.8 million shares of common shock shares at an aggregate cost of $49.1 million which includes 37,900 shares of common stock during the nine months ended September 30, 2014 at an aggregate cost of $1.7 million. At September 30, 2014, there remains $25.9 million available under our share repurchase authorization.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nine months ended September 30, 2014 was $156.7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$101.8 million for the nine months ended September 30, 2013. The increase in cash generated from operating activities between the nine months ended September 30, 2013 and the nine months ended September 30, 2014 is primarily due to increased net income and the timing of income tax payments, deferred revenue and student deposits.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$159.9 million and $104.5 million for the nine months ended September 30,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2013, respectively. Our cash used in investing activities was primarily related to the purchase of short-term investments and capital expenditures. Purchases of short-term investments net of proceeds of these investments was $18.7 million and $63.5 million during the nine months ended September 30, 2014 and 2013, respectively. Capital expenditures were $141.2 million and $59.2 million for the nine months ended September 30, 2014 and 2013, respectively. In 2014, capital expenditures primarily consisted of ground campus building projects such as the construction of an additional classroom building, additional residence halls that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 In 2013, capital expenditures primarily consisted of ground campus building projects such as the construction costs for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addition, during the nine months of 2013 we spent $11.2 million to purchase and refurbish a building that is located less than two miles from our Phoenix, Arizona campus. Investing activities were reduced in the first nine months of 2013 by proceeds in the amount of $29.2 million received on a note receivable.</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provided by financing activities was $3.8 million and $4.5 million for the nine months ended September 30,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respectively. During the first nine months of 2014, proceeds from the exercise of stock options of $7.0 million and excess tax benefits from share-based compensation of $7.2 million were partially offset by $5.3 million used to purchase treasury stock in accordance with the University’s share repurchase program and principal payments on notes payable and capital leases which totaled $5.0 million. During the first nine months of 2013, proceeds from the exercise of stock options of $14.8 million and excess tax benefits from share-based compensation of $3.7 million were partially offset by $9.0 million used to purchase treasury stock in accordance with the University’s share repurchase program and principal payments on notes payable and capital leases which totaled $5.0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sets forth, as of September 30, 2014,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October 1, 2014 through December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September 30,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nine months ended September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or 2013. There can be no assurance that future inflation will not have an adverse impact on our operating results and financial condition.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$88.3 million as of September 30, 2014,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municipal bond portfolios, or municipal mutual funds at multiple financial institutions.</w:t>
      </w:r>
    </w:p>
    <w:p>
      <w:pPr>
        <w:spacing w:after="0" w:line="18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A rated municipal bonds and municipal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bearing variable interest rates, which are tied to various market indices or individual bond coupon rates. Our future investment income may fall short of expectations due to changes in interest rates or we may suffer losses in principal if we are forced to sell bonds that have declined in market value due to changes in interest rates. At September 30, 2014, a 10% increase or decrease in interest rates would not have a material impact on our future earnings, fair values, or cash flows. For information regarding our variable rate debt, see “Market risk” above.</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2014, in ensuring that material information relating to us required to be disclosed by us in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has authorized the University to repurchase up to $75.0 million in aggregate of common stock, from time to time, depending on market conditions and other considerations. The repurchase authorization was first announced on August 16, 2010, and was extended on July 28,</w:t>
      </w:r>
    </w:p>
    <w:p>
      <w:pPr>
        <w:ind w:right="160"/>
        <w:spacing w:after="0" w:line="271" w:lineRule="auto"/>
        <w:rPr>
          <w:sz w:val="20"/>
          <w:szCs w:val="20"/>
          <w:color w:val="auto"/>
        </w:rPr>
      </w:pPr>
      <w:r>
        <w:rPr>
          <w:rFonts w:ascii="Arial" w:cs="Arial" w:eastAsia="Arial" w:hAnsi="Arial"/>
          <w:sz w:val="17"/>
          <w:szCs w:val="17"/>
          <w:color w:val="auto"/>
        </w:rPr>
        <w:t>2011, April 25, 2013 and September 23, 2014. The current expiration date on the repurchase authorization is September 30, 2015. Repurchases occur at the University’s discretion. Repurchases may be made in the open market or in privately negotiated transactions, pursuant to applicable SEC rules. The amount and timing of future share repurchases, if any, will be made as market and business conditions warrant. During the three months ended September 30, 2014, we did not repurchase any shares of our common stock. At September 30, 2014, there remains $25.9 million available under our share repurchase authorization, which totaled $75.0 million at September 30, 2014.</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third quarter of fiscal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7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7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7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7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Shares Purchased</w:t>
            </w:r>
          </w:p>
        </w:tc>
        <w:tc>
          <w:tcPr>
            <w:tcW w:w="7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7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9"/>
              </w:rPr>
              <w:t>the Program</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2014 – July 31, 2014</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August 1, 2014 – August 31, 2014</w:t>
            </w: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2014 – September 30, 2014</w:t>
            </w:r>
          </w:p>
        </w:tc>
        <w:tc>
          <w:tcPr>
            <w:tcW w:w="18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23"/>
        </w:trPr>
        <w:tc>
          <w:tcPr>
            <w:tcW w:w="96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c>
          <w:tcPr>
            <w:tcW w:w="36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gridSpan w:val="2"/>
          </w:tcPr>
          <w:p>
            <w:pPr>
              <w:ind w:left="104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86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86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Sarbanes-Oxley Act of 2002.</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6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6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Oxley Act of 2002.</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6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6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Oxley Act of 2002. ††</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6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6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3.1 to Amendment No. 6 to the University’s Registration Statement on Form S-1 (SEC file number 333-150876) filed with the SEC on November 12, 2008.</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4.1 to Amendment No. 2 to the University’s Registration Statement on Form S-1 (SEC file number 333-150876) filed with the SEC on September 29,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920"/>
          </w:cols>
          <w:pgMar w:left="240" w:top="459" w:right="339" w:bottom="1440" w:gutter="0" w:footer="0" w:header="0"/>
          <w:type w:val="continuous"/>
        </w:sectPr>
      </w:pPr>
    </w:p>
    <w:p>
      <w:pPr>
        <w:spacing w:after="0" w:line="29" w:lineRule="exact"/>
        <w:rPr>
          <w:sz w:val="20"/>
          <w:szCs w:val="20"/>
          <w:color w:val="auto"/>
        </w:rPr>
      </w:pPr>
    </w:p>
    <w:p>
      <w:pPr>
        <w:ind w:left="460" w:right="32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6080" w:val="left"/>
          <w:tab w:leader="none" w:pos="650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240" w:top="459" w:right="9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320"/>
          </w:cols>
          <w:pgMar w:left="240" w:top="459"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Sarbanes-Oxley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 ††</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3.1 to Amendment No. 6 to the University’s Registration Statement on Form S-1 (SEC file number 333-150876) filed with the SEC on November 12, 2008.</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by reference to Exhibit 4.1 to Amendment No. 2 to the University’s Registration Statement on Form S-1 (SEC file number 333-150876) filed with the SEC on September 29,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920"/>
          </w:cols>
          <w:pgMar w:left="240" w:top="459" w:right="339" w:bottom="1440" w:gutter="0" w:footer="0" w:header="0"/>
          <w:type w:val="continuous"/>
        </w:sectPr>
      </w:pPr>
    </w:p>
    <w:p>
      <w:pPr>
        <w:spacing w:after="0" w:line="29" w:lineRule="exact"/>
        <w:rPr>
          <w:sz w:val="20"/>
          <w:szCs w:val="20"/>
          <w:color w:val="auto"/>
        </w:rPr>
      </w:pPr>
    </w:p>
    <w:p>
      <w:pPr>
        <w:ind w:left="460" w:right="3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2014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2014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44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 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2019-12-07T18:40:30Z</dcterms:created>
  <dcterms:modified xsi:type="dcterms:W3CDTF">2019-12-07T18:40:30Z</dcterms:modified>
</cp:coreProperties>
</file>