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10, 2026</w:t>
      </w:r>
    </w:p>
    <w:p>
      <w:pPr>
        <w:spacing w:after="0" w:line="27"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6862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2445"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-196850</wp:posOffset>
            </wp:positionV>
            <wp:extent cx="6862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2445"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2578735</wp:posOffset>
            </wp:positionH>
            <wp:positionV relativeFrom="paragraph">
              <wp:posOffset>74930</wp:posOffset>
            </wp:positionV>
            <wp:extent cx="1713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S-8</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2578735</wp:posOffset>
            </wp:positionH>
            <wp:positionV relativeFrom="paragraph">
              <wp:posOffset>142875</wp:posOffset>
            </wp:positionV>
            <wp:extent cx="1713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GRAND CANYON EDUCATION,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2578735</wp:posOffset>
            </wp:positionH>
            <wp:positionV relativeFrom="paragraph">
              <wp:posOffset>219710</wp:posOffset>
            </wp:positionV>
            <wp:extent cx="1713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tbl>
      <w:tblPr>
        <w:tblLayout w:type="fixed"/>
        <w:tblInd w:w="2940" w:type="dxa"/>
        <w:tblCellMar>
          <w:top w:w="0" w:type="dxa"/>
          <w:left w:w="0" w:type="dxa"/>
          <w:bottom w:w="0" w:type="dxa"/>
          <w:right w:w="0" w:type="dxa"/>
        </w:tblCellMar>
      </w:tblPr>
      <w:tr>
        <w:trPr>
          <w:trHeight w:val="184"/>
        </w:trPr>
        <w:tc>
          <w:tcPr>
            <w:tcW w:w="3060" w:type="dxa"/>
            <w:vAlign w:val="bottom"/>
          </w:tcPr>
          <w:p>
            <w:pPr>
              <w:jc w:val="center"/>
              <w:ind w:right="86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90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20-3356009</w:t>
            </w:r>
          </w:p>
        </w:tc>
      </w:tr>
      <w:tr>
        <w:trPr>
          <w:trHeight w:val="147"/>
        </w:trPr>
        <w:tc>
          <w:tcPr>
            <w:tcW w:w="3060" w:type="dxa"/>
            <w:vAlign w:val="bottom"/>
          </w:tcPr>
          <w:p>
            <w:pPr>
              <w:jc w:val="center"/>
              <w:ind w:right="869"/>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900" w:type="dxa"/>
            <w:vAlign w:val="bottom"/>
          </w:tcPr>
          <w:p>
            <w:pPr>
              <w:jc w:val="center"/>
              <w:ind w:left="851"/>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5"/>
        </w:trPr>
        <w:tc>
          <w:tcPr>
            <w:tcW w:w="3060" w:type="dxa"/>
            <w:vAlign w:val="bottom"/>
          </w:tcPr>
          <w:p>
            <w:pPr>
              <w:jc w:val="center"/>
              <w:ind w:right="869"/>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1900" w:type="dxa"/>
            <w:vAlign w:val="bottom"/>
          </w:tcPr>
          <w:p>
            <w:pPr>
              <w:jc w:val="center"/>
              <w:ind w:left="851"/>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307"/>
        </w:trPr>
        <w:tc>
          <w:tcPr>
            <w:tcW w:w="3060" w:type="dxa"/>
            <w:vAlign w:val="bottom"/>
          </w:tcPr>
          <w:p>
            <w:pPr>
              <w:jc w:val="center"/>
              <w:ind w:right="869"/>
              <w:spacing w:after="0"/>
              <w:rPr>
                <w:sz w:val="20"/>
                <w:szCs w:val="20"/>
                <w:color w:val="auto"/>
              </w:rPr>
            </w:pPr>
            <w:r>
              <w:rPr>
                <w:rFonts w:ascii="Times New Roman" w:cs="Times New Roman" w:eastAsia="Times New Roman" w:hAnsi="Times New Roman"/>
                <w:sz w:val="16"/>
                <w:szCs w:val="16"/>
                <w:b w:val="1"/>
                <w:bCs w:val="1"/>
                <w:color w:val="auto"/>
                <w:w w:val="98"/>
              </w:rPr>
              <w:t>2600 W. Camelback Road</w:t>
            </w:r>
          </w:p>
        </w:tc>
        <w:tc>
          <w:tcPr>
            <w:tcW w:w="1900" w:type="dxa"/>
            <w:vAlign w:val="bottom"/>
          </w:tcPr>
          <w:p>
            <w:pPr>
              <w:spacing w:after="0"/>
              <w:rPr>
                <w:sz w:val="24"/>
                <w:szCs w:val="24"/>
                <w:color w:val="auto"/>
              </w:rPr>
            </w:pPr>
          </w:p>
        </w:tc>
      </w:tr>
      <w:tr>
        <w:trPr>
          <w:trHeight w:val="196"/>
        </w:trPr>
        <w:tc>
          <w:tcPr>
            <w:tcW w:w="3060" w:type="dxa"/>
            <w:vAlign w:val="bottom"/>
          </w:tcPr>
          <w:p>
            <w:pPr>
              <w:jc w:val="center"/>
              <w:ind w:right="869"/>
              <w:spacing w:after="0"/>
              <w:rPr>
                <w:sz w:val="20"/>
                <w:szCs w:val="20"/>
                <w:color w:val="auto"/>
              </w:rPr>
            </w:pPr>
            <w:r>
              <w:rPr>
                <w:rFonts w:ascii="Times New Roman" w:cs="Times New Roman" w:eastAsia="Times New Roman" w:hAnsi="Times New Roman"/>
                <w:sz w:val="16"/>
                <w:szCs w:val="16"/>
                <w:b w:val="1"/>
                <w:bCs w:val="1"/>
                <w:color w:val="auto"/>
              </w:rPr>
              <w:t>Phoenix, Arizona</w:t>
            </w:r>
          </w:p>
        </w:tc>
        <w:tc>
          <w:tcPr>
            <w:tcW w:w="1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85017</w:t>
            </w:r>
          </w:p>
        </w:tc>
      </w:tr>
      <w:tr>
        <w:trPr>
          <w:trHeight w:val="165"/>
        </w:trPr>
        <w:tc>
          <w:tcPr>
            <w:tcW w:w="3060" w:type="dxa"/>
            <w:vAlign w:val="bottom"/>
          </w:tcPr>
          <w:p>
            <w:pPr>
              <w:jc w:val="center"/>
              <w:ind w:right="86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900" w:type="dxa"/>
            <w:vAlign w:val="bottom"/>
          </w:tcPr>
          <w:p>
            <w:pPr>
              <w:jc w:val="center"/>
              <w:ind w:left="851"/>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GRAND CANYON EDUCATION, INC. 2026 EQUITY INCENTIVE PLAN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(Full Title of the Plan)</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Sarah S. Collins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Legal Officer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Grand Canyon Education,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2600 W. Camelback Road</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Phoenix, Arizona 85017</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(602) 247-4400</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2578735</wp:posOffset>
            </wp:positionH>
            <wp:positionV relativeFrom="paragraph">
              <wp:posOffset>212725</wp:posOffset>
            </wp:positionV>
            <wp:extent cx="1713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With a copy to:</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David P. Lewis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DLA Piper LLP (US)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2525 East Camelback Road</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Suite 1000</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Phoenix, Arizona 85016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(480) 606-5100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2578735</wp:posOffset>
            </wp:positionH>
            <wp:positionV relativeFrom="paragraph">
              <wp:posOffset>149860</wp:posOffset>
            </wp:positionV>
            <wp:extent cx="17132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3230" cy="1714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20"/>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800"/>
          </w:cols>
          <w:pgMar w:left="540" w:top="658" w:right="559" w:bottom="1440" w:gutter="0" w:footer="0" w:header="0"/>
        </w:sectPr>
      </w:pPr>
    </w:p>
    <w:p>
      <w:pPr>
        <w:spacing w:after="0" w:line="234" w:lineRule="exact"/>
        <w:rPr>
          <w:sz w:val="24"/>
          <w:szCs w:val="24"/>
          <w:color w:val="auto"/>
        </w:rPr>
      </w:pPr>
    </w:p>
    <w:p>
      <w:pPr>
        <w:spacing w:after="0" w:line="184" w:lineRule="exact"/>
        <w:tabs>
          <w:tab w:leader="none" w:pos="1840" w:val="left"/>
          <w:tab w:leader="none" w:pos="756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Accelerated Filer</w:t>
      </w:r>
    </w:p>
    <w:p>
      <w:pPr>
        <w:spacing w:after="0" w:line="110" w:lineRule="exact"/>
        <w:rPr>
          <w:sz w:val="24"/>
          <w:szCs w:val="24"/>
          <w:color w:val="auto"/>
        </w:rPr>
      </w:pPr>
    </w:p>
    <w:p>
      <w:pPr>
        <w:spacing w:after="0" w:line="184" w:lineRule="exact"/>
        <w:tabs>
          <w:tab w:leader="none" w:pos="1840" w:val="left"/>
          <w:tab w:leader="none" w:pos="756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119" w:lineRule="exact"/>
        <w:rPr>
          <w:sz w:val="24"/>
          <w:szCs w:val="24"/>
          <w:color w:val="auto"/>
        </w:rPr>
      </w:pPr>
    </w:p>
    <w:p>
      <w:pPr>
        <w:ind w:left="75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310" w:lineRule="exact"/>
        <w:rPr>
          <w:sz w:val="24"/>
          <w:szCs w:val="24"/>
          <w:color w:val="auto"/>
        </w:rPr>
      </w:pPr>
    </w:p>
    <w:p>
      <w:pPr>
        <w:ind w:left="20"/>
        <w:spacing w:after="0" w:line="29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716280</wp:posOffset>
            </wp:positionV>
            <wp:extent cx="686244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2445" cy="25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224155</wp:posOffset>
            </wp:positionV>
            <wp:extent cx="6862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24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181610</wp:posOffset>
            </wp:positionV>
            <wp:extent cx="68624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244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060" w:space="240"/>
            <w:col w:w="500"/>
          </w:cols>
          <w:pgMar w:left="540" w:top="658" w:right="5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GRAND CANYON EDUCATION,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REGISTRATION STATEMENT ON FORM S-8</w:t>
      </w:r>
    </w:p>
    <w:p>
      <w:pPr>
        <w:spacing w:after="0" w:line="219" w:lineRule="exact"/>
        <w:rPr>
          <w:sz w:val="20"/>
          <w:szCs w:val="20"/>
          <w:color w:val="auto"/>
        </w:rPr>
      </w:pPr>
    </w:p>
    <w:p>
      <w:pPr>
        <w:ind w:firstLine="813"/>
        <w:spacing w:after="0" w:line="275" w:lineRule="auto"/>
        <w:rPr>
          <w:sz w:val="20"/>
          <w:szCs w:val="20"/>
          <w:color w:val="auto"/>
        </w:rPr>
      </w:pPr>
      <w:r>
        <w:rPr>
          <w:rFonts w:ascii="Times New Roman" w:cs="Times New Roman" w:eastAsia="Times New Roman" w:hAnsi="Times New Roman"/>
          <w:sz w:val="16"/>
          <w:szCs w:val="16"/>
          <w:color w:val="auto"/>
        </w:rPr>
        <w:t>The Board of Directors of Grand Canyon Education, Inc. (the “Registrant”) adopted the Grand Canyon Education, Inc. 2026 Equity Incentive Plan (the “2026 Plan”), effective as of April 21, 2026, and the 2026 Plan was approved by the Registrant’s stockholders on June 10, 2026 (the “Effective Date”). The aggregate number of shares of the Registrant’s common stock, par value $0.01 per share (“Common Stock”) issuable under the 2026 Plan is equal to (i) 710,000 newly-authorized shares of Common Stock (the “Newly Authorized Shares”), plus (ii) any reserved shares of Common Stock not issued or subject to outstanding grants under the Registrant’s 2017 Equity Incentive Plan (the “2017 Plan”) on the Effective Date, and (iii) any shares of Common Stock subject to any outstanding award under the 2017 Plan that, after the Effective Date, expire, or are terminated, surrendered, cancelled or forfeited for any reason without delivery of the shares of Common Stock underlying such award ((ii) and (iii) taken together, the “Rollover Shares”).</w:t>
      </w:r>
    </w:p>
    <w:p>
      <w:pPr>
        <w:spacing w:after="0" w:line="167" w:lineRule="exact"/>
        <w:rPr>
          <w:sz w:val="20"/>
          <w:szCs w:val="20"/>
          <w:color w:val="auto"/>
        </w:rPr>
      </w:pPr>
    </w:p>
    <w:p>
      <w:pPr>
        <w:ind w:right="100" w:firstLine="813"/>
        <w:spacing w:after="0" w:line="277" w:lineRule="auto"/>
        <w:rPr>
          <w:sz w:val="20"/>
          <w:szCs w:val="20"/>
          <w:color w:val="auto"/>
        </w:rPr>
      </w:pPr>
      <w:r>
        <w:rPr>
          <w:rFonts w:ascii="Times New Roman" w:cs="Times New Roman" w:eastAsia="Times New Roman" w:hAnsi="Times New Roman"/>
          <w:sz w:val="16"/>
          <w:szCs w:val="16"/>
          <w:color w:val="auto"/>
        </w:rPr>
        <w:t>This Registration Statement on Form S-8 (this “Registration Statement”) is being filed by the Registrant to register the Newly Authorized Shares. Contemporaneously with the filing of this Registration Statement, the Registrant is filing a Post-Effective Amendment No. 1 to the Registration Statement on Form S-8 (Registration No. 333-218740), filed by the Registrant on June 14, 2017 for the 2017 Plan (the “Prior Registration Statement”) to amend the Prior Registration Statement to cover the offer and sale of the Rollover Shares under the 2017 Plan.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REQUIRED IN THE SECTION 10(A) PROSPECTUS</w:t>
      </w:r>
    </w:p>
    <w:p>
      <w:pPr>
        <w:spacing w:after="0" w:line="219" w:lineRule="exact"/>
        <w:rPr>
          <w:sz w:val="20"/>
          <w:szCs w:val="20"/>
          <w:color w:val="auto"/>
        </w:rPr>
      </w:pPr>
    </w:p>
    <w:p>
      <w:pPr>
        <w:ind w:right="40" w:firstLine="813"/>
        <w:spacing w:after="0" w:line="277" w:lineRule="auto"/>
        <w:rPr>
          <w:sz w:val="20"/>
          <w:szCs w:val="20"/>
          <w:color w:val="auto"/>
        </w:rPr>
      </w:pPr>
      <w:r>
        <w:rPr>
          <w:rFonts w:ascii="Times New Roman" w:cs="Times New Roman" w:eastAsia="Times New Roman" w:hAnsi="Times New Roman"/>
          <w:sz w:val="16"/>
          <w:szCs w:val="16"/>
          <w:color w:val="auto"/>
        </w:rPr>
        <w:t>The documents containing the information specified in Part I, Items 1 and 2, have been or will be delivered to participants in accordance with Form S-8 and Rule 428(b)(1) under the Securities Act of 1933, as amended (the “Securities Act”). In accordance with the rules and regulations of the Securities and Exchange Commission (the “SEC”) and the instructions to Form S-8, such documents are not being filed with the SEC either as part of this Registration Statement or as prospectuses or prospectus supplements pursuant to Rule 424 under the Securities Act.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1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24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Incorporation of Documents by Reference.</w:t>
      </w:r>
    </w:p>
    <w:p>
      <w:pPr>
        <w:spacing w:after="0" w:line="259" w:lineRule="exact"/>
        <w:rPr>
          <w:sz w:val="20"/>
          <w:szCs w:val="20"/>
          <w:color w:val="auto"/>
        </w:rPr>
      </w:pPr>
    </w:p>
    <w:p>
      <w:pPr>
        <w:ind w:right="220" w:firstLine="813"/>
        <w:spacing w:after="0" w:line="328" w:lineRule="auto"/>
        <w:rPr>
          <w:sz w:val="20"/>
          <w:szCs w:val="20"/>
          <w:color w:val="auto"/>
        </w:rPr>
      </w:pPr>
      <w:r>
        <w:rPr>
          <w:rFonts w:ascii="Times New Roman" w:cs="Times New Roman" w:eastAsia="Times New Roman" w:hAnsi="Times New Roman"/>
          <w:sz w:val="16"/>
          <w:szCs w:val="16"/>
          <w:color w:val="auto"/>
        </w:rPr>
        <w:t>The Registrant hereby incorporates by reference into this Registration Statement the following documents that have been filed by the Registrant with the SEC pursuant to the Securities Exchange Act of 1934, as amended (the “Exchange Act”):</w:t>
      </w:r>
    </w:p>
    <w:p>
      <w:pPr>
        <w:spacing w:after="0" w:line="72" w:lineRule="exact"/>
        <w:rPr>
          <w:sz w:val="20"/>
          <w:szCs w:val="20"/>
          <w:color w:val="auto"/>
        </w:rPr>
      </w:pPr>
    </w:p>
    <w:p>
      <w:pPr>
        <w:ind w:right="80" w:firstLine="1322"/>
        <w:spacing w:after="0" w:line="311" w:lineRule="auto"/>
        <w:tabs>
          <w:tab w:leader="none" w:pos="1674" w:val="left"/>
        </w:tabs>
        <w:numPr>
          <w:ilvl w:val="0"/>
          <w:numId w:val="1"/>
        </w:numPr>
        <w:rPr>
          <w:rFonts w:ascii="Times New Roman" w:cs="Times New Roman" w:eastAsia="Times New Roman" w:hAnsi="Times New Roman"/>
          <w:sz w:val="16"/>
          <w:szCs w:val="16"/>
          <w:u w:val="single" w:color="auto"/>
          <w:color w:val="0000EE"/>
        </w:rPr>
      </w:pPr>
      <w:hyperlink r:id="rId18">
        <w:r>
          <w:rPr>
            <w:rFonts w:ascii="Times New Roman" w:cs="Times New Roman" w:eastAsia="Times New Roman" w:hAnsi="Times New Roman"/>
            <w:sz w:val="16"/>
            <w:szCs w:val="16"/>
            <w:u w:val="single" w:color="auto"/>
            <w:color w:val="0000EE"/>
          </w:rPr>
          <w:t>The Registrant’s Annual Report on Form 10-K filed pursuant to Sections 13(a) or 15(d) of the Exchange Act, containing audited</w:t>
        </w:r>
      </w:hyperlink>
      <w:r>
        <w:rPr>
          <w:rFonts w:ascii="Times New Roman" w:cs="Times New Roman" w:eastAsia="Times New Roman" w:hAnsi="Times New Roman"/>
          <w:sz w:val="16"/>
          <w:szCs w:val="16"/>
          <w:u w:val="single" w:color="auto"/>
          <w:color w:val="0000EE"/>
        </w:rPr>
        <w:t xml:space="preserve"> </w:t>
      </w:r>
      <w:hyperlink r:id="rId18">
        <w:r>
          <w:rPr>
            <w:rFonts w:ascii="Times New Roman" w:cs="Times New Roman" w:eastAsia="Times New Roman" w:hAnsi="Times New Roman"/>
            <w:sz w:val="16"/>
            <w:szCs w:val="16"/>
            <w:u w:val="single" w:color="auto"/>
            <w:color w:val="0000EE"/>
          </w:rPr>
          <w:t>financial statements for the Registrant’s fiscal year ended December 31, 2025, as filed with the SEC on February 18, 2026 (the “2025 Annual Report”).</w:t>
        </w:r>
      </w:hyperlink>
    </w:p>
    <w:p>
      <w:pPr>
        <w:spacing w:after="0" w:line="164" w:lineRule="exact"/>
        <w:rPr>
          <w:rFonts w:ascii="Times New Roman" w:cs="Times New Roman" w:eastAsia="Times New Roman" w:hAnsi="Times New Roman"/>
          <w:sz w:val="16"/>
          <w:szCs w:val="16"/>
          <w:u w:val="single" w:color="auto"/>
          <w:color w:val="0000EE"/>
        </w:rPr>
      </w:pPr>
    </w:p>
    <w:p>
      <w:pPr>
        <w:ind w:left="1660" w:hanging="338"/>
        <w:spacing w:after="0"/>
        <w:tabs>
          <w:tab w:leader="none" w:pos="1660" w:val="left"/>
        </w:tabs>
        <w:numPr>
          <w:ilvl w:val="0"/>
          <w:numId w:val="1"/>
        </w:numPr>
        <w:rPr>
          <w:rFonts w:ascii="Times New Roman" w:cs="Times New Roman" w:eastAsia="Times New Roman" w:hAnsi="Times New Roman"/>
          <w:sz w:val="16"/>
          <w:szCs w:val="16"/>
          <w:u w:val="single" w:color="auto"/>
          <w:color w:val="0000EE"/>
        </w:rPr>
      </w:pPr>
      <w:hyperlink r:id="rId19">
        <w:r>
          <w:rPr>
            <w:rFonts w:ascii="Times New Roman" w:cs="Times New Roman" w:eastAsia="Times New Roman" w:hAnsi="Times New Roman"/>
            <w:sz w:val="16"/>
            <w:szCs w:val="16"/>
            <w:u w:val="single" w:color="auto"/>
            <w:color w:val="0000EE"/>
          </w:rPr>
          <w:t>The Registrant’s Quarterly Report on Form 10-Q for the fiscal quarter ended March 31, 2026, as filed with the SEC on April 30, 2026.</w:t>
        </w:r>
      </w:hyperlink>
    </w:p>
    <w:p>
      <w:pPr>
        <w:spacing w:after="0" w:line="230" w:lineRule="exact"/>
        <w:rPr>
          <w:rFonts w:ascii="Times New Roman" w:cs="Times New Roman" w:eastAsia="Times New Roman" w:hAnsi="Times New Roman"/>
          <w:sz w:val="16"/>
          <w:szCs w:val="16"/>
          <w:u w:val="single" w:color="auto"/>
          <w:color w:val="0000EE"/>
        </w:rPr>
      </w:pPr>
    </w:p>
    <w:p>
      <w:pPr>
        <w:ind w:left="1660" w:hanging="338"/>
        <w:spacing w:after="0"/>
        <w:tabs>
          <w:tab w:leader="none" w:pos="1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Registrant’s Current Reports on Form 8-K, as filed with the SEC on </w:t>
      </w:r>
      <w:hyperlink r:id="rId20">
        <w:r>
          <w:rPr>
            <w:rFonts w:ascii="Times New Roman" w:cs="Times New Roman" w:eastAsia="Times New Roman" w:hAnsi="Times New Roman"/>
            <w:sz w:val="16"/>
            <w:szCs w:val="16"/>
            <w:u w:val="single" w:color="auto"/>
            <w:color w:val="0000EE"/>
          </w:rPr>
          <w:t>February 12,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21">
        <w:r>
          <w:rPr>
            <w:rFonts w:ascii="Times New Roman" w:cs="Times New Roman" w:eastAsia="Times New Roman" w:hAnsi="Times New Roman"/>
            <w:sz w:val="16"/>
            <w:szCs w:val="16"/>
            <w:u w:val="single" w:color="auto"/>
            <w:color w:val="0000EE"/>
          </w:rPr>
          <w:t>June 3, 2026</w:t>
        </w:r>
      </w:hyperlink>
      <w:r>
        <w:rPr>
          <w:rFonts w:ascii="Times New Roman" w:cs="Times New Roman" w:eastAsia="Times New Roman" w:hAnsi="Times New Roman"/>
          <w:sz w:val="16"/>
          <w:szCs w:val="16"/>
          <w:color w:val="auto"/>
        </w:rPr>
        <w:t>.</w:t>
      </w:r>
    </w:p>
    <w:p>
      <w:pPr>
        <w:spacing w:after="0" w:line="216" w:lineRule="exact"/>
        <w:rPr>
          <w:rFonts w:ascii="Times New Roman" w:cs="Times New Roman" w:eastAsia="Times New Roman" w:hAnsi="Times New Roman"/>
          <w:sz w:val="16"/>
          <w:szCs w:val="16"/>
          <w:color w:val="auto"/>
        </w:rPr>
      </w:pPr>
    </w:p>
    <w:p>
      <w:pPr>
        <w:ind w:right="160" w:firstLine="1322"/>
        <w:spacing w:after="0" w:line="289" w:lineRule="auto"/>
        <w:tabs>
          <w:tab w:leader="none" w:pos="1656"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Registrant’s Common Stock contained in Registrant’s Registration Statement on </w:t>
      </w:r>
      <w:hyperlink r:id="rId22">
        <w:r>
          <w:rPr>
            <w:rFonts w:ascii="Times New Roman" w:cs="Times New Roman" w:eastAsia="Times New Roman" w:hAnsi="Times New Roman"/>
            <w:sz w:val="16"/>
            <w:szCs w:val="16"/>
            <w:u w:val="single" w:color="auto"/>
            <w:color w:val="0000EE"/>
          </w:rPr>
          <w:t>Form 8-A</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(File No. 001-34211) filed with the SEC on November 14, 2008, pursuant to Section 12(b) of the Exchange Act, including any amendment or report filed for the purpose of updating such description, including </w:t>
      </w:r>
      <w:hyperlink r:id="rId23">
        <w:r>
          <w:rPr>
            <w:rFonts w:ascii="Times New Roman" w:cs="Times New Roman" w:eastAsia="Times New Roman" w:hAnsi="Times New Roman"/>
            <w:sz w:val="16"/>
            <w:szCs w:val="16"/>
            <w:u w:val="single" w:color="auto"/>
            <w:color w:val="0000EE"/>
          </w:rPr>
          <w:t>Exhibit 4.2</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to the Registrant’s Annual Report on Form 10-K for the year ended December 31, 2019, filed with the SEC on February 20, 2020.</w:t>
      </w:r>
    </w:p>
    <w:p>
      <w:pPr>
        <w:spacing w:after="0" w:line="116" w:lineRule="exact"/>
        <w:rPr>
          <w:rFonts w:ascii="Times New Roman" w:cs="Times New Roman" w:eastAsia="Times New Roman" w:hAnsi="Times New Roman"/>
          <w:sz w:val="16"/>
          <w:szCs w:val="16"/>
          <w:color w:val="auto"/>
        </w:rPr>
      </w:pPr>
    </w:p>
    <w:p>
      <w:pPr>
        <w:ind w:right="20" w:firstLine="813"/>
        <w:spacing w:after="0" w:line="283" w:lineRule="auto"/>
        <w:rPr>
          <w:sz w:val="20"/>
          <w:szCs w:val="20"/>
          <w:color w:val="auto"/>
        </w:rPr>
      </w:pPr>
      <w:r>
        <w:rPr>
          <w:rFonts w:ascii="Times New Roman" w:cs="Times New Roman" w:eastAsia="Times New Roman" w:hAnsi="Times New Roman"/>
          <w:sz w:val="16"/>
          <w:szCs w:val="16"/>
          <w:color w:val="auto"/>
        </w:rPr>
        <w:t>All documents filed by the Registrant pursuant to Sections 13(a), 13(c), 14 and 15(d) of the Exchange Act on or after the date of this Registration Statement and prior to the filing of a post-effective amendment to this Registration Statement that indicate that all securities offered have been sold or that deregisters all securities then remaining unsold shall be deemed to be incorporated by reference into this Registration Statement and to be a part hereof from the date of filing of such documents.</w:t>
      </w:r>
    </w:p>
    <w:p>
      <w:pPr>
        <w:spacing w:after="0" w:line="121" w:lineRule="exact"/>
        <w:rPr>
          <w:rFonts w:ascii="Times New Roman" w:cs="Times New Roman" w:eastAsia="Times New Roman" w:hAnsi="Times New Roman"/>
          <w:sz w:val="16"/>
          <w:szCs w:val="16"/>
          <w:color w:val="auto"/>
        </w:rPr>
      </w:pPr>
    </w:p>
    <w:p>
      <w:pPr>
        <w:ind w:right="100" w:firstLine="813"/>
        <w:spacing w:after="0" w:line="283" w:lineRule="auto"/>
        <w:rPr>
          <w:sz w:val="20"/>
          <w:szCs w:val="20"/>
          <w:color w:val="auto"/>
        </w:rPr>
      </w:pPr>
      <w:r>
        <w:rPr>
          <w:rFonts w:ascii="Times New Roman" w:cs="Times New Roman" w:eastAsia="Times New Roman" w:hAnsi="Times New Roman"/>
          <w:sz w:val="16"/>
          <w:szCs w:val="16"/>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52" w:lineRule="exact"/>
        <w:rPr>
          <w:rFonts w:ascii="Times New Roman" w:cs="Times New Roman" w:eastAsia="Times New Roman" w:hAnsi="Times New Roman"/>
          <w:sz w:val="16"/>
          <w:szCs w:val="16"/>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Description of Securities.</w:t>
      </w:r>
    </w:p>
    <w:p>
      <w:pPr>
        <w:spacing w:after="0" w:line="125" w:lineRule="exact"/>
        <w:rPr>
          <w:rFonts w:ascii="Times New Roman" w:cs="Times New Roman" w:eastAsia="Times New Roman" w:hAnsi="Times New Roman"/>
          <w:sz w:val="16"/>
          <w:szCs w:val="16"/>
          <w:color w:val="auto"/>
        </w:rPr>
      </w:pPr>
    </w:p>
    <w:p>
      <w:pPr>
        <w:ind w:left="8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48" w:lineRule="exact"/>
        <w:rPr>
          <w:rFonts w:ascii="Times New Roman" w:cs="Times New Roman" w:eastAsia="Times New Roman" w:hAnsi="Times New Roman"/>
          <w:sz w:val="16"/>
          <w:szCs w:val="16"/>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Interests of Named Experts and Counsel.</w:t>
      </w:r>
    </w:p>
    <w:p>
      <w:pPr>
        <w:spacing w:after="0" w:line="125" w:lineRule="exact"/>
        <w:rPr>
          <w:rFonts w:ascii="Times New Roman" w:cs="Times New Roman" w:eastAsia="Times New Roman" w:hAnsi="Times New Roman"/>
          <w:sz w:val="16"/>
          <w:szCs w:val="16"/>
          <w:color w:val="auto"/>
        </w:rPr>
      </w:pPr>
    </w:p>
    <w:p>
      <w:pPr>
        <w:ind w:left="820"/>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38" w:orient="portrait"/>
          <w:cols w:equalWidth="0" w:num="1">
            <w:col w:w="10580"/>
          </w:cols>
          <w:pgMar w:left="560" w:top="832" w:right="759" w:bottom="1440" w:gutter="0" w:footer="0" w:header="0"/>
        </w:sectPr>
      </w:pPr>
    </w:p>
    <w:p>
      <w:pPr>
        <w:spacing w:after="0" w:line="200" w:lineRule="exact"/>
        <w:rPr>
          <w:rFonts w:ascii="Times New Roman" w:cs="Times New Roman" w:eastAsia="Times New Roman" w:hAnsi="Times New Roman"/>
          <w:sz w:val="16"/>
          <w:szCs w:val="16"/>
          <w:color w:val="auto"/>
        </w:rPr>
      </w:pPr>
    </w:p>
    <w:p>
      <w:pPr>
        <w:spacing w:after="0" w:line="368"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67348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6734810" cy="17145"/>
                    </a:xfrm>
                    <a:prstGeom prst="rect">
                      <a:avLst/>
                    </a:prstGeom>
                    <a:noFill/>
                  </pic:spPr>
                </pic:pic>
              </a:graphicData>
            </a:graphic>
          </wp:anchor>
        </w:drawing>
      </w:r>
    </w:p>
    <w:p>
      <w:pPr>
        <w:sectPr>
          <w:pgSz w:w="11900" w:h="16838" w:orient="portrait"/>
          <w:cols w:equalWidth="0" w:num="1">
            <w:col w:w="10580"/>
          </w:cols>
          <w:pgMar w:left="560" w:top="832" w:right="759" w:bottom="1440" w:gutter="0" w:footer="0" w:header="0"/>
          <w:type w:val="continuous"/>
        </w:sectPr>
      </w:pPr>
    </w:p>
    <w:bookmarkStart w:id="2" w:name="page3"/>
    <w:bookmarkEnd w:id="2"/>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Indemnification of Directors and Officers.</w:t>
      </w:r>
    </w:p>
    <w:p>
      <w:pPr>
        <w:spacing w:after="0" w:line="192" w:lineRule="exact"/>
        <w:rPr>
          <w:sz w:val="20"/>
          <w:szCs w:val="20"/>
          <w:color w:val="auto"/>
        </w:rPr>
      </w:pPr>
    </w:p>
    <w:p>
      <w:pPr>
        <w:ind w:firstLine="406"/>
        <w:spacing w:after="0" w:line="268" w:lineRule="auto"/>
        <w:rPr>
          <w:sz w:val="20"/>
          <w:szCs w:val="20"/>
          <w:color w:val="auto"/>
        </w:rPr>
      </w:pPr>
      <w:r>
        <w:rPr>
          <w:rFonts w:ascii="Times New Roman" w:cs="Times New Roman" w:eastAsia="Times New Roman" w:hAnsi="Times New Roman"/>
          <w:sz w:val="16"/>
          <w:szCs w:val="16"/>
          <w:color w:val="auto"/>
        </w:rPr>
        <w:t>Section 145 of the Delaware General Corporation Law (“DGCL”) provides, in general, that a corporation to indemnify any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in such capacity for another entity, against expenses (including attorneys’ fees), judgments, fines and amounts paid in settlement actually and reasonably incurred in connection with such action, suit or proceeding, if such person acted in good faith and in a manner reasonably believed to be in or not opposed to the best interests of the corporation and, with respect to any criminal action or proceeding, had no reasonable cause to believe the conduct was unlawful. The DGCL also permits a corporation to eliminate or limit director personal liability for monetary damages for breach of fiduciary duty, subject to specified exceptions, and to purchase and maintain directors’ and officers’ liability insurance.</w:t>
      </w:r>
    </w:p>
    <w:p>
      <w:pPr>
        <w:spacing w:after="0" w:line="200" w:lineRule="exact"/>
        <w:rPr>
          <w:sz w:val="20"/>
          <w:szCs w:val="20"/>
          <w:color w:val="auto"/>
        </w:rPr>
      </w:pPr>
    </w:p>
    <w:p>
      <w:pPr>
        <w:ind w:right="160" w:firstLine="406"/>
        <w:spacing w:after="0" w:line="303" w:lineRule="auto"/>
        <w:rPr>
          <w:sz w:val="20"/>
          <w:szCs w:val="20"/>
          <w:color w:val="auto"/>
        </w:rPr>
      </w:pPr>
      <w:r>
        <w:rPr>
          <w:rFonts w:ascii="Times New Roman" w:cs="Times New Roman" w:eastAsia="Times New Roman" w:hAnsi="Times New Roman"/>
          <w:sz w:val="16"/>
          <w:szCs w:val="16"/>
          <w:color w:val="auto"/>
        </w:rPr>
        <w:t>The Registrant’s bylaws provide that the Registrant will indemnify its directors and officers to the fullest extent permitted by the DGCL and provide for the advancement of expenses incurred in connection with any proceeding. The Registrant’s charter eliminates director personal liability for monetary damages for breach of fiduciary duty to the fullest extent permitted by the DGCL.</w:t>
      </w:r>
    </w:p>
    <w:p>
      <w:pPr>
        <w:spacing w:after="0" w:line="131" w:lineRule="exact"/>
        <w:rPr>
          <w:sz w:val="20"/>
          <w:szCs w:val="20"/>
          <w:color w:val="auto"/>
        </w:rPr>
      </w:pPr>
    </w:p>
    <w:p>
      <w:pPr>
        <w:ind w:firstLine="406"/>
        <w:spacing w:after="0" w:line="328" w:lineRule="auto"/>
        <w:rPr>
          <w:sz w:val="20"/>
          <w:szCs w:val="20"/>
          <w:color w:val="auto"/>
        </w:rPr>
      </w:pPr>
      <w:r>
        <w:rPr>
          <w:rFonts w:ascii="Times New Roman" w:cs="Times New Roman" w:eastAsia="Times New Roman" w:hAnsi="Times New Roman"/>
          <w:sz w:val="16"/>
          <w:szCs w:val="16"/>
          <w:color w:val="auto"/>
        </w:rPr>
        <w:t>The Registrant also maintains directors’ and officers’ liability insurance covering its directors and officers against certain liabilities, including liabilities under the Securities Act.</w:t>
      </w:r>
    </w:p>
    <w:p>
      <w:pPr>
        <w:spacing w:after="0" w:line="152" w:lineRule="exact"/>
        <w:rPr>
          <w:sz w:val="20"/>
          <w:szCs w:val="20"/>
          <w:color w:val="auto"/>
        </w:rPr>
      </w:pPr>
    </w:p>
    <w:p>
      <w:pPr>
        <w:ind w:right="40" w:firstLine="406"/>
        <w:spacing w:after="0" w:line="311" w:lineRule="auto"/>
        <w:rPr>
          <w:sz w:val="20"/>
          <w:szCs w:val="20"/>
          <w:color w:val="auto"/>
        </w:rPr>
      </w:pPr>
      <w:r>
        <w:rPr>
          <w:rFonts w:ascii="Times New Roman" w:cs="Times New Roman" w:eastAsia="Times New Roman" w:hAnsi="Times New Roman"/>
          <w:sz w:val="16"/>
          <w:szCs w:val="16"/>
          <w:color w:val="auto"/>
        </w:rPr>
        <w:t>The Registrant has entered into indemnification agreements with each of its directors and executive officers providing indemnification to the fullest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67348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734810" cy="17145"/>
                    </a:xfrm>
                    <a:prstGeom prst="rect">
                      <a:avLst/>
                    </a:prstGeom>
                    <a:noFill/>
                  </pic:spPr>
                </pic:pic>
              </a:graphicData>
            </a:graphic>
          </wp:anchor>
        </w:drawing>
      </w:r>
    </w:p>
    <w:p>
      <w:pPr>
        <w:sectPr>
          <w:pgSz w:w="11900" w:h="16838" w:orient="portrait"/>
          <w:cols w:equalWidth="0" w:num="1">
            <w:col w:w="10540"/>
          </w:cols>
          <w:pgMar w:left="560" w:top="832" w:right="799" w:bottom="1440" w:gutter="0" w:footer="0" w:header="0"/>
        </w:sectPr>
      </w:pPr>
    </w:p>
    <w:bookmarkStart w:id="3" w:name="page4"/>
    <w:bookmarkEnd w:id="3"/>
    <w:tbl>
      <w:tblPr>
        <w:tblLayout w:type="fixed"/>
        <w:tblInd w:w="6" w:type="dxa"/>
        <w:tblCellMar>
          <w:top w:w="0" w:type="dxa"/>
          <w:left w:w="0" w:type="dxa"/>
          <w:bottom w:w="0" w:type="dxa"/>
          <w:right w:w="0" w:type="dxa"/>
        </w:tblCellMar>
      </w:tblPr>
      <w:tr>
        <w:trPr>
          <w:trHeight w:val="211"/>
        </w:trPr>
        <w:tc>
          <w:tcPr>
            <w:tcW w:w="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7.</w:t>
            </w:r>
          </w:p>
        </w:tc>
        <w:tc>
          <w:tcPr>
            <w:tcW w:w="10000" w:type="dxa"/>
            <w:vAlign w:val="bottom"/>
            <w:gridSpan w:val="18"/>
          </w:tcPr>
          <w:p>
            <w:pPr>
              <w:ind w:left="200"/>
              <w:spacing w:after="0"/>
              <w:rPr>
                <w:sz w:val="20"/>
                <w:szCs w:val="20"/>
                <w:color w:val="auto"/>
              </w:rPr>
            </w:pPr>
            <w:r>
              <w:rPr>
                <w:rFonts w:ascii="Times New Roman" w:cs="Times New Roman" w:eastAsia="Times New Roman" w:hAnsi="Times New Roman"/>
                <w:sz w:val="16"/>
                <w:szCs w:val="16"/>
                <w:b w:val="1"/>
                <w:bCs w:val="1"/>
                <w:color w:val="auto"/>
              </w:rPr>
              <w:t>Exemption from Registration Claimed.</w:t>
            </w:r>
          </w:p>
        </w:tc>
        <w:tc>
          <w:tcPr>
            <w:tcW w:w="0" w:type="dxa"/>
            <w:vAlign w:val="bottom"/>
          </w:tcPr>
          <w:p>
            <w:pPr>
              <w:spacing w:after="0"/>
              <w:rPr>
                <w:sz w:val="1"/>
                <w:szCs w:val="1"/>
                <w:color w:val="auto"/>
              </w:rPr>
            </w:pPr>
          </w:p>
        </w:tc>
      </w:tr>
      <w:tr>
        <w:trPr>
          <w:trHeight w:val="307"/>
        </w:trPr>
        <w:tc>
          <w:tcPr>
            <w:tcW w:w="600" w:type="dxa"/>
            <w:vAlign w:val="bottom"/>
          </w:tcPr>
          <w:p>
            <w:pPr>
              <w:spacing w:after="0"/>
              <w:rPr>
                <w:sz w:val="24"/>
                <w:szCs w:val="24"/>
                <w:color w:val="auto"/>
              </w:rPr>
            </w:pPr>
          </w:p>
        </w:tc>
        <w:tc>
          <w:tcPr>
            <w:tcW w:w="10000" w:type="dxa"/>
            <w:vAlign w:val="bottom"/>
            <w:gridSpan w:val="18"/>
          </w:tcPr>
          <w:p>
            <w:pPr>
              <w:ind w:left="220"/>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534"/>
        </w:trPr>
        <w:tc>
          <w:tcPr>
            <w:tcW w:w="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10000" w:type="dxa"/>
            <w:vAlign w:val="bottom"/>
            <w:gridSpan w:val="18"/>
          </w:tcPr>
          <w:p>
            <w:pPr>
              <w:ind w:left="20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417"/>
        </w:trPr>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0" w:type="dxa"/>
            <w:vAlign w:val="bottom"/>
            <w:tcBorders>
              <w:bottom w:val="single" w:sz="8" w:color="auto"/>
            </w:tcBorders>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gridSpan w:val="10"/>
          </w:tcPr>
          <w:p>
            <w:pPr>
              <w:ind w:left="580"/>
              <w:spacing w:after="0" w:line="176"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300" w:type="dxa"/>
            <w:vAlign w:val="bottom"/>
            <w:tcBorders>
              <w:bottom w:val="single" w:sz="8" w:color="0000EE"/>
            </w:tcBorders>
            <w:gridSpan w:val="12"/>
          </w:tcPr>
          <w:p>
            <w:pPr>
              <w:spacing w:after="0" w:line="154" w:lineRule="exact"/>
              <w:rPr>
                <w:rFonts w:ascii="Times New Roman" w:cs="Times New Roman" w:eastAsia="Times New Roman" w:hAnsi="Times New Roman"/>
                <w:sz w:val="16"/>
                <w:szCs w:val="16"/>
                <w:color w:val="0000EE"/>
                <w:w w:val="99"/>
              </w:rPr>
            </w:pPr>
            <w:hyperlink r:id="rId26">
              <w:r>
                <w:rPr>
                  <w:rFonts w:ascii="Times New Roman" w:cs="Times New Roman" w:eastAsia="Times New Roman" w:hAnsi="Times New Roman"/>
                  <w:sz w:val="16"/>
                  <w:szCs w:val="16"/>
                  <w:color w:val="0000EE"/>
                  <w:w w:val="99"/>
                </w:rPr>
                <w:t>Amended and Restated Certificate of Incorporation of Grand Canyon Education, Inc. (incorporated by reference to Exhibit 3.1 to the Registrant’s</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0" w:type="dxa"/>
            <w:vAlign w:val="bottom"/>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4.1</w:t>
            </w:r>
          </w:p>
        </w:tc>
        <w:tc>
          <w:tcPr>
            <w:tcW w:w="520" w:type="dxa"/>
            <w:vAlign w:val="bottom"/>
          </w:tcPr>
          <w:p>
            <w:pPr>
              <w:spacing w:after="0"/>
              <w:rPr>
                <w:sz w:val="15"/>
                <w:szCs w:val="15"/>
                <w:color w:val="auto"/>
              </w:rPr>
            </w:pPr>
          </w:p>
        </w:tc>
        <w:tc>
          <w:tcPr>
            <w:tcW w:w="9480" w:type="dxa"/>
            <w:vAlign w:val="bottom"/>
            <w:gridSpan w:val="17"/>
          </w:tcPr>
          <w:p>
            <w:pPr>
              <w:spacing w:after="0" w:line="181" w:lineRule="exact"/>
              <w:rPr>
                <w:rFonts w:ascii="Times New Roman" w:cs="Times New Roman" w:eastAsia="Times New Roman" w:hAnsi="Times New Roman"/>
                <w:sz w:val="16"/>
                <w:szCs w:val="16"/>
                <w:color w:val="0000EE"/>
              </w:rPr>
            </w:pPr>
            <w:hyperlink r:id="rId26">
              <w:r>
                <w:rPr>
                  <w:rFonts w:ascii="Times New Roman" w:cs="Times New Roman" w:eastAsia="Times New Roman" w:hAnsi="Times New Roman"/>
                  <w:sz w:val="16"/>
                  <w:szCs w:val="16"/>
                  <w:color w:val="0000EE"/>
                </w:rPr>
                <w:t>Annual Report on Form 10-K filed with the SEC on February 20, 2019).</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40" w:type="dxa"/>
            <w:vAlign w:val="bottom"/>
            <w:tcBorders>
              <w:bottom w:val="single" w:sz="8" w:color="0000EE"/>
            </w:tcBorders>
            <w:gridSpan w:val="16"/>
          </w:tcPr>
          <w:p>
            <w:pPr>
              <w:spacing w:after="0" w:line="181" w:lineRule="exact"/>
              <w:rPr>
                <w:rFonts w:ascii="Times New Roman" w:cs="Times New Roman" w:eastAsia="Times New Roman" w:hAnsi="Times New Roman"/>
                <w:sz w:val="16"/>
                <w:szCs w:val="16"/>
                <w:color w:val="0000EE"/>
                <w:w w:val="99"/>
              </w:rPr>
            </w:pPr>
            <w:hyperlink r:id="rId27">
              <w:r>
                <w:rPr>
                  <w:rFonts w:ascii="Times New Roman" w:cs="Times New Roman" w:eastAsia="Times New Roman" w:hAnsi="Times New Roman"/>
                  <w:sz w:val="16"/>
                  <w:szCs w:val="16"/>
                  <w:color w:val="0000EE"/>
                  <w:w w:val="99"/>
                </w:rPr>
                <w:t>Third Amended and Restated Bylaws of Grand Canyon Education, Inc. (incorporated by reference to Exhibit 3.1 to the Registrant’s Current Report</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4.2</w:t>
            </w:r>
          </w:p>
        </w:tc>
        <w:tc>
          <w:tcPr>
            <w:tcW w:w="520" w:type="dxa"/>
            <w:vAlign w:val="bottom"/>
          </w:tcPr>
          <w:p>
            <w:pPr>
              <w:spacing w:after="0"/>
              <w:rPr>
                <w:sz w:val="15"/>
                <w:szCs w:val="15"/>
                <w:color w:val="auto"/>
              </w:rPr>
            </w:pPr>
          </w:p>
        </w:tc>
        <w:tc>
          <w:tcPr>
            <w:tcW w:w="3520" w:type="dxa"/>
            <w:vAlign w:val="bottom"/>
            <w:tcBorders>
              <w:bottom w:val="single" w:sz="8" w:color="0000EE"/>
            </w:tcBorders>
            <w:gridSpan w:val="6"/>
          </w:tcPr>
          <w:p>
            <w:pPr>
              <w:spacing w:after="0" w:line="181" w:lineRule="exact"/>
              <w:rPr>
                <w:rFonts w:ascii="Times New Roman" w:cs="Times New Roman" w:eastAsia="Times New Roman" w:hAnsi="Times New Roman"/>
                <w:sz w:val="16"/>
                <w:szCs w:val="16"/>
                <w:color w:val="0000EE"/>
                <w:w w:val="99"/>
              </w:rPr>
            </w:pPr>
            <w:hyperlink r:id="rId27">
              <w:r>
                <w:rPr>
                  <w:rFonts w:ascii="Times New Roman" w:cs="Times New Roman" w:eastAsia="Times New Roman" w:hAnsi="Times New Roman"/>
                  <w:sz w:val="16"/>
                  <w:szCs w:val="16"/>
                  <w:color w:val="0000EE"/>
                  <w:w w:val="99"/>
                </w:rPr>
                <w:t>on Form 8-K filed with the SEC on October 29, 2014).</w:t>
              </w:r>
            </w:hyperlink>
          </w:p>
        </w:tc>
        <w:tc>
          <w:tcPr>
            <w:tcW w:w="59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80" w:type="dxa"/>
            <w:vAlign w:val="bottom"/>
            <w:gridSpan w:val="17"/>
          </w:tcPr>
          <w:p>
            <w:pPr>
              <w:spacing w:after="0" w:line="181" w:lineRule="exact"/>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Specimen of Stock Certificate (incorporated herein by reference to Exhibit 4.1 to the Registrant’s Registration Statement on Form S-1 (File No.</w:t>
              </w:r>
            </w:hyperlink>
          </w:p>
        </w:tc>
        <w:tc>
          <w:tcPr>
            <w:tcW w:w="0" w:type="dxa"/>
            <w:vAlign w:val="bottom"/>
          </w:tcPr>
          <w:p>
            <w:pPr>
              <w:spacing w:after="0"/>
              <w:rPr>
                <w:sz w:val="1"/>
                <w:szCs w:val="1"/>
                <w:color w:val="auto"/>
              </w:rPr>
            </w:pPr>
          </w:p>
        </w:tc>
      </w:tr>
      <w:tr>
        <w:trPr>
          <w:trHeight w:val="180"/>
        </w:trPr>
        <w:tc>
          <w:tcPr>
            <w:tcW w:w="600" w:type="dxa"/>
            <w:vAlign w:val="bottom"/>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4.3</w:t>
            </w:r>
          </w:p>
        </w:tc>
        <w:tc>
          <w:tcPr>
            <w:tcW w:w="520" w:type="dxa"/>
            <w:vAlign w:val="bottom"/>
          </w:tcPr>
          <w:p>
            <w:pPr>
              <w:spacing w:after="0"/>
              <w:rPr>
                <w:sz w:val="15"/>
                <w:szCs w:val="15"/>
                <w:color w:val="auto"/>
              </w:rPr>
            </w:pPr>
          </w:p>
        </w:tc>
        <w:tc>
          <w:tcPr>
            <w:tcW w:w="9200" w:type="dxa"/>
            <w:vAlign w:val="bottom"/>
            <w:tcBorders>
              <w:top w:val="single" w:sz="8" w:color="0000EE"/>
            </w:tcBorders>
            <w:gridSpan w:val="12"/>
          </w:tcPr>
          <w:p>
            <w:pPr>
              <w:spacing w:after="0" w:line="181" w:lineRule="exact"/>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333-150876), as amended).</w:t>
              </w:r>
            </w:hyperlink>
          </w:p>
        </w:tc>
        <w:tc>
          <w:tcPr>
            <w:tcW w:w="2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5.1*</w:t>
            </w:r>
          </w:p>
        </w:tc>
        <w:tc>
          <w:tcPr>
            <w:tcW w:w="520" w:type="dxa"/>
            <w:vAlign w:val="bottom"/>
          </w:tcPr>
          <w:p>
            <w:pPr>
              <w:spacing w:after="0"/>
              <w:rPr>
                <w:sz w:val="15"/>
                <w:szCs w:val="15"/>
                <w:color w:val="auto"/>
              </w:rPr>
            </w:pPr>
          </w:p>
        </w:tc>
        <w:tc>
          <w:tcPr>
            <w:tcW w:w="2160" w:type="dxa"/>
            <w:vAlign w:val="bottom"/>
            <w:tcBorders>
              <w:bottom w:val="single" w:sz="8" w:color="0000EE"/>
            </w:tcBorders>
            <w:gridSpan w:val="4"/>
          </w:tcPr>
          <w:p>
            <w:pPr>
              <w:spacing w:after="0" w:line="181" w:lineRule="exact"/>
              <w:rPr>
                <w:sz w:val="20"/>
                <w:szCs w:val="20"/>
                <w:color w:val="auto"/>
              </w:rPr>
            </w:pPr>
            <w:r>
              <w:rPr>
                <w:rFonts w:ascii="Times New Roman" w:cs="Times New Roman" w:eastAsia="Times New Roman" w:hAnsi="Times New Roman"/>
                <w:sz w:val="16"/>
                <w:szCs w:val="16"/>
                <w:color w:val="0000EE"/>
                <w:w w:val="99"/>
              </w:rPr>
              <w:t>Opinion of DLA Piper LLP (US).</w:t>
            </w:r>
          </w:p>
        </w:tc>
        <w:tc>
          <w:tcPr>
            <w:tcW w:w="73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23.1*</w:t>
            </w:r>
          </w:p>
        </w:tc>
        <w:tc>
          <w:tcPr>
            <w:tcW w:w="520" w:type="dxa"/>
            <w:vAlign w:val="bottom"/>
          </w:tcPr>
          <w:p>
            <w:pPr>
              <w:spacing w:after="0"/>
              <w:rPr>
                <w:sz w:val="15"/>
                <w:szCs w:val="15"/>
                <w:color w:val="auto"/>
              </w:rPr>
            </w:pPr>
          </w:p>
        </w:tc>
        <w:tc>
          <w:tcPr>
            <w:tcW w:w="4780" w:type="dxa"/>
            <w:vAlign w:val="bottom"/>
            <w:tcBorders>
              <w:bottom w:val="single" w:sz="8" w:color="0000EE"/>
            </w:tcBorders>
            <w:gridSpan w:val="10"/>
          </w:tcPr>
          <w:p>
            <w:pPr>
              <w:spacing w:after="0" w:line="181" w:lineRule="exact"/>
              <w:rPr>
                <w:sz w:val="20"/>
                <w:szCs w:val="20"/>
                <w:color w:val="auto"/>
              </w:rPr>
            </w:pPr>
            <w:r>
              <w:rPr>
                <w:rFonts w:ascii="Times New Roman" w:cs="Times New Roman" w:eastAsia="Times New Roman" w:hAnsi="Times New Roman"/>
                <w:sz w:val="16"/>
                <w:szCs w:val="16"/>
                <w:color w:val="0000EE"/>
                <w:w w:val="99"/>
              </w:rPr>
              <w:t>Consent of KPMG LLP, an independent registered public accounting firm.</w:t>
            </w:r>
          </w:p>
        </w:tc>
        <w:tc>
          <w:tcPr>
            <w:tcW w:w="47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23.2*</w:t>
            </w:r>
          </w:p>
        </w:tc>
        <w:tc>
          <w:tcPr>
            <w:tcW w:w="520" w:type="dxa"/>
            <w:vAlign w:val="bottom"/>
          </w:tcPr>
          <w:p>
            <w:pPr>
              <w:spacing w:after="0"/>
              <w:rPr>
                <w:sz w:val="15"/>
                <w:szCs w:val="15"/>
                <w:color w:val="auto"/>
              </w:rPr>
            </w:pPr>
          </w:p>
        </w:tc>
        <w:tc>
          <w:tcPr>
            <w:tcW w:w="4360" w:type="dxa"/>
            <w:vAlign w:val="bottom"/>
            <w:tcBorders>
              <w:bottom w:val="single" w:sz="8" w:color="0000EE"/>
            </w:tcBorders>
            <w:gridSpan w:val="8"/>
          </w:tcPr>
          <w:p>
            <w:pPr>
              <w:spacing w:after="0" w:line="181" w:lineRule="exact"/>
              <w:rPr>
                <w:sz w:val="20"/>
                <w:szCs w:val="20"/>
                <w:color w:val="auto"/>
              </w:rPr>
            </w:pPr>
            <w:r>
              <w:rPr>
                <w:rFonts w:ascii="Times New Roman" w:cs="Times New Roman" w:eastAsia="Times New Roman" w:hAnsi="Times New Roman"/>
                <w:sz w:val="16"/>
                <w:szCs w:val="16"/>
                <w:color w:val="0000EE"/>
                <w:w w:val="99"/>
              </w:rPr>
              <w:t>Consent of DLA Piper LLP (US) (included as a part of Exhibit 5.1).</w:t>
            </w:r>
          </w:p>
        </w:tc>
        <w:tc>
          <w:tcPr>
            <w:tcW w:w="51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24.1*</w:t>
            </w:r>
          </w:p>
        </w:tc>
        <w:tc>
          <w:tcPr>
            <w:tcW w:w="520" w:type="dxa"/>
            <w:vAlign w:val="bottom"/>
          </w:tcPr>
          <w:p>
            <w:pPr>
              <w:spacing w:after="0"/>
              <w:rPr>
                <w:sz w:val="15"/>
                <w:szCs w:val="15"/>
                <w:color w:val="auto"/>
              </w:rPr>
            </w:pPr>
          </w:p>
        </w:tc>
        <w:tc>
          <w:tcPr>
            <w:tcW w:w="5780" w:type="dxa"/>
            <w:vAlign w:val="bottom"/>
            <w:tcBorders>
              <w:bottom w:val="single" w:sz="8" w:color="0000EE"/>
            </w:tcBorders>
            <w:gridSpan w:val="11"/>
          </w:tcPr>
          <w:p>
            <w:pPr>
              <w:spacing w:after="0" w:line="181" w:lineRule="exact"/>
              <w:rPr>
                <w:sz w:val="20"/>
                <w:szCs w:val="20"/>
                <w:color w:val="auto"/>
              </w:rPr>
            </w:pPr>
            <w:r>
              <w:rPr>
                <w:rFonts w:ascii="Times New Roman" w:cs="Times New Roman" w:eastAsia="Times New Roman" w:hAnsi="Times New Roman"/>
                <w:sz w:val="16"/>
                <w:szCs w:val="16"/>
                <w:color w:val="0000EE"/>
                <w:w w:val="99"/>
              </w:rPr>
              <w:t>Powers of Attorney (included as part of the signature page to this Registration Statement).</w:t>
            </w:r>
          </w:p>
        </w:tc>
        <w:tc>
          <w:tcPr>
            <w:tcW w:w="37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340" w:type="dxa"/>
            <w:vAlign w:val="bottom"/>
            <w:tcBorders>
              <w:bottom w:val="single" w:sz="8" w:color="0000EE"/>
            </w:tcBorders>
            <w:gridSpan w:val="14"/>
          </w:tcPr>
          <w:p>
            <w:pPr>
              <w:spacing w:after="0" w:line="181" w:lineRule="exact"/>
              <w:rPr>
                <w:rFonts w:ascii="Times New Roman" w:cs="Times New Roman" w:eastAsia="Times New Roman" w:hAnsi="Times New Roman"/>
                <w:sz w:val="16"/>
                <w:szCs w:val="16"/>
                <w:color w:val="0000EE"/>
                <w:w w:val="99"/>
              </w:rPr>
            </w:pPr>
            <w:hyperlink r:id="rId29">
              <w:r>
                <w:rPr>
                  <w:rFonts w:ascii="Times New Roman" w:cs="Times New Roman" w:eastAsia="Times New Roman" w:hAnsi="Times New Roman"/>
                  <w:sz w:val="16"/>
                  <w:szCs w:val="16"/>
                  <w:color w:val="0000EE"/>
                  <w:w w:val="99"/>
                </w:rPr>
                <w:t>Grand Canyon Education, Inc. 2026 Equity Incentive Plan (incorporated by reference to Exhibit 10.1 of Registrant’s Current Report on Form 8-K</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520" w:type="dxa"/>
            <w:vAlign w:val="bottom"/>
          </w:tcPr>
          <w:p>
            <w:pPr>
              <w:spacing w:after="0"/>
              <w:rPr>
                <w:sz w:val="15"/>
                <w:szCs w:val="15"/>
                <w:color w:val="auto"/>
              </w:rPr>
            </w:pPr>
          </w:p>
        </w:tc>
        <w:tc>
          <w:tcPr>
            <w:tcW w:w="2420" w:type="dxa"/>
            <w:vAlign w:val="bottom"/>
            <w:tcBorders>
              <w:bottom w:val="single" w:sz="8" w:color="0000EE"/>
            </w:tcBorders>
            <w:gridSpan w:val="5"/>
          </w:tcPr>
          <w:p>
            <w:pPr>
              <w:spacing w:after="0" w:line="181" w:lineRule="exact"/>
              <w:rPr>
                <w:rFonts w:ascii="Times New Roman" w:cs="Times New Roman" w:eastAsia="Times New Roman" w:hAnsi="Times New Roman"/>
                <w:sz w:val="16"/>
                <w:szCs w:val="16"/>
                <w:color w:val="0000EE"/>
                <w:w w:val="99"/>
              </w:rPr>
            </w:pPr>
            <w:hyperlink r:id="rId29">
              <w:r>
                <w:rPr>
                  <w:rFonts w:ascii="Times New Roman" w:cs="Times New Roman" w:eastAsia="Times New Roman" w:hAnsi="Times New Roman"/>
                  <w:sz w:val="16"/>
                  <w:szCs w:val="16"/>
                  <w:color w:val="0000EE"/>
                  <w:w w:val="99"/>
                </w:rPr>
                <w:t>filed with the SEC on June 10, 2026).</w:t>
              </w:r>
            </w:hyperlink>
          </w:p>
        </w:tc>
        <w:tc>
          <w:tcPr>
            <w:tcW w:w="70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80" w:type="dxa"/>
            <w:vAlign w:val="bottom"/>
            <w:gridSpan w:val="17"/>
          </w:tcPr>
          <w:p>
            <w:pPr>
              <w:spacing w:after="0" w:line="181" w:lineRule="exact"/>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Form of Grant of Restricted Stock Agreement under 2026 Equity Incentive Plan (incorporated by reference to Exhibit 10.2 of Registrant’s Current</w:t>
              </w:r>
            </w:hyperlink>
          </w:p>
        </w:tc>
        <w:tc>
          <w:tcPr>
            <w:tcW w:w="0" w:type="dxa"/>
            <w:vAlign w:val="bottom"/>
          </w:tcPr>
          <w:p>
            <w:pPr>
              <w:spacing w:after="0"/>
              <w:rPr>
                <w:sz w:val="1"/>
                <w:szCs w:val="1"/>
                <w:color w:val="auto"/>
              </w:rPr>
            </w:pPr>
          </w:p>
        </w:tc>
      </w:tr>
      <w:tr>
        <w:trPr>
          <w:trHeight w:val="180"/>
        </w:trPr>
        <w:tc>
          <w:tcPr>
            <w:tcW w:w="600" w:type="dxa"/>
            <w:vAlign w:val="bottom"/>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99.2</w:t>
            </w:r>
          </w:p>
        </w:tc>
        <w:tc>
          <w:tcPr>
            <w:tcW w:w="520" w:type="dxa"/>
            <w:vAlign w:val="bottom"/>
          </w:tcPr>
          <w:p>
            <w:pPr>
              <w:spacing w:after="0"/>
              <w:rPr>
                <w:sz w:val="15"/>
                <w:szCs w:val="15"/>
                <w:color w:val="auto"/>
              </w:rPr>
            </w:pPr>
          </w:p>
        </w:tc>
        <w:tc>
          <w:tcPr>
            <w:tcW w:w="9380" w:type="dxa"/>
            <w:vAlign w:val="bottom"/>
            <w:tcBorders>
              <w:top w:val="single" w:sz="8" w:color="0000EE"/>
            </w:tcBorders>
            <w:gridSpan w:val="15"/>
          </w:tcPr>
          <w:p>
            <w:pPr>
              <w:spacing w:after="0" w:line="181" w:lineRule="exact"/>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Report on Form 8-K filed with the SEC on June 10, 2026).</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107*</w:t>
            </w:r>
          </w:p>
        </w:tc>
        <w:tc>
          <w:tcPr>
            <w:tcW w:w="520" w:type="dxa"/>
            <w:vAlign w:val="bottom"/>
          </w:tcPr>
          <w:p>
            <w:pPr>
              <w:spacing w:after="0"/>
              <w:rPr>
                <w:sz w:val="15"/>
                <w:szCs w:val="15"/>
                <w:color w:val="auto"/>
              </w:rPr>
            </w:pPr>
          </w:p>
        </w:tc>
        <w:tc>
          <w:tcPr>
            <w:tcW w:w="3760" w:type="dxa"/>
            <w:vAlign w:val="bottom"/>
            <w:tcBorders>
              <w:top w:val="single" w:sz="8" w:color="0000EE"/>
            </w:tcBorders>
            <w:gridSpan w:val="7"/>
          </w:tcPr>
          <w:p>
            <w:pPr>
              <w:spacing w:after="0" w:line="181" w:lineRule="exact"/>
              <w:rPr>
                <w:sz w:val="20"/>
                <w:szCs w:val="20"/>
                <w:color w:val="auto"/>
              </w:rPr>
            </w:pPr>
            <w:r>
              <w:rPr>
                <w:rFonts w:ascii="Times New Roman" w:cs="Times New Roman" w:eastAsia="Times New Roman" w:hAnsi="Times New Roman"/>
                <w:sz w:val="16"/>
                <w:szCs w:val="16"/>
                <w:color w:val="0000EE"/>
              </w:rPr>
              <w:t>Filing Fee Table.</w:t>
            </w:r>
          </w:p>
        </w:tc>
        <w:tc>
          <w:tcPr>
            <w:tcW w:w="57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*Filed herewith</w:t>
      </w:r>
    </w:p>
    <w:p>
      <w:pPr>
        <w:spacing w:after="0" w:line="241" w:lineRule="exact"/>
        <w:rPr>
          <w:sz w:val="20"/>
          <w:szCs w:val="20"/>
          <w:color w:val="auto"/>
        </w:rPr>
      </w:pPr>
    </w:p>
    <w:p>
      <w:pPr>
        <w:ind w:left="6"/>
        <w:spacing w:after="0"/>
        <w:tabs>
          <w:tab w:leader="none" w:pos="786"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125" w:lineRule="exact"/>
        <w:rPr>
          <w:sz w:val="20"/>
          <w:szCs w:val="20"/>
          <w:color w:val="auto"/>
        </w:rPr>
      </w:pPr>
    </w:p>
    <w:p>
      <w:pPr>
        <w:ind w:left="326" w:hanging="326"/>
        <w:spacing w:after="0"/>
        <w:tabs>
          <w:tab w:leader="none" w:pos="32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123" w:lineRule="exact"/>
        <w:rPr>
          <w:rFonts w:ascii="Times New Roman" w:cs="Times New Roman" w:eastAsia="Times New Roman" w:hAnsi="Times New Roman"/>
          <w:sz w:val="16"/>
          <w:szCs w:val="16"/>
          <w:color w:val="auto"/>
        </w:rPr>
      </w:pPr>
    </w:p>
    <w:p>
      <w:pPr>
        <w:ind w:left="1086" w:hanging="271"/>
        <w:spacing w:after="0"/>
        <w:tabs>
          <w:tab w:leader="none" w:pos="108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123" w:lineRule="exact"/>
        <w:rPr>
          <w:rFonts w:ascii="Times New Roman" w:cs="Times New Roman" w:eastAsia="Times New Roman" w:hAnsi="Times New Roman"/>
          <w:sz w:val="16"/>
          <w:szCs w:val="16"/>
          <w:color w:val="auto"/>
        </w:rPr>
      </w:pPr>
    </w:p>
    <w:p>
      <w:pPr>
        <w:ind w:left="1706" w:hanging="397"/>
        <w:spacing w:after="0"/>
        <w:tabs>
          <w:tab w:leader="none" w:pos="1706" w:val="left"/>
        </w:tabs>
        <w:numPr>
          <w:ilvl w:val="2"/>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 of 1933;</w:t>
      </w:r>
    </w:p>
    <w:p>
      <w:pPr>
        <w:spacing w:after="0" w:line="136" w:lineRule="exact"/>
        <w:rPr>
          <w:rFonts w:ascii="Times New Roman" w:cs="Times New Roman" w:eastAsia="Times New Roman" w:hAnsi="Times New Roman"/>
          <w:sz w:val="16"/>
          <w:szCs w:val="16"/>
          <w:color w:val="auto"/>
        </w:rPr>
      </w:pPr>
    </w:p>
    <w:p>
      <w:pPr>
        <w:ind w:left="1706" w:right="20" w:hanging="397"/>
        <w:spacing w:after="0" w:line="273" w:lineRule="auto"/>
        <w:tabs>
          <w:tab w:leader="none" w:pos="1706" w:val="left"/>
        </w:tabs>
        <w:numPr>
          <w:ilvl w:val="2"/>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7348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6734810" cy="25400"/>
                    </a:xfrm>
                    <a:prstGeom prst="rect">
                      <a:avLst/>
                    </a:prstGeom>
                    <a:noFill/>
                  </pic:spPr>
                </pic:pic>
              </a:graphicData>
            </a:graphic>
          </wp:anchor>
        </w:drawing>
      </w:r>
    </w:p>
    <w:p>
      <w:pPr>
        <w:sectPr>
          <w:pgSz w:w="11900" w:h="16838" w:orient="portrait"/>
          <w:cols w:equalWidth="0" w:num="1">
            <w:col w:w="10606"/>
          </w:cols>
          <w:pgMar w:left="554" w:top="1059" w:right="739" w:bottom="1440" w:gutter="0" w:footer="0" w:header="0"/>
        </w:sectPr>
      </w:pPr>
    </w:p>
    <w:bookmarkStart w:id="4" w:name="page5"/>
    <w:bookmarkEnd w:id="4"/>
    <w:p>
      <w:pPr>
        <w:ind w:left="1720" w:right="220"/>
        <w:spacing w:after="0" w:line="312" w:lineRule="auto"/>
        <w:rPr>
          <w:sz w:val="20"/>
          <w:szCs w:val="20"/>
          <w:color w:val="auto"/>
        </w:rPr>
      </w:pPr>
      <w:r>
        <w:rPr>
          <w:rFonts w:ascii="Times New Roman" w:cs="Times New Roman" w:eastAsia="Times New Roman" w:hAnsi="Times New Roman"/>
          <w:sz w:val="16"/>
          <w:szCs w:val="16"/>
          <w:color w:val="auto"/>
        </w:rPr>
        <w:t>424(b) if, in the aggregate, the changes in volume and price represent no more than a 20% change in the maximum aggregate offering price set forth in the “Calculation of Filing Fees Tables” or “Calculation of Registration Fee” table, as applicable, in the effective Registration Statement; and</w:t>
      </w:r>
    </w:p>
    <w:p>
      <w:pPr>
        <w:spacing w:after="0" w:line="191" w:lineRule="exact"/>
        <w:rPr>
          <w:sz w:val="20"/>
          <w:szCs w:val="20"/>
          <w:color w:val="auto"/>
        </w:rPr>
      </w:pPr>
    </w:p>
    <w:p>
      <w:pPr>
        <w:ind w:left="1700" w:right="40" w:hanging="397"/>
        <w:spacing w:after="0" w:line="311" w:lineRule="auto"/>
        <w:tabs>
          <w:tab w:leader="none" w:pos="17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98" w:lineRule="exact"/>
        <w:rPr>
          <w:sz w:val="20"/>
          <w:szCs w:val="20"/>
          <w:color w:val="auto"/>
        </w:rPr>
      </w:pPr>
    </w:p>
    <w:p>
      <w:pPr>
        <w:ind w:firstLine="813"/>
        <w:spacing w:after="0" w:line="295" w:lineRule="auto"/>
        <w:rPr>
          <w:sz w:val="20"/>
          <w:szCs w:val="20"/>
          <w:color w:val="auto"/>
        </w:rPr>
      </w:pPr>
      <w:r>
        <w:rPr>
          <w:rFonts w:ascii="Times New Roman" w:cs="Times New Roman" w:eastAsia="Times New Roman" w:hAnsi="Times New Roman"/>
          <w:sz w:val="16"/>
          <w:szCs w:val="16"/>
          <w:color w:val="auto"/>
        </w:rPr>
        <w:t>Provided however, that paragraphs (a)(1)(i) and (a)(1)(ii)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and</w:t>
      </w:r>
    </w:p>
    <w:p>
      <w:pPr>
        <w:spacing w:after="0" w:line="123" w:lineRule="exact"/>
        <w:rPr>
          <w:sz w:val="20"/>
          <w:szCs w:val="20"/>
          <w:color w:val="auto"/>
        </w:rPr>
      </w:pPr>
    </w:p>
    <w:p>
      <w:pPr>
        <w:jc w:val="both"/>
        <w:ind w:right="60" w:firstLine="814"/>
        <w:spacing w:after="0" w:line="286" w:lineRule="auto"/>
        <w:tabs>
          <w:tab w:leader="none" w:pos="1091"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3" w:lineRule="exact"/>
        <w:rPr>
          <w:rFonts w:ascii="Times New Roman" w:cs="Times New Roman" w:eastAsia="Times New Roman" w:hAnsi="Times New Roman"/>
          <w:sz w:val="16"/>
          <w:szCs w:val="16"/>
          <w:color w:val="auto"/>
        </w:rPr>
      </w:pPr>
    </w:p>
    <w:p>
      <w:pPr>
        <w:ind w:right="820" w:firstLine="814"/>
        <w:spacing w:after="0" w:line="328" w:lineRule="auto"/>
        <w:tabs>
          <w:tab w:leader="none" w:pos="1091"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71" w:lineRule="exact"/>
        <w:rPr>
          <w:rFonts w:ascii="Times New Roman" w:cs="Times New Roman" w:eastAsia="Times New Roman" w:hAnsi="Times New Roman"/>
          <w:sz w:val="16"/>
          <w:szCs w:val="16"/>
          <w:color w:val="auto"/>
        </w:rPr>
      </w:pPr>
    </w:p>
    <w:p>
      <w:pPr>
        <w:ind w:right="140" w:firstLine="1"/>
        <w:spacing w:after="0" w:line="277" w:lineRule="auto"/>
        <w:tabs>
          <w:tab w:leader="none" w:pos="34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6"/>
          <w:szCs w:val="16"/>
          <w:color w:val="auto"/>
        </w:rPr>
      </w:pPr>
    </w:p>
    <w:p>
      <w:pPr>
        <w:ind w:right="60" w:firstLine="1"/>
        <w:spacing w:after="0" w:line="290" w:lineRule="auto"/>
        <w:tabs>
          <w:tab w:leader="none" w:pos="338"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of 1933 may be permitted to directors, officers and controlling persons of the Registrant pursuant to the indemnification provisions summarized in Item 6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67348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734810" cy="17145"/>
                    </a:xfrm>
                    <a:prstGeom prst="rect">
                      <a:avLst/>
                    </a:prstGeom>
                    <a:noFill/>
                  </pic:spPr>
                </pic:pic>
              </a:graphicData>
            </a:graphic>
          </wp:anchor>
        </w:drawing>
      </w:r>
    </w:p>
    <w:p>
      <w:pPr>
        <w:sectPr>
          <w:pgSz w:w="11900" w:h="16838" w:orient="portrait"/>
          <w:cols w:equalWidth="0" w:num="1">
            <w:col w:w="10520"/>
          </w:cols>
          <w:pgMar w:left="560" w:top="954" w:right="81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2" w:lineRule="exact"/>
        <w:rPr>
          <w:sz w:val="20"/>
          <w:szCs w:val="20"/>
          <w:color w:val="auto"/>
        </w:rPr>
      </w:pPr>
    </w:p>
    <w:p>
      <w:pPr>
        <w:jc w:val="both"/>
        <w:ind w:firstLine="813"/>
        <w:spacing w:after="0" w:line="286"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Phoenix, State of Arizona, on June 10, 2026.</w:t>
      </w:r>
    </w:p>
    <w:p>
      <w:pPr>
        <w:spacing w:after="0" w:line="15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auto"/>
        </w:rPr>
        <w:t>GRAND CANYON EDUCATION, INC.</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By:  s/ Brian E. Mueller</w:t>
      </w:r>
    </w:p>
    <w:p>
      <w:pPr>
        <w:spacing w:after="0" w:line="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4229100</wp:posOffset>
            </wp:positionH>
            <wp:positionV relativeFrom="paragraph">
              <wp:posOffset>-115570</wp:posOffset>
            </wp:positionV>
            <wp:extent cx="25025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19" w:lineRule="exact"/>
        <w:rPr>
          <w:sz w:val="20"/>
          <w:szCs w:val="20"/>
          <w:color w:val="auto"/>
        </w:rPr>
      </w:pPr>
    </w:p>
    <w:p>
      <w:pPr>
        <w:ind w:firstLine="406"/>
        <w:spacing w:after="0" w:line="271" w:lineRule="auto"/>
        <w:rPr>
          <w:sz w:val="20"/>
          <w:szCs w:val="20"/>
          <w:color w:val="auto"/>
        </w:rPr>
      </w:pPr>
      <w:r>
        <w:rPr>
          <w:rFonts w:ascii="Times New Roman" w:cs="Times New Roman" w:eastAsia="Times New Roman" w:hAnsi="Times New Roman"/>
          <w:sz w:val="16"/>
          <w:szCs w:val="16"/>
          <w:color w:val="auto"/>
        </w:rPr>
        <w:t>Each director and officer whose signature appears below hereby appoints Brian E. Mueller, Daniel E. Bachus and Sarah S. Collins and each of them, as his or her true and lawful attorney-in-fact,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 granting to such attorney-in-fact full power and authority to do and perform each and every act and thing requisite and necessary to be done in connection therewith, as full to all intents and purposes as he or she might or could do in person, hereby ratifying and confirming all that said attorney-in-fact, or his or her substitutes or substitutes, may lawfully do or cause to be done by virtue hereof.</w:t>
      </w:r>
    </w:p>
    <w:p>
      <w:pPr>
        <w:spacing w:after="0" w:line="156" w:lineRule="exact"/>
        <w:rPr>
          <w:sz w:val="20"/>
          <w:szCs w:val="20"/>
          <w:color w:val="auto"/>
        </w:rPr>
      </w:pPr>
    </w:p>
    <w:p>
      <w:pPr>
        <w:ind w:right="240" w:firstLine="406"/>
        <w:spacing w:after="0" w:line="311" w:lineRule="auto"/>
        <w:rPr>
          <w:sz w:val="20"/>
          <w:szCs w:val="20"/>
          <w:color w:val="auto"/>
        </w:rPr>
      </w:pPr>
      <w:r>
        <w:rPr>
          <w:rFonts w:ascii="Times New Roman" w:cs="Times New Roman" w:eastAsia="Times New Roman" w:hAnsi="Times New Roman"/>
          <w:sz w:val="16"/>
          <w:szCs w:val="16"/>
          <w:color w:val="auto"/>
        </w:rPr>
        <w:t>Pursuant to the requirements of the Securities Act, this Registration Statement and the Power of Attorney have been signed by the following persons in the capacities and on the dates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20" w:type="dxa"/>
            <w:vAlign w:val="bottom"/>
          </w:tcPr>
          <w:p>
            <w:pPr>
              <w:spacing w:after="0"/>
              <w:rPr>
                <w:sz w:val="18"/>
                <w:szCs w:val="18"/>
                <w:color w:val="auto"/>
              </w:rPr>
            </w:pP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Signature</w:t>
            </w:r>
          </w:p>
        </w:tc>
        <w:tc>
          <w:tcPr>
            <w:tcW w:w="1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Pr>
          <w:p>
            <w:pPr>
              <w:spacing w:after="0"/>
              <w:rPr>
                <w:sz w:val="18"/>
                <w:szCs w:val="18"/>
                <w:color w:val="auto"/>
              </w:rPr>
            </w:pPr>
          </w:p>
        </w:tc>
      </w:tr>
      <w:tr>
        <w:trPr>
          <w:trHeight w:val="35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By: /s/ Brian E. Mueller</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President, Chief Executive Officer and Chairman</w:t>
            </w:r>
          </w:p>
        </w:tc>
        <w:tc>
          <w:tcPr>
            <w:tcW w:w="202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color w:val="auto"/>
              </w:rPr>
              <w:t>June 10, 2026</w:t>
            </w:r>
          </w:p>
        </w:tc>
      </w:tr>
      <w:tr>
        <w:trPr>
          <w:trHeight w:val="208"/>
        </w:trPr>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Brian E. Mueller</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60"/>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By: /s/ Daniel E. Bachus</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202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color w:val="auto"/>
              </w:rPr>
              <w:t>June 10, 2026</w:t>
            </w:r>
          </w:p>
        </w:tc>
      </w:tr>
      <w:tr>
        <w:trPr>
          <w:trHeight w:val="208"/>
        </w:trPr>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Daniel E. Bachus</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60"/>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By: /s/ Lori Browning</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SVP, Controller - Chief Accounting Officer</w:t>
            </w:r>
          </w:p>
        </w:tc>
        <w:tc>
          <w:tcPr>
            <w:tcW w:w="202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color w:val="auto"/>
              </w:rPr>
              <w:t>June 10, 2026</w:t>
            </w:r>
          </w:p>
        </w:tc>
      </w:tr>
      <w:tr>
        <w:trPr>
          <w:trHeight w:val="208"/>
        </w:trPr>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Lori Browning</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63"/>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By: /s/ Sara Ward</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02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color w:val="auto"/>
              </w:rPr>
              <w:t>June 10, 2026</w:t>
            </w:r>
          </w:p>
        </w:tc>
      </w:tr>
      <w:tr>
        <w:trPr>
          <w:trHeight w:val="205"/>
        </w:trPr>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Sara Ward</w:t>
            </w:r>
          </w:p>
        </w:tc>
        <w:tc>
          <w:tcPr>
            <w:tcW w:w="2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63"/>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By: /s/ Jack A. Henry</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02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color w:val="auto"/>
              </w:rPr>
              <w:t>June 10, 2026</w:t>
            </w:r>
          </w:p>
        </w:tc>
      </w:tr>
      <w:tr>
        <w:trPr>
          <w:trHeight w:val="205"/>
        </w:trPr>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Jack A. Henry</w:t>
            </w:r>
          </w:p>
        </w:tc>
        <w:tc>
          <w:tcPr>
            <w:tcW w:w="2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63"/>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By: /s/ Lisa Graham Keegan</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02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color w:val="auto"/>
              </w:rPr>
              <w:t>June 10, 2026</w:t>
            </w:r>
          </w:p>
        </w:tc>
      </w:tr>
      <w:tr>
        <w:trPr>
          <w:trHeight w:val="205"/>
        </w:trPr>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Lisa Graham Keegan</w:t>
            </w:r>
          </w:p>
        </w:tc>
        <w:tc>
          <w:tcPr>
            <w:tcW w:w="2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63"/>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By: /s/ Chevy Humphrey</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02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color w:val="auto"/>
              </w:rPr>
              <w:t>June 10, 2026</w:t>
            </w:r>
          </w:p>
        </w:tc>
      </w:tr>
      <w:tr>
        <w:trPr>
          <w:trHeight w:val="205"/>
        </w:trPr>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Chevy Humphrey</w:t>
            </w:r>
          </w:p>
        </w:tc>
        <w:tc>
          <w:tcPr>
            <w:tcW w:w="2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63"/>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By: /s/ Kevin F. Warren</w:t>
            </w:r>
          </w:p>
        </w:tc>
        <w:tc>
          <w:tcPr>
            <w:tcW w:w="4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02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color w:val="auto"/>
              </w:rPr>
              <w:t>June 10, 2026</w:t>
            </w:r>
          </w:p>
        </w:tc>
      </w:tr>
      <w:tr>
        <w:trPr>
          <w:trHeight w:val="205"/>
        </w:trPr>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Kevin F. Warren</w:t>
            </w:r>
          </w:p>
        </w:tc>
        <w:tc>
          <w:tcPr>
            <w:tcW w:w="2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67348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734810" cy="25400"/>
                    </a:xfrm>
                    <a:prstGeom prst="rect">
                      <a:avLst/>
                    </a:prstGeom>
                    <a:noFill/>
                  </pic:spPr>
                </pic:pic>
              </a:graphicData>
            </a:graphic>
          </wp:anchor>
        </w:drawing>
      </w:r>
    </w:p>
    <w:p>
      <w:pPr>
        <w:sectPr>
          <w:pgSz w:w="11900" w:h="16838" w:orient="portrait"/>
          <w:cols w:equalWidth="0" w:num="1">
            <w:col w:w="10560"/>
          </w:cols>
          <w:pgMar w:left="560" w:top="832" w:right="7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3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DLA Piper LLP (US)</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2525 East Camelback Road, Suite 1000</w:t>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Phoenix, Arizona 85016</w:t>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www.dlapiper.com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DLA Piper LLP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2525 East Camelback Road, Suite 1000</w:t>
      </w:r>
    </w:p>
    <w:p>
      <w:pPr>
        <w:spacing w:after="0"/>
        <w:rPr>
          <w:sz w:val="20"/>
          <w:szCs w:val="20"/>
          <w:color w:val="auto"/>
        </w:rPr>
      </w:pPr>
      <w:r>
        <w:rPr>
          <w:rFonts w:ascii="Times New Roman" w:cs="Times New Roman" w:eastAsia="Times New Roman" w:hAnsi="Times New Roman"/>
          <w:sz w:val="20"/>
          <w:szCs w:val="20"/>
          <w:color w:val="auto"/>
        </w:rPr>
        <w:t>Phoenix, Arizona 85016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916305" cy="534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916305" cy="53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Grand Canyon Education,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2600 W. Camelback Road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Phoenix, Arizona 85017</w:t>
      </w:r>
    </w:p>
    <w:p>
      <w:pPr>
        <w:spacing w:after="0" w:line="2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Re:</w:t>
        <w:tab/>
        <w:t>Registration Statement on Form S-8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17"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6"/>
          <w:szCs w:val="16"/>
          <w:color w:val="auto"/>
        </w:rPr>
        <w:t>We have acted as counsel for Grand Canyon Education, Inc., a Delaware corporation (the “Company”), in connection with the preparation and filing of the Registration Statement on Form S-8 (the “Registration Statement”) filed or to be filed by the Company with the Securities and Exchange Commission (the “Commission”) under the Securities Act of 1933, as amended (the “Securities Act”), with respect to the issuance from time to time of up to 1,498,282 shares of the Company’s Common Stock, par value $0.01 per share (the “Shares”), pursuant to awards granted or to be granted under the Company’s 2026 Equity Incentive Plan (as amended from time to time, the “Plan”).</w:t>
      </w:r>
    </w:p>
    <w:p>
      <w:pPr>
        <w:spacing w:after="0" w:line="14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color w:val="auto"/>
        </w:rPr>
        <w:t>In connection herewith, we have examined all instruments, documents and records which we deemed relevant and necessary for the basis of our opinion hereinafter expressed. In such examination, we have assumed, without independent investigation, the following: (i) the genuineness of all signatures on all documents; (ii) that each individual executing any document, whether on behalf of such individual or an entity, is legally competent to do so; (iii) the due authority of the parties signing any document on behalf of a party (other than the Company); (iv) the authenticity of all documents submitted to us as originals; (v) the conformity to the originals of all documents submitted to us as certified or photostatic copies; (vi) that all public records reviewed or relied upon by us are true and complete; (vii) that all statements and information contained in any documents are true and complete; (viii) that there has been no oral or written modification or amendments to any documents by action or omission of the parties or otherwise. We have also assumed that the offer and sale of the Shares complies and will comply in all respects with the terms, conditions and restrictions set forth in the Registration Statement and the Plan. The Company has represented to us and we have also assumed that the Company has reserved from its duly authorized but unissued and otherwise unreserved capital stock a sufficient number of shares of Common Stock as were approved by the Company’s stockholders for issuance under the Plan. We have also assumed 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settlement of awards under the Plan.</w:t>
      </w:r>
    </w:p>
    <w:p>
      <w:pPr>
        <w:spacing w:after="0" w:line="136"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6"/>
          <w:szCs w:val="16"/>
          <w:color w:val="auto"/>
        </w:rPr>
        <w:t>We do not express any opinion herein concerning any law other than the Delaware General Corporation Law (including the statutory provisions, all applicable provisions of the Delaware Constitution and the reported judicial decisions interpreting the foregoing). No opinion is expressed herein with respect to the qualification of the Shares under the securities or blue sky laws of any state or any foreign jurisdiction.</w:t>
      </w:r>
    </w:p>
    <w:p>
      <w:pPr>
        <w:spacing w:after="0" w:line="123" w:lineRule="exact"/>
        <w:rPr>
          <w:sz w:val="20"/>
          <w:szCs w:val="20"/>
          <w:color w:val="auto"/>
        </w:rPr>
      </w:pPr>
    </w:p>
    <w:p>
      <w:pPr>
        <w:ind w:right="520"/>
        <w:spacing w:after="0" w:line="328" w:lineRule="auto"/>
        <w:rPr>
          <w:sz w:val="20"/>
          <w:szCs w:val="20"/>
          <w:color w:val="auto"/>
        </w:rPr>
      </w:pPr>
      <w:r>
        <w:rPr>
          <w:rFonts w:ascii="Times New Roman" w:cs="Times New Roman" w:eastAsia="Times New Roman" w:hAnsi="Times New Roman"/>
          <w:sz w:val="16"/>
          <w:szCs w:val="16"/>
          <w:color w:val="auto"/>
        </w:rPr>
        <w:t>This opinion speaks only at and as of its date and is based solely on the facts and circumstances known to us at and as of such date. In addition, in rendering this opinion, we assume no obligation to revise, update or supplement this opinion (i) should the present aforementioned laws of the State of Delaware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707390</wp:posOffset>
            </wp:positionV>
            <wp:extent cx="68453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845300" cy="25400"/>
                    </a:xfrm>
                    <a:prstGeom prst="rect">
                      <a:avLst/>
                    </a:prstGeom>
                    <a:noFill/>
                  </pic:spPr>
                </pic:pic>
              </a:graphicData>
            </a:graphic>
          </wp:anchor>
        </w:drawing>
      </w:r>
    </w:p>
    <w:p>
      <w:pPr>
        <w:sectPr>
          <w:pgSz w:w="11900" w:h="16838" w:orient="portrait"/>
          <w:cols w:equalWidth="0" w:num="1">
            <w:col w:w="10780"/>
          </w:cols>
          <w:pgMar w:left="560" w:top="351" w:right="5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538480</wp:posOffset>
            </wp:positionV>
            <wp:extent cx="916305" cy="534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916305" cy="53467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Grand Canyon Education,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10,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257" w:lineRule="exact"/>
        <w:rPr>
          <w:sz w:val="20"/>
          <w:szCs w:val="20"/>
          <w:color w:val="auto"/>
        </w:rPr>
      </w:pPr>
    </w:p>
    <w:p>
      <w:pPr>
        <w:spacing w:after="0" w:line="328" w:lineRule="auto"/>
        <w:rPr>
          <w:sz w:val="20"/>
          <w:szCs w:val="20"/>
          <w:color w:val="auto"/>
        </w:rPr>
      </w:pPr>
      <w:r>
        <w:rPr>
          <w:rFonts w:ascii="Times New Roman" w:cs="Times New Roman" w:eastAsia="Times New Roman" w:hAnsi="Times New Roman"/>
          <w:sz w:val="16"/>
          <w:szCs w:val="16"/>
          <w:color w:val="auto"/>
        </w:rPr>
        <w:t>changed by legislative action, judicial decision or otherwise after the date hereof, or (ii) to reflect any facts or circumstances which may hereafter come to our attention after the date hereof.</w:t>
      </w:r>
    </w:p>
    <w:p>
      <w:pPr>
        <w:spacing w:after="0" w:line="7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6"/>
          <w:szCs w:val="16"/>
          <w:color w:val="auto"/>
        </w:rPr>
        <w:t>Based upon, subject to and limited by the foregoing, we are of the opinion and so advise you that, with respect to the Shares to be issued after the filing of the Registration Statement, the issuance of the Shares has been duly authorized and, when issued, delivered and fully paid for in accordance with the terms of the Registration Statement and the Plan, such Shares will be validly issued, fully paid and nonassessable.</w:t>
      </w:r>
    </w:p>
    <w:p>
      <w:pPr>
        <w:spacing w:after="0" w:line="110"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6"/>
          <w:szCs w:val="16"/>
          <w:color w:val="auto"/>
        </w:rPr>
        <w:t>We hereby consent to the filing of this opinion as Exhibit 5.1 to the Registration Statement and the use of our name wherever it appears in the Registration Statement. In giving this consent, we do not admit that we are within the category of persons whose consent is required under Section 7 of the Securities Act, the rules and regulations of the Commission promulgated thereunder or Item 509 of Regulation S-K.</w:t>
      </w:r>
    </w:p>
    <w:p>
      <w:pPr>
        <w:spacing w:after="0" w:line="123"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6"/>
          <w:szCs w:val="16"/>
          <w:color w:val="auto"/>
        </w:rPr>
        <w:t>This opinion letter is given to you solely for use in connection with the issuance of the Shares in accordance with the Registration Statement and is not to be relied on for any other purpose. Our opinion is expressly limited to the matters set forth above, and we render no opinion, whether by implication or otherwise, as to any other matters relating to the Company, the Shares or the Registration Statement.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68453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845300" cy="17145"/>
                    </a:xfrm>
                    <a:prstGeom prst="rect">
                      <a:avLst/>
                    </a:prstGeom>
                    <a:noFill/>
                  </pic:spPr>
                </pic:pic>
              </a:graphicData>
            </a:graphic>
          </wp:anchor>
        </w:drawing>
      </w:r>
    </w:p>
    <w:p>
      <w:pPr>
        <w:sectPr>
          <w:pgSz w:w="11900" w:h="16838" w:orient="portrait"/>
          <w:cols w:equalWidth="0" w:num="1">
            <w:col w:w="10780"/>
          </w:cols>
          <w:pgMar w:left="560" w:top="1440" w:right="5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19" w:lineRule="exact"/>
        <w:rPr>
          <w:sz w:val="20"/>
          <w:szCs w:val="20"/>
          <w:color w:val="auto"/>
        </w:rPr>
      </w:pPr>
    </w:p>
    <w:p>
      <w:pPr>
        <w:ind w:right="1000"/>
        <w:spacing w:after="0" w:line="311" w:lineRule="auto"/>
        <w:rPr>
          <w:sz w:val="20"/>
          <w:szCs w:val="20"/>
          <w:color w:val="auto"/>
        </w:rPr>
      </w:pPr>
      <w:r>
        <w:rPr>
          <w:rFonts w:ascii="Times New Roman" w:cs="Times New Roman" w:eastAsia="Times New Roman" w:hAnsi="Times New Roman"/>
          <w:sz w:val="16"/>
          <w:szCs w:val="16"/>
          <w:color w:val="auto"/>
        </w:rPr>
        <w:t>We consent to the use of our reports dated February 18, 2026, with respect to the consolidated financial statements of Grand Canyon Education, Inc. and subsidiaries, and the effectiveness of internal control over financial reporting, incorporated herein by reference.</w:t>
      </w:r>
    </w:p>
    <w:p>
      <w:pPr>
        <w:spacing w:after="0" w:line="11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Phoenix, Arizona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684530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845300" cy="25400"/>
                    </a:xfrm>
                    <a:prstGeom prst="rect">
                      <a:avLst/>
                    </a:prstGeom>
                    <a:noFill/>
                  </pic:spPr>
                </pic:pic>
              </a:graphicData>
            </a:graphic>
          </wp:anchor>
        </w:drawing>
      </w:r>
    </w:p>
    <w:p>
      <w:pPr>
        <w:sectPr>
          <w:pgSz w:w="11900" w:h="16838" w:orient="portrait"/>
          <w:cols w:equalWidth="0" w:num="1">
            <w:col w:w="10780"/>
          </w:cols>
          <w:pgMar w:left="560" w:top="124" w:right="559" w:bottom="1440" w:gutter="0" w:footer="0" w:header="0"/>
        </w:sectPr>
      </w:pPr>
    </w:p>
    <w:bookmarkStart w:id="9" w:name="page10"/>
    <w:bookmarkEnd w:id="9"/>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Grand Canyon Education,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1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1"/>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4"/>
                <w:szCs w:val="24"/>
                <w:color w:val="auto"/>
              </w:rPr>
            </w:pPr>
          </w:p>
        </w:tc>
        <w:tc>
          <w:tcPr>
            <w:tcW w:w="960" w:type="dxa"/>
            <w:vAlign w:val="bottom"/>
            <w:shd w:val="clear" w:color="auto" w:fill="E7E7E2"/>
          </w:tcPr>
          <w:p>
            <w:pPr>
              <w:jc w:val="center"/>
              <w:spacing w:after="0"/>
              <w:rPr>
                <w:sz w:val="20"/>
                <w:szCs w:val="20"/>
                <w:color w:val="auto"/>
              </w:rPr>
            </w:pPr>
            <w:r>
              <w:rPr>
                <w:rFonts w:ascii="Arial" w:cs="Arial" w:eastAsia="Arial" w:hAnsi="Arial"/>
                <w:sz w:val="21"/>
                <w:szCs w:val="21"/>
                <w:color w:val="auto"/>
              </w:rPr>
              <w:t>Common</w:t>
            </w:r>
          </w:p>
        </w:tc>
        <w:tc>
          <w:tcPr>
            <w:tcW w:w="20" w:type="dxa"/>
            <w:vAlign w:val="bottom"/>
          </w:tcPr>
          <w:p>
            <w:pPr>
              <w:spacing w:after="0"/>
              <w:rPr>
                <w:sz w:val="24"/>
                <w:szCs w:val="24"/>
                <w:color w:val="auto"/>
              </w:rPr>
            </w:pPr>
          </w:p>
        </w:tc>
        <w:tc>
          <w:tcPr>
            <w:tcW w:w="1180" w:type="dxa"/>
            <w:vAlign w:val="bottom"/>
            <w:shd w:val="clear" w:color="auto" w:fill="E7E7E2"/>
          </w:tcPr>
          <w:p>
            <w:pPr>
              <w:jc w:val="center"/>
              <w:spacing w:after="0"/>
              <w:rPr>
                <w:sz w:val="20"/>
                <w:szCs w:val="20"/>
                <w:color w:val="auto"/>
              </w:rPr>
            </w:pPr>
            <w:r>
              <w:rPr>
                <w:rFonts w:ascii="Arial" w:cs="Arial" w:eastAsia="Arial" w:hAnsi="Arial"/>
                <w:sz w:val="21"/>
                <w:szCs w:val="21"/>
                <w:color w:val="auto"/>
              </w:rPr>
              <w:t>457(a)</w:t>
            </w:r>
          </w:p>
        </w:tc>
        <w:tc>
          <w:tcPr>
            <w:tcW w:w="40" w:type="dxa"/>
            <w:vAlign w:val="bottom"/>
          </w:tcPr>
          <w:p>
            <w:pPr>
              <w:spacing w:after="0"/>
              <w:rPr>
                <w:sz w:val="24"/>
                <w:szCs w:val="24"/>
                <w:color w:val="auto"/>
              </w:rPr>
            </w:pPr>
          </w:p>
        </w:tc>
        <w:tc>
          <w:tcPr>
            <w:tcW w:w="11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710,000</w:t>
            </w:r>
          </w:p>
        </w:tc>
        <w:tc>
          <w:tcPr>
            <w:tcW w:w="40" w:type="dxa"/>
            <w:vAlign w:val="bottom"/>
          </w:tcPr>
          <w:p>
            <w:pPr>
              <w:spacing w:after="0"/>
              <w:rPr>
                <w:sz w:val="24"/>
                <w:szCs w:val="24"/>
                <w:color w:val="auto"/>
              </w:rPr>
            </w:pPr>
          </w:p>
        </w:tc>
        <w:tc>
          <w:tcPr>
            <w:tcW w:w="13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$ 147.64</w:t>
            </w:r>
          </w:p>
        </w:tc>
        <w:tc>
          <w:tcPr>
            <w:tcW w:w="20" w:type="dxa"/>
            <w:vAlign w:val="bottom"/>
            <w:vMerge w:val="continue"/>
          </w:tcPr>
          <w:p>
            <w:pPr>
              <w:spacing w:after="0"/>
              <w:rPr>
                <w:sz w:val="24"/>
                <w:szCs w:val="24"/>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4"/>
                <w:szCs w:val="24"/>
                <w:color w:val="auto"/>
              </w:rPr>
            </w:pPr>
          </w:p>
        </w:tc>
        <w:tc>
          <w:tcPr>
            <w:tcW w:w="10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4"/>
                <w:szCs w:val="24"/>
                <w:color w:val="auto"/>
              </w:rPr>
            </w:pPr>
          </w:p>
        </w:tc>
        <w:tc>
          <w:tcPr>
            <w:tcW w:w="148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$ 14,476.25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87"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E7E7E2"/>
          </w:tcPr>
          <w:p>
            <w:pPr>
              <w:jc w:val="right"/>
              <w:spacing w:after="0" w:line="187" w:lineRule="exact"/>
              <w:rPr>
                <w:sz w:val="20"/>
                <w:szCs w:val="20"/>
                <w:color w:val="auto"/>
              </w:rPr>
            </w:pPr>
            <w:r>
              <w:rPr>
                <w:rFonts w:ascii="Arial" w:cs="Arial" w:eastAsia="Arial" w:hAnsi="Arial"/>
                <w:sz w:val="21"/>
                <w:szCs w:val="21"/>
                <w:color w:val="auto"/>
              </w:rPr>
              <w:t>104,824,400.00</w:t>
            </w: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$ 14,476.25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104,824,400.00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$ 14,476.25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60" w:firstLine="2"/>
        <w:spacing w:after="0" w:line="245" w:lineRule="auto"/>
        <w:tabs>
          <w:tab w:leader="none" w:pos="1121" w:val="left"/>
        </w:tabs>
        <w:numPr>
          <w:ilvl w:val="0"/>
          <w:numId w:val="6"/>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also covers any additional shares of the Registrant's Common Stock, par value $0.01 per share ("Common Stock") that becomes issuable under the Grand Canyon Education, Inc. 2026 Equity Incentive Plan (the "2026 Plan") by reason of any stock split, stock dividend, recapitalization or other similar transaction effected without the Registrant's receipt of consideration which results in an increase in the number of the outstanding shares of the Registrant's Common Stock.</w:t>
      </w:r>
    </w:p>
    <w:p>
      <w:pPr>
        <w:spacing w:after="0" w:line="200" w:lineRule="exact"/>
        <w:rPr>
          <w:rFonts w:ascii="Arial" w:cs="Arial" w:eastAsia="Arial" w:hAnsi="Arial"/>
          <w:sz w:val="21"/>
          <w:szCs w:val="21"/>
          <w:color w:val="auto"/>
        </w:rPr>
      </w:pPr>
    </w:p>
    <w:p>
      <w:pPr>
        <w:spacing w:after="0" w:line="244" w:lineRule="exact"/>
        <w:rPr>
          <w:rFonts w:ascii="Arial" w:cs="Arial" w:eastAsia="Arial" w:hAnsi="Arial"/>
          <w:sz w:val="21"/>
          <w:szCs w:val="21"/>
          <w:color w:val="auto"/>
        </w:rPr>
      </w:pPr>
    </w:p>
    <w:p>
      <w:pPr>
        <w:ind w:left="1120" w:hanging="318"/>
        <w:spacing w:after="0"/>
        <w:tabs>
          <w:tab w:leader="none" w:pos="1120" w:val="left"/>
        </w:tabs>
        <w:numPr>
          <w:ilvl w:val="0"/>
          <w:numId w:val="6"/>
        </w:numPr>
        <w:rPr>
          <w:rFonts w:ascii="Arial" w:cs="Arial" w:eastAsia="Arial" w:hAnsi="Arial"/>
          <w:sz w:val="21"/>
          <w:szCs w:val="21"/>
          <w:color w:val="auto"/>
        </w:rPr>
      </w:pPr>
      <w:r>
        <w:rPr>
          <w:rFonts w:ascii="Arial" w:cs="Arial" w:eastAsia="Arial" w:hAnsi="Arial"/>
          <w:sz w:val="21"/>
          <w:szCs w:val="21"/>
          <w:color w:val="auto"/>
        </w:rPr>
        <w:t>Represents 710,000 shares of Common Stock reserved for issuance under the 2026 Plan.</w:t>
      </w:r>
    </w:p>
    <w:p>
      <w:pPr>
        <w:spacing w:after="0" w:line="239" w:lineRule="exact"/>
        <w:rPr>
          <w:rFonts w:ascii="Arial" w:cs="Arial" w:eastAsia="Arial" w:hAnsi="Arial"/>
          <w:sz w:val="21"/>
          <w:szCs w:val="21"/>
          <w:color w:val="auto"/>
        </w:rPr>
      </w:pPr>
    </w:p>
    <w:p>
      <w:pPr>
        <w:jc w:val="both"/>
        <w:ind w:left="800" w:right="1040" w:firstLine="2"/>
        <w:spacing w:after="0" w:line="258" w:lineRule="auto"/>
        <w:tabs>
          <w:tab w:leader="none" w:pos="1121" w:val="left"/>
        </w:tabs>
        <w:numPr>
          <w:ilvl w:val="0"/>
          <w:numId w:val="6"/>
        </w:numPr>
        <w:rPr>
          <w:rFonts w:ascii="Arial" w:cs="Arial" w:eastAsia="Arial" w:hAnsi="Arial"/>
          <w:sz w:val="21"/>
          <w:szCs w:val="21"/>
          <w:color w:val="auto"/>
        </w:rPr>
      </w:pPr>
      <w:r>
        <w:rPr>
          <w:rFonts w:ascii="Arial" w:cs="Arial" w:eastAsia="Arial" w:hAnsi="Arial"/>
          <w:sz w:val="21"/>
          <w:szCs w:val="21"/>
          <w:color w:val="auto"/>
        </w:rPr>
        <w:t>Estimated solely for the purpose of calculating the registration fee pursuant to Rules 457(c) and 457(h) under the Securities Act, based on the average of the high and low prices of the Registrant's Common Stock as reported on the Nasdaq Global Select Market on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69215</wp:posOffset>
            </wp:positionV>
            <wp:extent cx="63874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lowerLetter"/>
      <w:start w:val="1"/>
    </w:lvl>
    <w:lvl w:ilvl="1">
      <w:lvlJc w:val="left"/>
      <w:lvlText w:val="%2."/>
      <w:numFmt w:val="decimal"/>
      <w:start w:val="2"/>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37" Type="http://schemas.openxmlformats.org/officeDocument/2006/relationships/image" Target="media/image19.jpe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18" Type="http://schemas.openxmlformats.org/officeDocument/2006/relationships/hyperlink" Target="https://www.sec.gov/ix?doc=/Archives/edgar/data/1434588/000110465926017047/lope-20251231x10k.htm" TargetMode="External"/><Relationship Id="rId19" Type="http://schemas.openxmlformats.org/officeDocument/2006/relationships/hyperlink" Target="https://www.sec.gov/ix?doc=/Archives/edgar/data/1434588/000110465926052898/lope-20260331x10q.htm" TargetMode="External"/><Relationship Id="rId20" Type="http://schemas.openxmlformats.org/officeDocument/2006/relationships/hyperlink" Target="https://www.sec.gov/ix?doc=/Archives/edgar/data/1434588/000110465926014301/lope-20260209x8k.htm" TargetMode="External"/><Relationship Id="rId21" Type="http://schemas.openxmlformats.org/officeDocument/2006/relationships/hyperlink" Target="https://www.sec.gov/ix?doc=/Archives/edgar/data/1434588/000110465926069570/lope-20260602x8k.htm" TargetMode="External"/><Relationship Id="rId22" Type="http://schemas.openxmlformats.org/officeDocument/2006/relationships/hyperlink" Target="https://www.sec.gov/Archives/edgar/data/1434588/000095015308001951/p13559e8va12b.htm" TargetMode="External"/><Relationship Id="rId23" Type="http://schemas.openxmlformats.org/officeDocument/2006/relationships/hyperlink" Target="https://www.sec.gov/Archives/edgar/data/1434588/000155837020001013/ex-4d2.htm" TargetMode="External"/><Relationship Id="rId26" Type="http://schemas.openxmlformats.org/officeDocument/2006/relationships/hyperlink" Target="https://www.sec.gov/Archives/edgar/data/1434588/000155837019000782/lope-20181231ex31395dfc9.htm" TargetMode="External"/><Relationship Id="rId27" Type="http://schemas.openxmlformats.org/officeDocument/2006/relationships/hyperlink" Target="https://www.sec.gov/Archives/edgar/data/1434588/000119312514387149/d812440dex31.htm" TargetMode="External"/><Relationship Id="rId28" Type="http://schemas.openxmlformats.org/officeDocument/2006/relationships/hyperlink" Target="https://www.sec.gov/Archives/edgar/data/1434588/000095015308001671/p75463a2exv4w1.htm" TargetMode="External"/><Relationship Id="rId29" Type="http://schemas.openxmlformats.org/officeDocument/2006/relationships/hyperlink" Target="https://www.sec.gov/Archives/edgar/data/1434588/000110465926072325/lope-20260610xex10d1.htm" TargetMode="External"/><Relationship Id="rId30" Type="http://schemas.openxmlformats.org/officeDocument/2006/relationships/hyperlink" Target="https://www.sec.gov/Archives/edgar/data/1434588/000110465926072325/lope-20260610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2026-06-10T15:56:31Z</dcterms:created>
  <dcterms:modified xsi:type="dcterms:W3CDTF">2026-06-10T15:56:31Z</dcterms:modified>
</cp:coreProperties>
</file>