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157480</wp:posOffset>
            </wp:positionV>
            <wp:extent cx="59258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342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ind w:left="3540"/>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ind w:left="3440"/>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(Amendment No. 1)*</w:t>
      </w:r>
    </w:p>
    <w:p>
      <w:pPr>
        <w:spacing w:after="0" w:line="259" w:lineRule="exact"/>
        <w:rPr>
          <w:sz w:val="24"/>
          <w:szCs w:val="24"/>
          <w:color w:val="auto"/>
        </w:rPr>
      </w:pPr>
    </w:p>
    <w:p>
      <w:pPr>
        <w:jc w:val="center"/>
        <w:ind w:right="559"/>
        <w:spacing w:after="0"/>
        <w:rPr>
          <w:sz w:val="20"/>
          <w:szCs w:val="20"/>
          <w:color w:val="auto"/>
        </w:rPr>
      </w:pPr>
      <w:r>
        <w:rPr>
          <w:rFonts w:ascii="Arial" w:cs="Arial" w:eastAsia="Arial" w:hAnsi="Arial"/>
          <w:sz w:val="43"/>
          <w:szCs w:val="43"/>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32"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Common Stock, $0.01 par value</w:t>
      </w:r>
    </w:p>
    <w:p>
      <w:pPr>
        <w:spacing w:after="0" w:line="23"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5925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72"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38526M 106</w:t>
      </w:r>
    </w:p>
    <w:p>
      <w:pPr>
        <w:spacing w:after="0" w:line="23"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85"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September 18, 2009</w:t>
      </w:r>
    </w:p>
    <w:p>
      <w:pPr>
        <w:spacing w:after="0" w:line="23"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5925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13d-1(c)</w:t>
      </w:r>
    </w:p>
    <w:p>
      <w:pPr>
        <w:spacing w:after="0" w:line="185" w:lineRule="exact"/>
        <w:rPr>
          <w:sz w:val="24"/>
          <w:szCs w:val="24"/>
          <w:color w:val="auto"/>
        </w:rPr>
      </w:pPr>
    </w:p>
    <w:p>
      <w:pPr>
        <w:ind w:left="420" w:hanging="203"/>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84" w:lineRule="exact"/>
        <w:rPr>
          <w:rFonts w:ascii="MS PGothic" w:cs="MS PGothic" w:eastAsia="MS PGothic" w:hAnsi="MS PGothic"/>
          <w:sz w:val="18"/>
          <w:szCs w:val="18"/>
          <w:color w:val="auto"/>
        </w:rPr>
      </w:pPr>
    </w:p>
    <w:p>
      <w:pPr>
        <w:ind w:right="599"/>
        <w:spacing w:after="0" w:line="264"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4" w:lineRule="exact"/>
        <w:rPr>
          <w:sz w:val="24"/>
          <w:szCs w:val="24"/>
          <w:color w:val="auto"/>
        </w:rPr>
      </w:pPr>
    </w:p>
    <w:p>
      <w:pPr>
        <w:ind w:right="559"/>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5925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59258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285115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35"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CUSIP No.</w:t>
            </w:r>
          </w:p>
        </w:tc>
        <w:tc>
          <w:tcPr>
            <w:tcW w:w="1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4"/>
          </w:tcPr>
          <w:p>
            <w:pPr>
              <w:ind w:left="260"/>
              <w:spacing w:after="0"/>
              <w:rPr>
                <w:sz w:val="20"/>
                <w:szCs w:val="20"/>
                <w:color w:val="auto"/>
              </w:rPr>
            </w:pPr>
            <w:r>
              <w:rPr>
                <w:rFonts w:ascii="Arial" w:cs="Arial" w:eastAsia="Arial" w:hAnsi="Arial"/>
                <w:sz w:val="18"/>
                <w:szCs w:val="18"/>
                <w:color w:val="auto"/>
              </w:rPr>
              <w:t>38526M 106</w:t>
            </w:r>
          </w:p>
        </w:tc>
        <w:tc>
          <w:tcPr>
            <w:tcW w:w="6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40" w:type="dxa"/>
            <w:vAlign w:val="bottom"/>
            <w:tcBorders>
              <w:bottom w:val="single" w:sz="8" w:color="auto"/>
            </w:tcBorders>
            <w:gridSpan w:val="2"/>
          </w:tcPr>
          <w:p>
            <w:pPr>
              <w:spacing w:after="0"/>
              <w:rPr>
                <w:sz w:val="24"/>
                <w:szCs w:val="24"/>
                <w:color w:val="auto"/>
              </w:rPr>
            </w:pPr>
          </w:p>
        </w:tc>
        <w:tc>
          <w:tcPr>
            <w:tcW w:w="76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Endeavour Capital Fund IV, L.P.</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40" w:type="dxa"/>
            <w:vAlign w:val="bottom"/>
            <w:tcBorders>
              <w:bottom w:val="single" w:sz="8" w:color="auto"/>
            </w:tcBorders>
            <w:gridSpan w:val="2"/>
          </w:tcPr>
          <w:p>
            <w:pPr>
              <w:spacing w:after="0"/>
              <w:rPr>
                <w:sz w:val="22"/>
                <w:szCs w:val="22"/>
                <w:color w:val="auto"/>
              </w:rPr>
            </w:pPr>
          </w:p>
        </w:tc>
        <w:tc>
          <w:tcPr>
            <w:tcW w:w="760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7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2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40" w:type="dxa"/>
            <w:vAlign w:val="bottom"/>
            <w:tcBorders>
              <w:bottom w:val="single" w:sz="8" w:color="auto"/>
            </w:tcBorders>
            <w:gridSpan w:val="2"/>
          </w:tcPr>
          <w:p>
            <w:pPr>
              <w:spacing w:after="0"/>
              <w:rPr>
                <w:sz w:val="15"/>
                <w:szCs w:val="15"/>
                <w:color w:val="auto"/>
              </w:rPr>
            </w:pPr>
          </w:p>
        </w:tc>
        <w:tc>
          <w:tcPr>
            <w:tcW w:w="760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2"/>
              </w:rPr>
              <w:t>Delaware</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32"/>
                <w:szCs w:val="32"/>
                <w:b w:val="1"/>
                <w:bCs w:val="1"/>
                <w:color w:val="auto"/>
                <w:w w:val="78"/>
              </w:rPr>
              <w:t>5</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91"/>
              </w:rPr>
              <w:t>SHARES</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78"/>
              </w:rPr>
              <w:t>6</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120" w:type="dxa"/>
            <w:vAlign w:val="bottom"/>
          </w:tcPr>
          <w:p>
            <w:pPr>
              <w:spacing w:after="0"/>
              <w:rPr>
                <w:sz w:val="22"/>
                <w:szCs w:val="22"/>
                <w:color w:val="auto"/>
              </w:rPr>
            </w:pPr>
          </w:p>
        </w:tc>
        <w:tc>
          <w:tcPr>
            <w:tcW w:w="320" w:type="dxa"/>
            <w:vAlign w:val="bottom"/>
            <w:tcBorders>
              <w:right w:val="single" w:sz="8" w:color="auto"/>
            </w:tcBorders>
            <w:vMerge w:val="continue"/>
          </w:tcPr>
          <w:p>
            <w:pPr>
              <w:spacing w:after="0"/>
              <w:rPr>
                <w:sz w:val="22"/>
                <w:szCs w:val="22"/>
                <w:color w:val="auto"/>
              </w:rPr>
            </w:pPr>
          </w:p>
        </w:tc>
        <w:tc>
          <w:tcPr>
            <w:tcW w:w="900" w:type="dxa"/>
            <w:vAlign w:val="bottom"/>
          </w:tcPr>
          <w:p>
            <w:pPr>
              <w:spacing w:after="0"/>
              <w:rPr>
                <w:sz w:val="22"/>
                <w:szCs w:val="22"/>
                <w:color w:val="auto"/>
              </w:rPr>
            </w:pPr>
          </w:p>
        </w:tc>
        <w:tc>
          <w:tcPr>
            <w:tcW w:w="6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 (See Item 4(c))</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95"/>
              </w:rPr>
              <w:t>EACH</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78"/>
              </w:rPr>
              <w:t>7</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120" w:type="dxa"/>
            <w:vAlign w:val="bottom"/>
          </w:tcPr>
          <w:p>
            <w:pPr>
              <w:spacing w:after="0"/>
              <w:rPr>
                <w:sz w:val="22"/>
                <w:szCs w:val="22"/>
                <w:color w:val="auto"/>
              </w:rPr>
            </w:pPr>
          </w:p>
        </w:tc>
        <w:tc>
          <w:tcPr>
            <w:tcW w:w="320" w:type="dxa"/>
            <w:vAlign w:val="bottom"/>
            <w:tcBorders>
              <w:right w:val="single" w:sz="8" w:color="auto"/>
            </w:tcBorders>
            <w:vMerge w:val="continue"/>
          </w:tcPr>
          <w:p>
            <w:pPr>
              <w:spacing w:after="0"/>
              <w:rPr>
                <w:sz w:val="22"/>
                <w:szCs w:val="22"/>
                <w:color w:val="auto"/>
              </w:rPr>
            </w:pPr>
          </w:p>
        </w:tc>
        <w:tc>
          <w:tcPr>
            <w:tcW w:w="900" w:type="dxa"/>
            <w:vAlign w:val="bottom"/>
          </w:tcPr>
          <w:p>
            <w:pPr>
              <w:spacing w:after="0"/>
              <w:rPr>
                <w:sz w:val="22"/>
                <w:szCs w:val="22"/>
                <w:color w:val="auto"/>
              </w:rPr>
            </w:pPr>
          </w:p>
        </w:tc>
        <w:tc>
          <w:tcPr>
            <w:tcW w:w="6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89"/>
              </w:rPr>
              <w:t>PERSON</w:t>
            </w:r>
          </w:p>
        </w:tc>
        <w:tc>
          <w:tcPr>
            <w:tcW w:w="30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32"/>
                <w:szCs w:val="32"/>
                <w:b w:val="1"/>
                <w:bCs w:val="1"/>
                <w:color w:val="auto"/>
                <w:w w:val="78"/>
              </w:rPr>
              <w:t>8</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7"/>
              </w:rPr>
              <w:t>5,395,750</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7"/>
              </w:rPr>
              <w:t>5,395,750</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w w:val="97"/>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6"/>
              </w:rPr>
              <w:t>11.8%*</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639" w:hanging="8"/>
        <w:spacing w:after="0" w:line="342" w:lineRule="auto"/>
        <w:tabs>
          <w:tab w:leader="none" w:pos="155"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45,613,794 shares of Grand Canyon Education, Inc. common stock outstanding, which reflects shares outstanding as of September 14, 2009 plus 1,000,000 shares issued by Grand Canyon Education, Inc. on September 18, 2009.</w:t>
      </w:r>
    </w:p>
    <w:p>
      <w:pPr>
        <w:spacing w:after="0" w:line="9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9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CUSIP No.</w:t>
            </w:r>
          </w:p>
        </w:tc>
        <w:tc>
          <w:tcPr>
            <w:tcW w:w="1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4"/>
          </w:tcPr>
          <w:p>
            <w:pPr>
              <w:ind w:left="260"/>
              <w:spacing w:after="0"/>
              <w:rPr>
                <w:sz w:val="20"/>
                <w:szCs w:val="20"/>
                <w:color w:val="auto"/>
              </w:rPr>
            </w:pPr>
            <w:r>
              <w:rPr>
                <w:rFonts w:ascii="Arial" w:cs="Arial" w:eastAsia="Arial" w:hAnsi="Arial"/>
                <w:sz w:val="18"/>
                <w:szCs w:val="18"/>
                <w:color w:val="auto"/>
              </w:rPr>
              <w:t>38526M 106</w:t>
            </w:r>
          </w:p>
        </w:tc>
        <w:tc>
          <w:tcPr>
            <w:tcW w:w="6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40" w:type="dxa"/>
            <w:vAlign w:val="bottom"/>
            <w:tcBorders>
              <w:bottom w:val="single" w:sz="8" w:color="auto"/>
            </w:tcBorders>
            <w:gridSpan w:val="2"/>
          </w:tcPr>
          <w:p>
            <w:pPr>
              <w:spacing w:after="0"/>
              <w:rPr>
                <w:sz w:val="24"/>
                <w:szCs w:val="24"/>
                <w:color w:val="auto"/>
              </w:rPr>
            </w:pPr>
          </w:p>
        </w:tc>
        <w:tc>
          <w:tcPr>
            <w:tcW w:w="76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Endeavour Associates Fund IV, L.P.</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40" w:type="dxa"/>
            <w:vAlign w:val="bottom"/>
            <w:tcBorders>
              <w:bottom w:val="single" w:sz="8" w:color="auto"/>
            </w:tcBorders>
            <w:gridSpan w:val="2"/>
          </w:tcPr>
          <w:p>
            <w:pPr>
              <w:spacing w:after="0"/>
              <w:rPr>
                <w:sz w:val="22"/>
                <w:szCs w:val="22"/>
                <w:color w:val="auto"/>
              </w:rPr>
            </w:pPr>
          </w:p>
        </w:tc>
        <w:tc>
          <w:tcPr>
            <w:tcW w:w="760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7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0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40" w:type="dxa"/>
            <w:vAlign w:val="bottom"/>
            <w:tcBorders>
              <w:bottom w:val="single" w:sz="8" w:color="auto"/>
            </w:tcBorders>
            <w:gridSpan w:val="2"/>
          </w:tcPr>
          <w:p>
            <w:pPr>
              <w:spacing w:after="0"/>
              <w:rPr>
                <w:sz w:val="15"/>
                <w:szCs w:val="15"/>
                <w:color w:val="auto"/>
              </w:rPr>
            </w:pPr>
          </w:p>
        </w:tc>
        <w:tc>
          <w:tcPr>
            <w:tcW w:w="760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Delaware</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32"/>
                <w:szCs w:val="32"/>
                <w:b w:val="1"/>
                <w:bCs w:val="1"/>
                <w:color w:val="auto"/>
                <w:w w:val="89"/>
              </w:rPr>
              <w:t>5</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91"/>
              </w:rPr>
              <w:t>SHARES</w:t>
            </w:r>
          </w:p>
        </w:tc>
        <w:tc>
          <w:tcPr>
            <w:tcW w:w="30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6</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100" w:type="dxa"/>
            <w:vAlign w:val="bottom"/>
          </w:tcPr>
          <w:p>
            <w:pPr>
              <w:spacing w:after="0"/>
              <w:rPr>
                <w:sz w:val="22"/>
                <w:szCs w:val="22"/>
                <w:color w:val="auto"/>
              </w:rPr>
            </w:pPr>
          </w:p>
        </w:tc>
        <w:tc>
          <w:tcPr>
            <w:tcW w:w="340" w:type="dxa"/>
            <w:vAlign w:val="bottom"/>
            <w:tcBorders>
              <w:right w:val="single" w:sz="8" w:color="auto"/>
            </w:tcBorders>
            <w:vMerge w:val="continue"/>
          </w:tcPr>
          <w:p>
            <w:pPr>
              <w:spacing w:after="0"/>
              <w:rPr>
                <w:sz w:val="22"/>
                <w:szCs w:val="22"/>
                <w:color w:val="auto"/>
              </w:rPr>
            </w:pPr>
          </w:p>
        </w:tc>
        <w:tc>
          <w:tcPr>
            <w:tcW w:w="900" w:type="dxa"/>
            <w:vAlign w:val="bottom"/>
          </w:tcPr>
          <w:p>
            <w:pPr>
              <w:spacing w:after="0"/>
              <w:rPr>
                <w:sz w:val="22"/>
                <w:szCs w:val="22"/>
                <w:color w:val="auto"/>
              </w:rPr>
            </w:pPr>
          </w:p>
        </w:tc>
        <w:tc>
          <w:tcPr>
            <w:tcW w:w="6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 (See Item 4(c))</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95"/>
              </w:rPr>
              <w:t>EACH</w:t>
            </w:r>
          </w:p>
        </w:tc>
        <w:tc>
          <w:tcPr>
            <w:tcW w:w="30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7</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22"/>
                <w:szCs w:val="22"/>
                <w:color w:val="auto"/>
              </w:rPr>
            </w:pPr>
          </w:p>
        </w:tc>
        <w:tc>
          <w:tcPr>
            <w:tcW w:w="340" w:type="dxa"/>
            <w:vAlign w:val="bottom"/>
            <w:tcBorders>
              <w:right w:val="single" w:sz="8" w:color="auto"/>
            </w:tcBorders>
            <w:vMerge w:val="continue"/>
          </w:tcPr>
          <w:p>
            <w:pPr>
              <w:spacing w:after="0"/>
              <w:rPr>
                <w:sz w:val="22"/>
                <w:szCs w:val="22"/>
                <w:color w:val="auto"/>
              </w:rPr>
            </w:pPr>
          </w:p>
        </w:tc>
        <w:tc>
          <w:tcPr>
            <w:tcW w:w="900" w:type="dxa"/>
            <w:vAlign w:val="bottom"/>
          </w:tcPr>
          <w:p>
            <w:pPr>
              <w:spacing w:after="0"/>
              <w:rPr>
                <w:sz w:val="22"/>
                <w:szCs w:val="22"/>
                <w:color w:val="auto"/>
              </w:rPr>
            </w:pPr>
          </w:p>
        </w:tc>
        <w:tc>
          <w:tcPr>
            <w:tcW w:w="6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89"/>
              </w:rPr>
              <w:t>PERSON</w:t>
            </w:r>
          </w:p>
        </w:tc>
        <w:tc>
          <w:tcPr>
            <w:tcW w:w="30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32"/>
                <w:szCs w:val="32"/>
                <w:b w:val="1"/>
                <w:bCs w:val="1"/>
                <w:color w:val="auto"/>
                <w:w w:val="89"/>
              </w:rPr>
              <w:t>8</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330,470</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6"/>
              </w:rPr>
              <w:t>330,470</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w w:val="97"/>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639" w:hanging="8"/>
        <w:spacing w:after="0" w:line="342" w:lineRule="auto"/>
        <w:tabs>
          <w:tab w:leader="none" w:pos="155"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45,613,794 shares of Grand Canyon Education, Inc. common stock outstanding, which reflects shares outstanding as of September 14, 2009 plus 1,000,000 shares issued by Grand Canyon Education, Inc. on September 18, 2009.</w:t>
      </w:r>
    </w:p>
    <w:p>
      <w:pPr>
        <w:spacing w:after="0" w:line="9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9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CUSIP No.</w:t>
            </w:r>
          </w:p>
        </w:tc>
        <w:tc>
          <w:tcPr>
            <w:tcW w:w="1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4"/>
          </w:tcPr>
          <w:p>
            <w:pPr>
              <w:ind w:left="260"/>
              <w:spacing w:after="0"/>
              <w:rPr>
                <w:sz w:val="20"/>
                <w:szCs w:val="20"/>
                <w:color w:val="auto"/>
              </w:rPr>
            </w:pPr>
            <w:r>
              <w:rPr>
                <w:rFonts w:ascii="Arial" w:cs="Arial" w:eastAsia="Arial" w:hAnsi="Arial"/>
                <w:sz w:val="18"/>
                <w:szCs w:val="18"/>
                <w:color w:val="auto"/>
              </w:rPr>
              <w:t>38526M 106</w:t>
            </w:r>
          </w:p>
        </w:tc>
        <w:tc>
          <w:tcPr>
            <w:tcW w:w="6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40" w:type="dxa"/>
            <w:vAlign w:val="bottom"/>
            <w:tcBorders>
              <w:bottom w:val="single" w:sz="8" w:color="auto"/>
            </w:tcBorders>
            <w:gridSpan w:val="2"/>
          </w:tcPr>
          <w:p>
            <w:pPr>
              <w:spacing w:after="0"/>
              <w:rPr>
                <w:sz w:val="24"/>
                <w:szCs w:val="24"/>
                <w:color w:val="auto"/>
              </w:rPr>
            </w:pPr>
          </w:p>
        </w:tc>
        <w:tc>
          <w:tcPr>
            <w:tcW w:w="76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Endeavour Capital Parallel Fund IV, L.P.</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40" w:type="dxa"/>
            <w:vAlign w:val="bottom"/>
            <w:tcBorders>
              <w:bottom w:val="single" w:sz="8" w:color="auto"/>
            </w:tcBorders>
            <w:gridSpan w:val="2"/>
          </w:tcPr>
          <w:p>
            <w:pPr>
              <w:spacing w:after="0"/>
              <w:rPr>
                <w:sz w:val="22"/>
                <w:szCs w:val="22"/>
                <w:color w:val="auto"/>
              </w:rPr>
            </w:pPr>
          </w:p>
        </w:tc>
        <w:tc>
          <w:tcPr>
            <w:tcW w:w="760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7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0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40" w:type="dxa"/>
            <w:vAlign w:val="bottom"/>
            <w:tcBorders>
              <w:bottom w:val="single" w:sz="8" w:color="auto"/>
            </w:tcBorders>
            <w:gridSpan w:val="2"/>
          </w:tcPr>
          <w:p>
            <w:pPr>
              <w:spacing w:after="0"/>
              <w:rPr>
                <w:sz w:val="15"/>
                <w:szCs w:val="15"/>
                <w:color w:val="auto"/>
              </w:rPr>
            </w:pPr>
          </w:p>
        </w:tc>
        <w:tc>
          <w:tcPr>
            <w:tcW w:w="760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Delaware</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32"/>
                <w:szCs w:val="32"/>
                <w:b w:val="1"/>
                <w:bCs w:val="1"/>
                <w:color w:val="auto"/>
                <w:w w:val="89"/>
              </w:rPr>
              <w:t>5</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91"/>
              </w:rPr>
              <w:t>SHARES</w:t>
            </w:r>
          </w:p>
        </w:tc>
        <w:tc>
          <w:tcPr>
            <w:tcW w:w="30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6</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100" w:type="dxa"/>
            <w:vAlign w:val="bottom"/>
          </w:tcPr>
          <w:p>
            <w:pPr>
              <w:spacing w:after="0"/>
              <w:rPr>
                <w:sz w:val="22"/>
                <w:szCs w:val="22"/>
                <w:color w:val="auto"/>
              </w:rPr>
            </w:pPr>
          </w:p>
        </w:tc>
        <w:tc>
          <w:tcPr>
            <w:tcW w:w="340" w:type="dxa"/>
            <w:vAlign w:val="bottom"/>
            <w:tcBorders>
              <w:right w:val="single" w:sz="8" w:color="auto"/>
            </w:tcBorders>
            <w:vMerge w:val="continue"/>
          </w:tcPr>
          <w:p>
            <w:pPr>
              <w:spacing w:after="0"/>
              <w:rPr>
                <w:sz w:val="22"/>
                <w:szCs w:val="22"/>
                <w:color w:val="auto"/>
              </w:rPr>
            </w:pPr>
          </w:p>
        </w:tc>
        <w:tc>
          <w:tcPr>
            <w:tcW w:w="900" w:type="dxa"/>
            <w:vAlign w:val="bottom"/>
          </w:tcPr>
          <w:p>
            <w:pPr>
              <w:spacing w:after="0"/>
              <w:rPr>
                <w:sz w:val="22"/>
                <w:szCs w:val="22"/>
                <w:color w:val="auto"/>
              </w:rPr>
            </w:pPr>
          </w:p>
        </w:tc>
        <w:tc>
          <w:tcPr>
            <w:tcW w:w="6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 (See Item 4(c))</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95"/>
              </w:rPr>
              <w:t>EACH</w:t>
            </w:r>
          </w:p>
        </w:tc>
        <w:tc>
          <w:tcPr>
            <w:tcW w:w="30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7</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22"/>
                <w:szCs w:val="22"/>
                <w:color w:val="auto"/>
              </w:rPr>
            </w:pPr>
          </w:p>
        </w:tc>
        <w:tc>
          <w:tcPr>
            <w:tcW w:w="340" w:type="dxa"/>
            <w:vAlign w:val="bottom"/>
            <w:tcBorders>
              <w:right w:val="single" w:sz="8" w:color="auto"/>
            </w:tcBorders>
            <w:vMerge w:val="continue"/>
          </w:tcPr>
          <w:p>
            <w:pPr>
              <w:spacing w:after="0"/>
              <w:rPr>
                <w:sz w:val="22"/>
                <w:szCs w:val="22"/>
                <w:color w:val="auto"/>
              </w:rPr>
            </w:pPr>
          </w:p>
        </w:tc>
        <w:tc>
          <w:tcPr>
            <w:tcW w:w="900" w:type="dxa"/>
            <w:vAlign w:val="bottom"/>
          </w:tcPr>
          <w:p>
            <w:pPr>
              <w:spacing w:after="0"/>
              <w:rPr>
                <w:sz w:val="22"/>
                <w:szCs w:val="22"/>
                <w:color w:val="auto"/>
              </w:rPr>
            </w:pPr>
          </w:p>
        </w:tc>
        <w:tc>
          <w:tcPr>
            <w:tcW w:w="6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89"/>
              </w:rPr>
              <w:t>PERSON</w:t>
            </w:r>
          </w:p>
        </w:tc>
        <w:tc>
          <w:tcPr>
            <w:tcW w:w="30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32"/>
                <w:szCs w:val="32"/>
                <w:b w:val="1"/>
                <w:bCs w:val="1"/>
                <w:color w:val="auto"/>
                <w:w w:val="89"/>
              </w:rPr>
              <w:t>8</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610,918</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6"/>
              </w:rPr>
              <w:t>610,918</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w w:val="97"/>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639" w:hanging="8"/>
        <w:spacing w:after="0" w:line="342" w:lineRule="auto"/>
        <w:tabs>
          <w:tab w:leader="none" w:pos="155"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45,613,794 shares of Grand Canyon Education, Inc. common stock outstanding, which reflects shares outstanding as of September 14, 2009 plus 1,000,000 shares issued by Grand Canyon Education, Inc. on September 18, 2009.</w:t>
      </w:r>
    </w:p>
    <w:p>
      <w:pPr>
        <w:spacing w:after="0" w:line="9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9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CUSIP No.</w:t>
            </w:r>
          </w:p>
        </w:tc>
        <w:tc>
          <w:tcPr>
            <w:tcW w:w="1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4"/>
          </w:tcPr>
          <w:p>
            <w:pPr>
              <w:ind w:left="260"/>
              <w:spacing w:after="0"/>
              <w:rPr>
                <w:sz w:val="20"/>
                <w:szCs w:val="20"/>
                <w:color w:val="auto"/>
              </w:rPr>
            </w:pPr>
            <w:r>
              <w:rPr>
                <w:rFonts w:ascii="Arial" w:cs="Arial" w:eastAsia="Arial" w:hAnsi="Arial"/>
                <w:sz w:val="18"/>
                <w:szCs w:val="18"/>
                <w:color w:val="auto"/>
              </w:rPr>
              <w:t>38526M 106</w:t>
            </w:r>
          </w:p>
        </w:tc>
        <w:tc>
          <w:tcPr>
            <w:tcW w:w="6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40" w:type="dxa"/>
            <w:vAlign w:val="bottom"/>
            <w:tcBorders>
              <w:bottom w:val="single" w:sz="8" w:color="auto"/>
            </w:tcBorders>
            <w:gridSpan w:val="2"/>
          </w:tcPr>
          <w:p>
            <w:pPr>
              <w:spacing w:after="0"/>
              <w:rPr>
                <w:sz w:val="24"/>
                <w:szCs w:val="24"/>
                <w:color w:val="auto"/>
              </w:rPr>
            </w:pPr>
          </w:p>
        </w:tc>
        <w:tc>
          <w:tcPr>
            <w:tcW w:w="76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Endeavour Capital IV, LLC</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40" w:type="dxa"/>
            <w:vAlign w:val="bottom"/>
            <w:tcBorders>
              <w:bottom w:val="single" w:sz="8" w:color="auto"/>
            </w:tcBorders>
            <w:gridSpan w:val="2"/>
          </w:tcPr>
          <w:p>
            <w:pPr>
              <w:spacing w:after="0"/>
              <w:rPr>
                <w:sz w:val="22"/>
                <w:szCs w:val="22"/>
                <w:color w:val="auto"/>
              </w:rPr>
            </w:pPr>
          </w:p>
        </w:tc>
        <w:tc>
          <w:tcPr>
            <w:tcW w:w="760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7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0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40" w:type="dxa"/>
            <w:vAlign w:val="bottom"/>
            <w:tcBorders>
              <w:bottom w:val="single" w:sz="8" w:color="auto"/>
            </w:tcBorders>
            <w:gridSpan w:val="2"/>
          </w:tcPr>
          <w:p>
            <w:pPr>
              <w:spacing w:after="0"/>
              <w:rPr>
                <w:sz w:val="15"/>
                <w:szCs w:val="15"/>
                <w:color w:val="auto"/>
              </w:rPr>
            </w:pPr>
          </w:p>
        </w:tc>
        <w:tc>
          <w:tcPr>
            <w:tcW w:w="760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Delaware</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32"/>
                <w:szCs w:val="32"/>
                <w:b w:val="1"/>
                <w:bCs w:val="1"/>
                <w:color w:val="auto"/>
                <w:w w:val="89"/>
              </w:rPr>
              <w:t>5</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91"/>
              </w:rPr>
              <w:t>SHARES</w:t>
            </w:r>
          </w:p>
        </w:tc>
        <w:tc>
          <w:tcPr>
            <w:tcW w:w="30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6</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100" w:type="dxa"/>
            <w:vAlign w:val="bottom"/>
          </w:tcPr>
          <w:p>
            <w:pPr>
              <w:spacing w:after="0"/>
              <w:rPr>
                <w:sz w:val="22"/>
                <w:szCs w:val="22"/>
                <w:color w:val="auto"/>
              </w:rPr>
            </w:pPr>
          </w:p>
        </w:tc>
        <w:tc>
          <w:tcPr>
            <w:tcW w:w="340" w:type="dxa"/>
            <w:vAlign w:val="bottom"/>
            <w:tcBorders>
              <w:right w:val="single" w:sz="8" w:color="auto"/>
            </w:tcBorders>
            <w:vMerge w:val="continue"/>
          </w:tcPr>
          <w:p>
            <w:pPr>
              <w:spacing w:after="0"/>
              <w:rPr>
                <w:sz w:val="22"/>
                <w:szCs w:val="22"/>
                <w:color w:val="auto"/>
              </w:rPr>
            </w:pPr>
          </w:p>
        </w:tc>
        <w:tc>
          <w:tcPr>
            <w:tcW w:w="900" w:type="dxa"/>
            <w:vAlign w:val="bottom"/>
          </w:tcPr>
          <w:p>
            <w:pPr>
              <w:spacing w:after="0"/>
              <w:rPr>
                <w:sz w:val="22"/>
                <w:szCs w:val="22"/>
                <w:color w:val="auto"/>
              </w:rPr>
            </w:pPr>
          </w:p>
        </w:tc>
        <w:tc>
          <w:tcPr>
            <w:tcW w:w="6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 (See Item 4(c))</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95"/>
              </w:rPr>
              <w:t>EACH</w:t>
            </w:r>
          </w:p>
        </w:tc>
        <w:tc>
          <w:tcPr>
            <w:tcW w:w="30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7</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22"/>
                <w:szCs w:val="22"/>
                <w:color w:val="auto"/>
              </w:rPr>
            </w:pPr>
          </w:p>
        </w:tc>
        <w:tc>
          <w:tcPr>
            <w:tcW w:w="340" w:type="dxa"/>
            <w:vAlign w:val="bottom"/>
            <w:tcBorders>
              <w:right w:val="single" w:sz="8" w:color="auto"/>
            </w:tcBorders>
            <w:vMerge w:val="continue"/>
          </w:tcPr>
          <w:p>
            <w:pPr>
              <w:spacing w:after="0"/>
              <w:rPr>
                <w:sz w:val="22"/>
                <w:szCs w:val="22"/>
                <w:color w:val="auto"/>
              </w:rPr>
            </w:pPr>
          </w:p>
        </w:tc>
        <w:tc>
          <w:tcPr>
            <w:tcW w:w="900" w:type="dxa"/>
            <w:vAlign w:val="bottom"/>
          </w:tcPr>
          <w:p>
            <w:pPr>
              <w:spacing w:after="0"/>
              <w:rPr>
                <w:sz w:val="22"/>
                <w:szCs w:val="22"/>
                <w:color w:val="auto"/>
              </w:rPr>
            </w:pPr>
          </w:p>
        </w:tc>
        <w:tc>
          <w:tcPr>
            <w:tcW w:w="6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89"/>
              </w:rPr>
              <w:t>PERSON</w:t>
            </w:r>
          </w:p>
        </w:tc>
        <w:tc>
          <w:tcPr>
            <w:tcW w:w="30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32"/>
                <w:szCs w:val="32"/>
                <w:b w:val="1"/>
                <w:bCs w:val="1"/>
                <w:color w:val="auto"/>
                <w:w w:val="89"/>
              </w:rPr>
              <w:t>8</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6,337,138 *</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6,337,138 *</w:t>
            </w: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w w:val="97"/>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13.9%**</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74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OO (Limited Liability Company)</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579" w:hanging="8"/>
        <w:spacing w:after="0" w:line="264" w:lineRule="auto"/>
        <w:tabs>
          <w:tab w:leader="none" w:pos="1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Endeavour Capital IV, LLC is the general partner of Endeavour Capital Fund IV, L.P., Endeavour Associates Fund IV, L.P. and Endeavour Capital Parallel Fund IV, L.P. Endeavour Capital IV, LLC disclaims beneficial ownership of these shares except to the extent of its pecuniary interest therein.</w:t>
      </w:r>
    </w:p>
    <w:p>
      <w:pPr>
        <w:spacing w:after="0" w:line="19" w:lineRule="exact"/>
        <w:rPr>
          <w:sz w:val="20"/>
          <w:szCs w:val="20"/>
          <w:color w:val="auto"/>
        </w:rPr>
      </w:pPr>
    </w:p>
    <w:p>
      <w:pPr>
        <w:ind w:left="20" w:right="739" w:hanging="8"/>
        <w:spacing w:after="0" w:line="342" w:lineRule="auto"/>
        <w:tabs>
          <w:tab w:leader="none" w:pos="24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45,613,794 shares of Grand Canyon Education, Inc. common stock outstanding, which reflects shares outstanding as of September 14, 2009 plus 1,000,000 shares issued by Grand Canyon Education, Inc. on September 18, 2009.</w:t>
      </w:r>
    </w:p>
    <w:p>
      <w:pPr>
        <w:spacing w:after="0" w:line="9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sectPr>
      </w:pPr>
    </w:p>
    <w:bookmarkStart w:id="5" w:name="page6"/>
    <w:bookmarkEnd w:id="5"/>
    <w:p>
      <w:pPr>
        <w:ind w:left="8"/>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Name of Issuer:</w:t>
      </w:r>
    </w:p>
    <w:p>
      <w:pPr>
        <w:spacing w:after="0" w:line="207" w:lineRule="exact"/>
        <w:rPr>
          <w:sz w:val="20"/>
          <w:szCs w:val="20"/>
          <w:color w:val="auto"/>
        </w:rPr>
      </w:pPr>
    </w:p>
    <w:p>
      <w:pPr>
        <w:sectPr>
          <w:pgSz w:w="11900" w:h="16838" w:orient="portrait"/>
          <w:cols w:equalWidth="0" w:num="2">
            <w:col w:w="548" w:space="180"/>
            <w:col w:w="9159"/>
          </w:cols>
          <w:pgMar w:left="572" w:top="931" w:right="1440" w:bottom="1440" w:gutter="0" w:footer="0" w:header="0"/>
        </w:sectPr>
      </w:pPr>
    </w:p>
    <w:p>
      <w:pPr>
        <w:spacing w:after="0" w:line="14" w:lineRule="exact"/>
        <w:rPr>
          <w:sz w:val="20"/>
          <w:szCs w:val="20"/>
          <w:color w:val="auto"/>
        </w:rPr>
      </w:pPr>
    </w:p>
    <w:p>
      <w:pPr>
        <w:ind w:left="748"/>
        <w:spacing w:after="0"/>
        <w:rPr>
          <w:sz w:val="20"/>
          <w:szCs w:val="20"/>
          <w:color w:val="auto"/>
        </w:rPr>
      </w:pPr>
      <w:r>
        <w:rPr>
          <w:rFonts w:ascii="Arial" w:cs="Arial" w:eastAsia="Arial" w:hAnsi="Arial"/>
          <w:sz w:val="16"/>
          <w:szCs w:val="16"/>
          <w:color w:val="auto"/>
        </w:rPr>
        <w:t>Grand Canyon Education, Inc. (“</w:t>
      </w:r>
      <w:r>
        <w:rPr>
          <w:rFonts w:ascii="Arial" w:cs="Arial" w:eastAsia="Arial" w:hAnsi="Arial"/>
          <w:sz w:val="16"/>
          <w:szCs w:val="16"/>
          <w:b w:val="1"/>
          <w:bCs w:val="1"/>
          <w:i w:val="1"/>
          <w:iCs w:val="1"/>
          <w:color w:val="auto"/>
        </w:rPr>
        <w:t>Grand Canyon</w:t>
      </w:r>
      <w:r>
        <w:rPr>
          <w:rFonts w:ascii="Arial" w:cs="Arial" w:eastAsia="Arial" w:hAnsi="Arial"/>
          <w:sz w:val="16"/>
          <w:szCs w:val="16"/>
          <w:color w:val="auto"/>
        </w:rPr>
        <w:t>”)</w:t>
      </w:r>
    </w:p>
    <w:p>
      <w:pPr>
        <w:spacing w:after="0" w:line="208" w:lineRule="exact"/>
        <w:rPr>
          <w:sz w:val="20"/>
          <w:szCs w:val="20"/>
          <w:color w:val="auto"/>
        </w:rPr>
      </w:pPr>
    </w:p>
    <w:p>
      <w:pPr>
        <w:ind w:left="748"/>
        <w:spacing w:after="0"/>
        <w:rPr>
          <w:sz w:val="20"/>
          <w:szCs w:val="20"/>
          <w:color w:val="auto"/>
        </w:rPr>
      </w:pPr>
      <w:r>
        <w:rPr>
          <w:rFonts w:ascii="Arial" w:cs="Arial" w:eastAsia="Arial" w:hAnsi="Arial"/>
          <w:sz w:val="16"/>
          <w:szCs w:val="16"/>
          <w:color w:val="auto"/>
        </w:rPr>
        <w:t>(b) Address of Issuer’s Principal Executive Offices:</w:t>
      </w:r>
    </w:p>
    <w:p>
      <w:pPr>
        <w:spacing w:after="0" w:line="208" w:lineRule="exact"/>
        <w:rPr>
          <w:sz w:val="20"/>
          <w:szCs w:val="20"/>
          <w:color w:val="auto"/>
        </w:rPr>
      </w:pPr>
    </w:p>
    <w:p>
      <w:pPr>
        <w:ind w:left="748"/>
        <w:spacing w:after="0"/>
        <w:rPr>
          <w:sz w:val="20"/>
          <w:szCs w:val="20"/>
          <w:color w:val="auto"/>
        </w:rPr>
      </w:pPr>
      <w:r>
        <w:rPr>
          <w:rFonts w:ascii="Arial" w:cs="Arial" w:eastAsia="Arial" w:hAnsi="Arial"/>
          <w:sz w:val="18"/>
          <w:szCs w:val="18"/>
          <w:color w:val="auto"/>
        </w:rPr>
        <w:t>3300 West Camelback Road</w:t>
      </w:r>
    </w:p>
    <w:p>
      <w:pPr>
        <w:spacing w:after="0" w:line="23" w:lineRule="exact"/>
        <w:rPr>
          <w:sz w:val="20"/>
          <w:szCs w:val="20"/>
          <w:color w:val="auto"/>
        </w:rPr>
      </w:pPr>
    </w:p>
    <w:p>
      <w:pPr>
        <w:ind w:left="748"/>
        <w:spacing w:after="0"/>
        <w:rPr>
          <w:sz w:val="20"/>
          <w:szCs w:val="20"/>
          <w:color w:val="auto"/>
        </w:rPr>
      </w:pPr>
      <w:r>
        <w:rPr>
          <w:rFonts w:ascii="Arial" w:cs="Arial" w:eastAsia="Arial" w:hAnsi="Arial"/>
          <w:sz w:val="18"/>
          <w:szCs w:val="18"/>
          <w:color w:val="auto"/>
        </w:rPr>
        <w:t>Phoenix, Arizona 85017</w:t>
      </w:r>
    </w:p>
    <w:p>
      <w:pPr>
        <w:sectPr>
          <w:pgSz w:w="11900" w:h="16838" w:orient="portrait"/>
          <w:cols w:equalWidth="0" w:num="1">
            <w:col w:w="9887"/>
          </w:cols>
          <w:pgMar w:left="572" w:top="931" w:right="1440" w:bottom="1440" w:gutter="0" w:footer="0" w:header="0"/>
          <w:type w:val="continuous"/>
        </w:sectPr>
      </w:pPr>
    </w:p>
    <w:p>
      <w:pPr>
        <w:spacing w:after="0" w:line="180"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 Name of Person Filing:</w:t>
      </w:r>
    </w:p>
    <w:p>
      <w:pPr>
        <w:spacing w:after="0" w:line="207" w:lineRule="exact"/>
        <w:rPr>
          <w:sz w:val="20"/>
          <w:szCs w:val="20"/>
          <w:color w:val="auto"/>
        </w:rPr>
      </w:pPr>
    </w:p>
    <w:p>
      <w:pPr>
        <w:sectPr>
          <w:pgSz w:w="11900" w:h="16838" w:orient="portrait"/>
          <w:cols w:equalWidth="0" w:num="2">
            <w:col w:w="548" w:space="180"/>
            <w:col w:w="9159"/>
          </w:cols>
          <w:pgMar w:left="572" w:top="931" w:right="1440" w:bottom="1440" w:gutter="0" w:footer="0" w:header="0"/>
          <w:type w:val="continuous"/>
        </w:sectPr>
      </w:pPr>
    </w:p>
    <w:p>
      <w:pPr>
        <w:ind w:left="748"/>
        <w:spacing w:after="0"/>
        <w:rPr>
          <w:sz w:val="20"/>
          <w:szCs w:val="20"/>
          <w:color w:val="auto"/>
        </w:rPr>
      </w:pPr>
      <w:r>
        <w:rPr>
          <w:rFonts w:ascii="Arial" w:cs="Arial" w:eastAsia="Arial" w:hAnsi="Arial"/>
          <w:sz w:val="18"/>
          <w:szCs w:val="18"/>
          <w:color w:val="auto"/>
        </w:rPr>
        <w:t>Endeavour Capital Fund IV, L.P.</w:t>
      </w:r>
    </w:p>
    <w:p>
      <w:pPr>
        <w:spacing w:after="0" w:line="23" w:lineRule="exact"/>
        <w:rPr>
          <w:sz w:val="20"/>
          <w:szCs w:val="20"/>
          <w:color w:val="auto"/>
        </w:rPr>
      </w:pPr>
    </w:p>
    <w:p>
      <w:pPr>
        <w:ind w:left="748"/>
        <w:spacing w:after="0"/>
        <w:rPr>
          <w:sz w:val="20"/>
          <w:szCs w:val="20"/>
          <w:color w:val="auto"/>
        </w:rPr>
      </w:pPr>
      <w:r>
        <w:rPr>
          <w:rFonts w:ascii="Arial" w:cs="Arial" w:eastAsia="Arial" w:hAnsi="Arial"/>
          <w:sz w:val="18"/>
          <w:szCs w:val="18"/>
          <w:color w:val="auto"/>
        </w:rPr>
        <w:t>Endeavour Associates Fund IV, L.P.</w:t>
      </w:r>
    </w:p>
    <w:p>
      <w:pPr>
        <w:spacing w:after="0" w:line="9" w:lineRule="exact"/>
        <w:rPr>
          <w:sz w:val="20"/>
          <w:szCs w:val="20"/>
          <w:color w:val="auto"/>
        </w:rPr>
      </w:pPr>
    </w:p>
    <w:p>
      <w:pPr>
        <w:ind w:left="748"/>
        <w:spacing w:after="0"/>
        <w:rPr>
          <w:sz w:val="20"/>
          <w:szCs w:val="20"/>
          <w:color w:val="auto"/>
        </w:rPr>
      </w:pPr>
      <w:r>
        <w:rPr>
          <w:rFonts w:ascii="Arial" w:cs="Arial" w:eastAsia="Arial" w:hAnsi="Arial"/>
          <w:sz w:val="18"/>
          <w:szCs w:val="18"/>
          <w:color w:val="auto"/>
        </w:rPr>
        <w:t>Endeavour Capital Parallel Fund IV, L.P.</w:t>
      </w:r>
    </w:p>
    <w:p>
      <w:pPr>
        <w:spacing w:after="0" w:line="9" w:lineRule="exact"/>
        <w:rPr>
          <w:sz w:val="20"/>
          <w:szCs w:val="20"/>
          <w:color w:val="auto"/>
        </w:rPr>
      </w:pPr>
    </w:p>
    <w:p>
      <w:pPr>
        <w:ind w:left="748"/>
        <w:spacing w:after="0"/>
        <w:rPr>
          <w:sz w:val="20"/>
          <w:szCs w:val="20"/>
          <w:color w:val="auto"/>
        </w:rPr>
      </w:pPr>
      <w:r>
        <w:rPr>
          <w:rFonts w:ascii="Arial" w:cs="Arial" w:eastAsia="Arial" w:hAnsi="Arial"/>
          <w:sz w:val="18"/>
          <w:szCs w:val="18"/>
          <w:color w:val="auto"/>
        </w:rPr>
        <w:t>Endeavour Capital IV, LLC</w:t>
      </w:r>
    </w:p>
    <w:p>
      <w:pPr>
        <w:spacing w:after="0" w:line="170" w:lineRule="exact"/>
        <w:rPr>
          <w:sz w:val="20"/>
          <w:szCs w:val="20"/>
          <w:color w:val="auto"/>
        </w:rPr>
      </w:pPr>
    </w:p>
    <w:p>
      <w:pPr>
        <w:ind w:left="748"/>
        <w:spacing w:after="0"/>
        <w:rPr>
          <w:sz w:val="20"/>
          <w:szCs w:val="20"/>
          <w:color w:val="auto"/>
        </w:rPr>
      </w:pPr>
      <w:r>
        <w:rPr>
          <w:rFonts w:ascii="Arial" w:cs="Arial" w:eastAsia="Arial" w:hAnsi="Arial"/>
          <w:sz w:val="16"/>
          <w:szCs w:val="16"/>
          <w:color w:val="auto"/>
        </w:rPr>
        <w:t>(b) Address of Principal Business Office or, if none, Residence:</w:t>
      </w:r>
    </w:p>
    <w:p>
      <w:pPr>
        <w:spacing w:after="0" w:line="221" w:lineRule="exact"/>
        <w:rPr>
          <w:sz w:val="20"/>
          <w:szCs w:val="20"/>
          <w:color w:val="auto"/>
        </w:rPr>
      </w:pPr>
    </w:p>
    <w:p>
      <w:pPr>
        <w:ind w:left="748"/>
        <w:spacing w:after="0"/>
        <w:rPr>
          <w:sz w:val="20"/>
          <w:szCs w:val="20"/>
          <w:color w:val="auto"/>
        </w:rPr>
      </w:pPr>
      <w:r>
        <w:rPr>
          <w:rFonts w:ascii="Arial" w:cs="Arial" w:eastAsia="Arial" w:hAnsi="Arial"/>
          <w:sz w:val="18"/>
          <w:szCs w:val="18"/>
          <w:color w:val="auto"/>
        </w:rPr>
        <w:t>920 SW Sixth Avenue, Suite 1400</w:t>
      </w:r>
    </w:p>
    <w:p>
      <w:pPr>
        <w:spacing w:after="0" w:line="23" w:lineRule="exact"/>
        <w:rPr>
          <w:sz w:val="20"/>
          <w:szCs w:val="20"/>
          <w:color w:val="auto"/>
        </w:rPr>
      </w:pPr>
    </w:p>
    <w:p>
      <w:pPr>
        <w:ind w:left="748"/>
        <w:spacing w:after="0"/>
        <w:rPr>
          <w:sz w:val="20"/>
          <w:szCs w:val="20"/>
          <w:color w:val="auto"/>
        </w:rPr>
      </w:pPr>
      <w:r>
        <w:rPr>
          <w:rFonts w:ascii="Arial" w:cs="Arial" w:eastAsia="Arial" w:hAnsi="Arial"/>
          <w:sz w:val="18"/>
          <w:szCs w:val="18"/>
          <w:color w:val="auto"/>
        </w:rPr>
        <w:t>Portland, Oregon 97204</w:t>
      </w:r>
    </w:p>
    <w:p>
      <w:pPr>
        <w:spacing w:after="0" w:line="170" w:lineRule="exact"/>
        <w:rPr>
          <w:sz w:val="20"/>
          <w:szCs w:val="20"/>
          <w:color w:val="auto"/>
        </w:rPr>
      </w:pPr>
    </w:p>
    <w:p>
      <w:pPr>
        <w:ind w:left="748"/>
        <w:spacing w:after="0"/>
        <w:rPr>
          <w:sz w:val="20"/>
          <w:szCs w:val="20"/>
          <w:color w:val="auto"/>
        </w:rPr>
      </w:pPr>
      <w:r>
        <w:rPr>
          <w:rFonts w:ascii="Arial" w:cs="Arial" w:eastAsia="Arial" w:hAnsi="Arial"/>
          <w:sz w:val="18"/>
          <w:szCs w:val="18"/>
          <w:color w:val="auto"/>
        </w:rPr>
        <w:t>(c) Citizenship:</w:t>
      </w:r>
    </w:p>
    <w:p>
      <w:pPr>
        <w:sectPr>
          <w:pgSz w:w="11900" w:h="16838" w:orient="portrait"/>
          <w:cols w:equalWidth="0" w:num="1">
            <w:col w:w="9887"/>
          </w:cols>
          <w:pgMar w:left="572" w:top="931" w:right="1440" w:bottom="1440" w:gutter="0" w:footer="0" w:header="0"/>
          <w:type w:val="continuous"/>
        </w:sectPr>
      </w:pP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Endeavour Capital Fund IV, L.P.</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Endeavour Associates Fund IV, L.P.</w:t>
      </w:r>
    </w:p>
    <w:p>
      <w:pPr>
        <w:spacing w:after="0" w:line="9" w:lineRule="exact"/>
        <w:rPr>
          <w:sz w:val="20"/>
          <w:szCs w:val="20"/>
          <w:color w:val="auto"/>
        </w:rPr>
      </w:pPr>
    </w:p>
    <w:p>
      <w:pPr>
        <w:ind w:left="8"/>
        <w:spacing w:after="0"/>
        <w:rPr>
          <w:sz w:val="20"/>
          <w:szCs w:val="20"/>
          <w:color w:val="auto"/>
        </w:rPr>
      </w:pPr>
      <w:r>
        <w:rPr>
          <w:rFonts w:ascii="Arial" w:cs="Arial" w:eastAsia="Arial" w:hAnsi="Arial"/>
          <w:sz w:val="16"/>
          <w:szCs w:val="16"/>
          <w:color w:val="auto"/>
        </w:rPr>
        <w:t>Endeavour Capital Parallel Fund IV, L.P.</w:t>
      </w:r>
    </w:p>
    <w:p>
      <w:pPr>
        <w:spacing w:after="0" w:line="32" w:lineRule="exact"/>
        <w:rPr>
          <w:sz w:val="20"/>
          <w:szCs w:val="20"/>
          <w:color w:val="auto"/>
        </w:rPr>
      </w:pPr>
    </w:p>
    <w:p>
      <w:pPr>
        <w:ind w:left="8"/>
        <w:spacing w:after="0"/>
        <w:rPr>
          <w:sz w:val="20"/>
          <w:szCs w:val="20"/>
          <w:color w:val="auto"/>
        </w:rPr>
      </w:pPr>
      <w:r>
        <w:rPr>
          <w:rFonts w:ascii="Arial" w:cs="Arial" w:eastAsia="Arial" w:hAnsi="Arial"/>
          <w:sz w:val="18"/>
          <w:szCs w:val="18"/>
          <w:color w:val="auto"/>
        </w:rPr>
        <w:t>Endeavour Capital IV, LLC</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92" w:lineRule="exact"/>
        <w:rPr>
          <w:sz w:val="20"/>
          <w:szCs w:val="20"/>
          <w:color w:val="auto"/>
        </w:rPr>
      </w:pPr>
    </w:p>
    <w:p>
      <w:pPr>
        <w:sectPr>
          <w:pgSz w:w="11900" w:h="16838" w:orient="portrait"/>
          <w:cols w:equalWidth="0" w:num="2">
            <w:col w:w="7928" w:space="720"/>
            <w:col w:w="1239"/>
          </w:cols>
          <w:pgMar w:left="572" w:top="931" w:right="1440" w:bottom="1440" w:gutter="0" w:footer="0" w:header="0"/>
          <w:type w:val="continuous"/>
        </w:sectPr>
      </w:pPr>
    </w:p>
    <w:p>
      <w:pPr>
        <w:ind w:left="748"/>
        <w:spacing w:after="0"/>
        <w:rPr>
          <w:sz w:val="20"/>
          <w:szCs w:val="20"/>
          <w:color w:val="auto"/>
        </w:rPr>
      </w:pPr>
      <w:r>
        <w:rPr>
          <w:rFonts w:ascii="Arial" w:cs="Arial" w:eastAsia="Arial" w:hAnsi="Arial"/>
          <w:sz w:val="18"/>
          <w:szCs w:val="18"/>
          <w:color w:val="auto"/>
        </w:rPr>
        <w:t>(d) Title of Class of Securities:</w:t>
      </w:r>
    </w:p>
    <w:p>
      <w:pPr>
        <w:spacing w:after="0" w:line="198" w:lineRule="exact"/>
        <w:rPr>
          <w:sz w:val="20"/>
          <w:szCs w:val="20"/>
          <w:color w:val="auto"/>
        </w:rPr>
      </w:pPr>
    </w:p>
    <w:p>
      <w:pPr>
        <w:ind w:left="748"/>
        <w:spacing w:after="0"/>
        <w:rPr>
          <w:sz w:val="20"/>
          <w:szCs w:val="20"/>
          <w:color w:val="auto"/>
        </w:rPr>
      </w:pPr>
      <w:r>
        <w:rPr>
          <w:rFonts w:ascii="Arial" w:cs="Arial" w:eastAsia="Arial" w:hAnsi="Arial"/>
          <w:sz w:val="16"/>
          <w:szCs w:val="16"/>
          <w:color w:val="auto"/>
        </w:rPr>
        <w:t>Common stock, $0.01 par value per share</w:t>
      </w:r>
    </w:p>
    <w:p>
      <w:pPr>
        <w:spacing w:after="0" w:line="208" w:lineRule="exact"/>
        <w:rPr>
          <w:sz w:val="20"/>
          <w:szCs w:val="20"/>
          <w:color w:val="auto"/>
        </w:rPr>
      </w:pPr>
    </w:p>
    <w:p>
      <w:pPr>
        <w:ind w:left="748"/>
        <w:spacing w:after="0"/>
        <w:rPr>
          <w:sz w:val="20"/>
          <w:szCs w:val="20"/>
          <w:color w:val="auto"/>
        </w:rPr>
      </w:pPr>
      <w:r>
        <w:rPr>
          <w:rFonts w:ascii="Arial" w:cs="Arial" w:eastAsia="Arial" w:hAnsi="Arial"/>
          <w:sz w:val="18"/>
          <w:szCs w:val="18"/>
          <w:color w:val="auto"/>
        </w:rPr>
        <w:t>(e) CUSIP:</w:t>
      </w:r>
    </w:p>
    <w:p>
      <w:pPr>
        <w:spacing w:after="0" w:line="185" w:lineRule="exact"/>
        <w:rPr>
          <w:sz w:val="20"/>
          <w:szCs w:val="20"/>
          <w:color w:val="auto"/>
        </w:rPr>
      </w:pPr>
    </w:p>
    <w:p>
      <w:pPr>
        <w:ind w:left="748"/>
        <w:spacing w:after="0"/>
        <w:rPr>
          <w:sz w:val="20"/>
          <w:szCs w:val="20"/>
          <w:color w:val="auto"/>
        </w:rPr>
      </w:pPr>
      <w:r>
        <w:rPr>
          <w:rFonts w:ascii="Arial" w:cs="Arial" w:eastAsia="Arial" w:hAnsi="Arial"/>
          <w:sz w:val="18"/>
          <w:szCs w:val="18"/>
          <w:color w:val="auto"/>
        </w:rPr>
        <w:t>38526M 106</w:t>
      </w:r>
    </w:p>
    <w:p>
      <w:pPr>
        <w:sectPr>
          <w:pgSz w:w="11900" w:h="16838" w:orient="portrait"/>
          <w:cols w:equalWidth="0" w:num="1">
            <w:col w:w="9887"/>
          </w:cols>
          <w:pgMar w:left="572" w:top="931" w:right="1440" w:bottom="1440" w:gutter="0" w:footer="0" w:header="0"/>
          <w:type w:val="continuous"/>
        </w:sectPr>
      </w:pPr>
    </w:p>
    <w:p>
      <w:pPr>
        <w:spacing w:after="0" w:line="194" w:lineRule="exact"/>
        <w:rPr>
          <w:sz w:val="20"/>
          <w:szCs w:val="20"/>
          <w:color w:val="auto"/>
        </w:rPr>
      </w:pPr>
    </w:p>
    <w:p>
      <w:pPr>
        <w:ind w:left="728" w:right="679" w:hanging="728"/>
        <w:spacing w:after="0" w:line="282" w:lineRule="auto"/>
        <w:tabs>
          <w:tab w:leader="none" w:pos="707" w:val="left"/>
        </w:tabs>
        <w:rPr>
          <w:sz w:val="20"/>
          <w:szCs w:val="20"/>
          <w:color w:val="auto"/>
        </w:rPr>
      </w:pPr>
      <w:r>
        <w:rPr>
          <w:rFonts w:ascii="Arial" w:cs="Arial" w:eastAsia="Arial" w:hAnsi="Arial"/>
          <w:sz w:val="18"/>
          <w:szCs w:val="18"/>
          <w:b w:val="1"/>
          <w:bCs w:val="1"/>
          <w:color w:val="auto"/>
        </w:rPr>
        <w:t>Item 3.</w:t>
        <w:tab/>
        <w:t>If this statement is filed pursuant to §§240.13d-1(b) or 240.13d-2(b) or (c), check whether the person is filing as a:</w:t>
      </w:r>
    </w:p>
    <w:p>
      <w:pPr>
        <w:spacing w:after="0" w:line="125"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5580" w:type="dxa"/>
            <w:vAlign w:val="bottom"/>
          </w:tcPr>
          <w:p>
            <w:pPr>
              <w:ind w:left="740"/>
              <w:spacing w:after="0"/>
              <w:rPr>
                <w:sz w:val="20"/>
                <w:szCs w:val="20"/>
                <w:color w:val="auto"/>
              </w:rPr>
            </w:pPr>
            <w:r>
              <w:rPr>
                <w:rFonts w:ascii="Arial" w:cs="Arial" w:eastAsia="Arial" w:hAnsi="Arial"/>
                <w:sz w:val="18"/>
                <w:szCs w:val="18"/>
                <w:color w:val="auto"/>
              </w:rPr>
              <w:t>Not applicable.</w:t>
            </w:r>
          </w:p>
        </w:tc>
        <w:tc>
          <w:tcPr>
            <w:tcW w:w="3740" w:type="dxa"/>
            <w:vAlign w:val="bottom"/>
          </w:tcPr>
          <w:p>
            <w:pPr>
              <w:spacing w:after="0"/>
              <w:rPr>
                <w:sz w:val="20"/>
                <w:szCs w:val="20"/>
                <w:color w:val="auto"/>
              </w:rPr>
            </w:pPr>
          </w:p>
        </w:tc>
      </w:tr>
      <w:tr>
        <w:trPr>
          <w:trHeight w:val="392"/>
        </w:trPr>
        <w:tc>
          <w:tcPr>
            <w:tcW w:w="5580" w:type="dxa"/>
            <w:vAlign w:val="bottom"/>
          </w:tcPr>
          <w:p>
            <w:pPr>
              <w:spacing w:after="0"/>
              <w:rPr>
                <w:sz w:val="20"/>
                <w:szCs w:val="20"/>
                <w:color w:val="auto"/>
              </w:rPr>
            </w:pPr>
            <w:r>
              <w:rPr>
                <w:rFonts w:ascii="Arial" w:cs="Arial" w:eastAsia="Arial" w:hAnsi="Arial"/>
                <w:sz w:val="18"/>
                <w:szCs w:val="18"/>
                <w:b w:val="1"/>
                <w:bCs w:val="1"/>
                <w:color w:val="auto"/>
              </w:rPr>
              <w:t>Item 4.  Ownership.</w:t>
            </w:r>
          </w:p>
        </w:tc>
        <w:tc>
          <w:tcPr>
            <w:tcW w:w="3740" w:type="dxa"/>
            <w:vAlign w:val="bottom"/>
          </w:tcPr>
          <w:p>
            <w:pPr>
              <w:spacing w:after="0"/>
              <w:rPr>
                <w:sz w:val="24"/>
                <w:szCs w:val="24"/>
                <w:color w:val="auto"/>
              </w:rPr>
            </w:pPr>
          </w:p>
        </w:tc>
      </w:tr>
      <w:tr>
        <w:trPr>
          <w:trHeight w:val="405"/>
        </w:trPr>
        <w:tc>
          <w:tcPr>
            <w:tcW w:w="5580" w:type="dxa"/>
            <w:vAlign w:val="bottom"/>
          </w:tcPr>
          <w:p>
            <w:pPr>
              <w:ind w:left="740"/>
              <w:spacing w:after="0"/>
              <w:rPr>
                <w:sz w:val="20"/>
                <w:szCs w:val="20"/>
                <w:color w:val="auto"/>
              </w:rPr>
            </w:pPr>
            <w:r>
              <w:rPr>
                <w:rFonts w:ascii="Arial" w:cs="Arial" w:eastAsia="Arial" w:hAnsi="Arial"/>
                <w:sz w:val="18"/>
                <w:szCs w:val="18"/>
                <w:color w:val="auto"/>
              </w:rPr>
              <w:t>(a) Amount beneficially owned:</w:t>
            </w:r>
          </w:p>
        </w:tc>
        <w:tc>
          <w:tcPr>
            <w:tcW w:w="3740" w:type="dxa"/>
            <w:vAlign w:val="bottom"/>
          </w:tcPr>
          <w:p>
            <w:pPr>
              <w:spacing w:after="0"/>
              <w:rPr>
                <w:sz w:val="24"/>
                <w:szCs w:val="24"/>
                <w:color w:val="auto"/>
              </w:rPr>
            </w:pPr>
          </w:p>
        </w:tc>
      </w:tr>
      <w:tr>
        <w:trPr>
          <w:trHeight w:val="216"/>
        </w:trPr>
        <w:tc>
          <w:tcPr>
            <w:tcW w:w="558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Fund IV, L.P.</w:t>
            </w:r>
          </w:p>
        </w:tc>
        <w:tc>
          <w:tcPr>
            <w:tcW w:w="37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5,395,750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Endeavour Associates Fund IV, L.P.</w:t>
            </w:r>
          </w:p>
        </w:tc>
        <w:tc>
          <w:tcPr>
            <w:tcW w:w="3740" w:type="dxa"/>
            <w:vAlign w:val="bottom"/>
          </w:tcPr>
          <w:p>
            <w:pPr>
              <w:jc w:val="right"/>
              <w:ind w:right="390"/>
              <w:spacing w:after="0"/>
              <w:rPr>
                <w:sz w:val="20"/>
                <w:szCs w:val="20"/>
                <w:color w:val="auto"/>
              </w:rPr>
            </w:pPr>
            <w:r>
              <w:rPr>
                <w:rFonts w:ascii="Arial" w:cs="Arial" w:eastAsia="Arial" w:hAnsi="Arial"/>
                <w:sz w:val="18"/>
                <w:szCs w:val="18"/>
                <w:color w:val="auto"/>
              </w:rPr>
              <w:t>330,470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Parallel Fund IV, L.P.</w:t>
            </w:r>
          </w:p>
        </w:tc>
        <w:tc>
          <w:tcPr>
            <w:tcW w:w="37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610,918</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Endeavour Capital IV, LLC</w:t>
            </w:r>
          </w:p>
        </w:tc>
        <w:tc>
          <w:tcPr>
            <w:tcW w:w="3740" w:type="dxa"/>
            <w:vAlign w:val="bottom"/>
          </w:tcPr>
          <w:p>
            <w:pPr>
              <w:jc w:val="right"/>
              <w:ind w:right="390"/>
              <w:spacing w:after="0"/>
              <w:rPr>
                <w:sz w:val="20"/>
                <w:szCs w:val="20"/>
                <w:color w:val="auto"/>
              </w:rPr>
            </w:pPr>
            <w:r>
              <w:rPr>
                <w:rFonts w:ascii="Arial" w:cs="Arial" w:eastAsia="Arial" w:hAnsi="Arial"/>
                <w:sz w:val="18"/>
                <w:szCs w:val="18"/>
                <w:color w:val="auto"/>
              </w:rPr>
              <w:t>6,337,138</w:t>
            </w:r>
          </w:p>
        </w:tc>
      </w:tr>
    </w:tbl>
    <w:p>
      <w:pPr>
        <w:spacing w:after="0" w:line="147"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5720" w:type="dxa"/>
            <w:vAlign w:val="bottom"/>
          </w:tcPr>
          <w:p>
            <w:pPr>
              <w:ind w:left="740"/>
              <w:spacing w:after="0"/>
              <w:rPr>
                <w:sz w:val="20"/>
                <w:szCs w:val="20"/>
                <w:color w:val="auto"/>
              </w:rPr>
            </w:pPr>
            <w:r>
              <w:rPr>
                <w:rFonts w:ascii="Arial" w:cs="Arial" w:eastAsia="Arial" w:hAnsi="Arial"/>
                <w:sz w:val="18"/>
                <w:szCs w:val="18"/>
                <w:color w:val="auto"/>
              </w:rPr>
              <w:t>(b) Percent of class:*</w:t>
            </w:r>
          </w:p>
        </w:tc>
        <w:tc>
          <w:tcPr>
            <w:tcW w:w="3600" w:type="dxa"/>
            <w:vAlign w:val="bottom"/>
          </w:tcPr>
          <w:p>
            <w:pPr>
              <w:spacing w:after="0"/>
              <w:rPr>
                <w:sz w:val="20"/>
                <w:szCs w:val="20"/>
                <w:color w:val="auto"/>
              </w:rPr>
            </w:pPr>
          </w:p>
        </w:tc>
      </w:tr>
      <w:tr>
        <w:trPr>
          <w:trHeight w:val="216"/>
        </w:trPr>
        <w:tc>
          <w:tcPr>
            <w:tcW w:w="572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Fund IV, L.P.</w:t>
            </w:r>
          </w:p>
        </w:tc>
        <w:tc>
          <w:tcPr>
            <w:tcW w:w="3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11.8%</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Endeavour Associates Fund IV, L.P.</w:t>
            </w:r>
          </w:p>
        </w:tc>
        <w:tc>
          <w:tcPr>
            <w:tcW w:w="3600" w:type="dxa"/>
            <w:vAlign w:val="bottom"/>
          </w:tcPr>
          <w:p>
            <w:pPr>
              <w:jc w:val="right"/>
              <w:ind w:right="270"/>
              <w:spacing w:after="0"/>
              <w:rPr>
                <w:sz w:val="20"/>
                <w:szCs w:val="20"/>
                <w:color w:val="auto"/>
              </w:rPr>
            </w:pPr>
            <w:r>
              <w:rPr>
                <w:rFonts w:ascii="Arial" w:cs="Arial" w:eastAsia="Arial" w:hAnsi="Arial"/>
                <w:sz w:val="18"/>
                <w:szCs w:val="18"/>
                <w:color w:val="auto"/>
              </w:rPr>
              <w:t>0.1%</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Parallel Fund IV, L.P.</w:t>
            </w:r>
          </w:p>
        </w:tc>
        <w:tc>
          <w:tcPr>
            <w:tcW w:w="3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Endeavour Capital IV, LLC</w:t>
            </w:r>
          </w:p>
        </w:tc>
        <w:tc>
          <w:tcPr>
            <w:tcW w:w="3600" w:type="dxa"/>
            <w:vAlign w:val="bottom"/>
          </w:tcPr>
          <w:p>
            <w:pPr>
              <w:jc w:val="right"/>
              <w:ind w:right="270"/>
              <w:spacing w:after="0"/>
              <w:rPr>
                <w:sz w:val="20"/>
                <w:szCs w:val="20"/>
                <w:color w:val="auto"/>
              </w:rPr>
            </w:pPr>
            <w:r>
              <w:rPr>
                <w:rFonts w:ascii="Arial" w:cs="Arial" w:eastAsia="Arial" w:hAnsi="Arial"/>
                <w:sz w:val="18"/>
                <w:szCs w:val="18"/>
                <w:color w:val="auto"/>
              </w:rPr>
              <w:t>13.9%</w:t>
            </w:r>
          </w:p>
        </w:tc>
      </w:tr>
    </w:tbl>
    <w:p>
      <w:pPr>
        <w:spacing w:after="0" w:line="93" w:lineRule="exact"/>
        <w:rPr>
          <w:sz w:val="20"/>
          <w:szCs w:val="20"/>
          <w:color w:val="auto"/>
        </w:rPr>
      </w:pPr>
    </w:p>
    <w:p>
      <w:pPr>
        <w:ind w:left="348" w:right="1359" w:hanging="348"/>
        <w:spacing w:after="0" w:line="342" w:lineRule="auto"/>
        <w:tabs>
          <w:tab w:leader="none" w:pos="34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45,613,794 shares of Grand Canyon common stock outstanding, which reflects shares outstanding as of September 14, 2009 plus 1,000,000 shares issued by Grand Canyon on September 18, 2009.</w:t>
      </w:r>
    </w:p>
    <w:p>
      <w:pPr>
        <w:spacing w:after="0" w:line="200" w:lineRule="exact"/>
        <w:rPr>
          <w:sz w:val="20"/>
          <w:szCs w:val="20"/>
          <w:color w:val="auto"/>
        </w:rPr>
      </w:pPr>
    </w:p>
    <w:p>
      <w:pPr>
        <w:spacing w:after="0" w:line="289" w:lineRule="exact"/>
        <w:rPr>
          <w:sz w:val="20"/>
          <w:szCs w:val="20"/>
          <w:color w:val="auto"/>
        </w:rPr>
      </w:pPr>
    </w:p>
    <w:p>
      <w:pPr>
        <w:ind w:left="4268"/>
        <w:spacing w:after="0"/>
        <w:rPr>
          <w:sz w:val="20"/>
          <w:szCs w:val="20"/>
          <w:color w:val="auto"/>
        </w:rPr>
      </w:pPr>
      <w:r>
        <w:rPr>
          <w:rFonts w:ascii="Arial" w:cs="Arial" w:eastAsia="Arial" w:hAnsi="Arial"/>
          <w:sz w:val="18"/>
          <w:szCs w:val="18"/>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6620" w:type="dxa"/>
            <w:vAlign w:val="bottom"/>
          </w:tcPr>
          <w:p>
            <w:pPr>
              <w:ind w:left="740"/>
              <w:spacing w:after="0"/>
              <w:rPr>
                <w:sz w:val="20"/>
                <w:szCs w:val="20"/>
                <w:color w:val="auto"/>
              </w:rPr>
            </w:pPr>
            <w:r>
              <w:rPr>
                <w:rFonts w:ascii="Arial" w:cs="Arial" w:eastAsia="Arial" w:hAnsi="Arial"/>
                <w:sz w:val="18"/>
                <w:szCs w:val="18"/>
                <w:color w:val="auto"/>
              </w:rPr>
              <w:t>(c) Number of shares as to which such person has:</w:t>
            </w:r>
          </w:p>
        </w:tc>
        <w:tc>
          <w:tcPr>
            <w:tcW w:w="2700" w:type="dxa"/>
            <w:vAlign w:val="bottom"/>
          </w:tcPr>
          <w:p>
            <w:pPr>
              <w:spacing w:after="0"/>
              <w:rPr>
                <w:sz w:val="20"/>
                <w:szCs w:val="20"/>
                <w:color w:val="auto"/>
              </w:rPr>
            </w:pPr>
          </w:p>
        </w:tc>
      </w:tr>
      <w:tr>
        <w:trPr>
          <w:trHeight w:val="405"/>
        </w:trPr>
        <w:tc>
          <w:tcPr>
            <w:tcW w:w="6620" w:type="dxa"/>
            <w:vAlign w:val="bottom"/>
          </w:tcPr>
          <w:p>
            <w:pPr>
              <w:ind w:left="920"/>
              <w:spacing w:after="0"/>
              <w:rPr>
                <w:sz w:val="20"/>
                <w:szCs w:val="20"/>
                <w:color w:val="auto"/>
              </w:rPr>
            </w:pPr>
            <w:r>
              <w:rPr>
                <w:rFonts w:ascii="Arial" w:cs="Arial" w:eastAsia="Arial" w:hAnsi="Arial"/>
                <w:sz w:val="18"/>
                <w:szCs w:val="18"/>
                <w:color w:val="auto"/>
              </w:rPr>
              <w:t>(i) Sole power to vote or to direct the vote</w:t>
            </w:r>
          </w:p>
        </w:tc>
        <w:tc>
          <w:tcPr>
            <w:tcW w:w="2700" w:type="dxa"/>
            <w:vAlign w:val="bottom"/>
          </w:tcPr>
          <w:p>
            <w:pPr>
              <w:spacing w:after="0"/>
              <w:rPr>
                <w:sz w:val="24"/>
                <w:szCs w:val="24"/>
                <w:color w:val="auto"/>
              </w:rPr>
            </w:pPr>
          </w:p>
        </w:tc>
      </w:tr>
      <w:tr>
        <w:trPr>
          <w:trHeight w:val="216"/>
        </w:trPr>
        <w:tc>
          <w:tcPr>
            <w:tcW w:w="66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Fund IV, L.P.</w:t>
            </w:r>
          </w:p>
        </w:tc>
        <w:tc>
          <w:tcPr>
            <w:tcW w:w="2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Endeavour Associates Fund IV, L.P.</w:t>
            </w:r>
          </w:p>
        </w:tc>
        <w:tc>
          <w:tcPr>
            <w:tcW w:w="2700" w:type="dxa"/>
            <w:vAlign w:val="bottom"/>
          </w:tcPr>
          <w:p>
            <w:pPr>
              <w:jc w:val="right"/>
              <w:ind w:right="430"/>
              <w:spacing w:after="0"/>
              <w:rPr>
                <w:sz w:val="20"/>
                <w:szCs w:val="20"/>
                <w:color w:val="auto"/>
              </w:rPr>
            </w:pPr>
            <w:r>
              <w:rPr>
                <w:rFonts w:ascii="Arial" w:cs="Arial" w:eastAsia="Arial" w:hAnsi="Arial"/>
                <w:sz w:val="18"/>
                <w:szCs w:val="18"/>
                <w:color w:val="auto"/>
              </w:rPr>
              <w:t>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Parallel Fund IV, L.P.</w:t>
            </w:r>
          </w:p>
        </w:tc>
        <w:tc>
          <w:tcPr>
            <w:tcW w:w="2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Endeavour Capital IV, LLC</w:t>
            </w:r>
          </w:p>
        </w:tc>
        <w:tc>
          <w:tcPr>
            <w:tcW w:w="2700" w:type="dxa"/>
            <w:vAlign w:val="bottom"/>
          </w:tcPr>
          <w:p>
            <w:pPr>
              <w:jc w:val="right"/>
              <w:ind w:right="430"/>
              <w:spacing w:after="0"/>
              <w:rPr>
                <w:sz w:val="20"/>
                <w:szCs w:val="20"/>
                <w:color w:val="auto"/>
              </w:rPr>
            </w:pPr>
            <w:r>
              <w:rPr>
                <w:rFonts w:ascii="Arial" w:cs="Arial" w:eastAsia="Arial" w:hAnsi="Arial"/>
                <w:sz w:val="18"/>
                <w:szCs w:val="18"/>
                <w:color w:val="auto"/>
              </w:rPr>
              <w:t>0</w:t>
            </w:r>
          </w:p>
        </w:tc>
      </w:tr>
      <w:tr>
        <w:trPr>
          <w:trHeight w:val="377"/>
        </w:trPr>
        <w:tc>
          <w:tcPr>
            <w:tcW w:w="6620" w:type="dxa"/>
            <w:vAlign w:val="bottom"/>
          </w:tcPr>
          <w:p>
            <w:pPr>
              <w:ind w:left="920"/>
              <w:spacing w:after="0"/>
              <w:rPr>
                <w:sz w:val="20"/>
                <w:szCs w:val="20"/>
                <w:color w:val="auto"/>
              </w:rPr>
            </w:pPr>
            <w:r>
              <w:rPr>
                <w:rFonts w:ascii="Arial" w:cs="Arial" w:eastAsia="Arial" w:hAnsi="Arial"/>
                <w:sz w:val="18"/>
                <w:szCs w:val="18"/>
                <w:color w:val="auto"/>
              </w:rPr>
              <w:t>(ii) Shared power to vote or to direct the vote</w:t>
            </w:r>
          </w:p>
        </w:tc>
        <w:tc>
          <w:tcPr>
            <w:tcW w:w="2700" w:type="dxa"/>
            <w:vAlign w:val="bottom"/>
          </w:tcPr>
          <w:p>
            <w:pPr>
              <w:spacing w:after="0"/>
              <w:rPr>
                <w:sz w:val="24"/>
                <w:szCs w:val="24"/>
                <w:color w:val="auto"/>
              </w:rPr>
            </w:pPr>
          </w:p>
        </w:tc>
      </w:tr>
      <w:tr>
        <w:trPr>
          <w:trHeight w:val="216"/>
        </w:trPr>
        <w:tc>
          <w:tcPr>
            <w:tcW w:w="66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Fund IV, L.P.</w:t>
            </w:r>
          </w:p>
        </w:tc>
        <w:tc>
          <w:tcPr>
            <w:tcW w:w="2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Endeavour Associates Fund IV, L.P.</w:t>
            </w:r>
          </w:p>
        </w:tc>
        <w:tc>
          <w:tcPr>
            <w:tcW w:w="2700" w:type="dxa"/>
            <w:vAlign w:val="bottom"/>
          </w:tcPr>
          <w:p>
            <w:pPr>
              <w:jc w:val="right"/>
              <w:ind w:right="430"/>
              <w:spacing w:after="0"/>
              <w:rPr>
                <w:sz w:val="20"/>
                <w:szCs w:val="20"/>
                <w:color w:val="auto"/>
              </w:rPr>
            </w:pPr>
            <w:r>
              <w:rPr>
                <w:rFonts w:ascii="Arial" w:cs="Arial" w:eastAsia="Arial" w:hAnsi="Arial"/>
                <w:sz w:val="18"/>
                <w:szCs w:val="18"/>
                <w:color w:val="auto"/>
              </w:rPr>
              <w:t>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Parallel Fund IV, L.P.</w:t>
            </w:r>
          </w:p>
        </w:tc>
        <w:tc>
          <w:tcPr>
            <w:tcW w:w="2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Endeavour Capital IV, LLC</w:t>
            </w:r>
          </w:p>
        </w:tc>
        <w:tc>
          <w:tcPr>
            <w:tcW w:w="2700" w:type="dxa"/>
            <w:vAlign w:val="bottom"/>
          </w:tcPr>
          <w:p>
            <w:pPr>
              <w:jc w:val="right"/>
              <w:ind w:right="430"/>
              <w:spacing w:after="0"/>
              <w:rPr>
                <w:sz w:val="20"/>
                <w:szCs w:val="20"/>
                <w:color w:val="auto"/>
              </w:rPr>
            </w:pPr>
            <w:r>
              <w:rPr>
                <w:rFonts w:ascii="Arial" w:cs="Arial" w:eastAsia="Arial" w:hAnsi="Arial"/>
                <w:sz w:val="18"/>
                <w:szCs w:val="18"/>
                <w:color w:val="auto"/>
              </w:rPr>
              <w:t>0</w:t>
            </w:r>
          </w:p>
        </w:tc>
      </w:tr>
      <w:tr>
        <w:trPr>
          <w:trHeight w:val="377"/>
        </w:trPr>
        <w:tc>
          <w:tcPr>
            <w:tcW w:w="6620" w:type="dxa"/>
            <w:vAlign w:val="bottom"/>
          </w:tcPr>
          <w:p>
            <w:pPr>
              <w:ind w:left="920"/>
              <w:spacing w:after="0"/>
              <w:rPr>
                <w:sz w:val="20"/>
                <w:szCs w:val="20"/>
                <w:color w:val="auto"/>
              </w:rPr>
            </w:pPr>
            <w:r>
              <w:rPr>
                <w:rFonts w:ascii="Arial" w:cs="Arial" w:eastAsia="Arial" w:hAnsi="Arial"/>
                <w:sz w:val="18"/>
                <w:szCs w:val="18"/>
                <w:color w:val="auto"/>
              </w:rPr>
              <w:t>(iii) Sole power to dispose or to direct the disposition of</w:t>
            </w:r>
          </w:p>
        </w:tc>
        <w:tc>
          <w:tcPr>
            <w:tcW w:w="2700" w:type="dxa"/>
            <w:vAlign w:val="bottom"/>
          </w:tcPr>
          <w:p>
            <w:pPr>
              <w:spacing w:after="0"/>
              <w:rPr>
                <w:sz w:val="24"/>
                <w:szCs w:val="24"/>
                <w:color w:val="auto"/>
              </w:rPr>
            </w:pPr>
          </w:p>
        </w:tc>
      </w:tr>
      <w:tr>
        <w:trPr>
          <w:trHeight w:val="216"/>
        </w:trPr>
        <w:tc>
          <w:tcPr>
            <w:tcW w:w="66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Fund IV, L.P.</w:t>
            </w:r>
          </w:p>
        </w:tc>
        <w:tc>
          <w:tcPr>
            <w:tcW w:w="2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Endeavour Associates Fund IV, L.P.</w:t>
            </w:r>
          </w:p>
        </w:tc>
        <w:tc>
          <w:tcPr>
            <w:tcW w:w="2700" w:type="dxa"/>
            <w:vAlign w:val="bottom"/>
          </w:tcPr>
          <w:p>
            <w:pPr>
              <w:jc w:val="right"/>
              <w:ind w:right="430"/>
              <w:spacing w:after="0"/>
              <w:rPr>
                <w:sz w:val="20"/>
                <w:szCs w:val="20"/>
                <w:color w:val="auto"/>
              </w:rPr>
            </w:pPr>
            <w:r>
              <w:rPr>
                <w:rFonts w:ascii="Arial" w:cs="Arial" w:eastAsia="Arial" w:hAnsi="Arial"/>
                <w:sz w:val="18"/>
                <w:szCs w:val="18"/>
                <w:color w:val="auto"/>
              </w:rPr>
              <w:t>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Parallel Fund IV, L.P.</w:t>
            </w:r>
          </w:p>
        </w:tc>
        <w:tc>
          <w:tcPr>
            <w:tcW w:w="2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Endeavour Capital IV, LLC</w:t>
            </w:r>
          </w:p>
        </w:tc>
        <w:tc>
          <w:tcPr>
            <w:tcW w:w="2700" w:type="dxa"/>
            <w:vAlign w:val="bottom"/>
          </w:tcPr>
          <w:p>
            <w:pPr>
              <w:jc w:val="right"/>
              <w:ind w:right="430"/>
              <w:spacing w:after="0"/>
              <w:rPr>
                <w:sz w:val="20"/>
                <w:szCs w:val="20"/>
                <w:color w:val="auto"/>
              </w:rPr>
            </w:pPr>
            <w:r>
              <w:rPr>
                <w:rFonts w:ascii="Arial" w:cs="Arial" w:eastAsia="Arial" w:hAnsi="Arial"/>
                <w:sz w:val="18"/>
                <w:szCs w:val="18"/>
                <w:color w:val="auto"/>
              </w:rPr>
              <w:t>0</w:t>
            </w:r>
          </w:p>
        </w:tc>
      </w:tr>
      <w:tr>
        <w:trPr>
          <w:trHeight w:val="391"/>
        </w:trPr>
        <w:tc>
          <w:tcPr>
            <w:tcW w:w="6620" w:type="dxa"/>
            <w:vAlign w:val="bottom"/>
          </w:tcPr>
          <w:p>
            <w:pPr>
              <w:ind w:left="920"/>
              <w:spacing w:after="0"/>
              <w:rPr>
                <w:sz w:val="20"/>
                <w:szCs w:val="20"/>
                <w:color w:val="auto"/>
              </w:rPr>
            </w:pPr>
            <w:r>
              <w:rPr>
                <w:rFonts w:ascii="Arial" w:cs="Arial" w:eastAsia="Arial" w:hAnsi="Arial"/>
                <w:sz w:val="18"/>
                <w:szCs w:val="18"/>
                <w:color w:val="auto"/>
              </w:rPr>
              <w:t>(iv) Shared power to dispose or to direct the disposition of</w:t>
            </w:r>
          </w:p>
        </w:tc>
        <w:tc>
          <w:tcPr>
            <w:tcW w:w="2700" w:type="dxa"/>
            <w:vAlign w:val="bottom"/>
          </w:tcPr>
          <w:p>
            <w:pPr>
              <w:spacing w:after="0"/>
              <w:rPr>
                <w:sz w:val="24"/>
                <w:szCs w:val="24"/>
                <w:color w:val="auto"/>
              </w:rPr>
            </w:pPr>
          </w:p>
        </w:tc>
      </w:tr>
      <w:tr>
        <w:trPr>
          <w:trHeight w:val="216"/>
        </w:trPr>
        <w:tc>
          <w:tcPr>
            <w:tcW w:w="66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Fund IV, L.P.</w:t>
            </w:r>
          </w:p>
        </w:tc>
        <w:tc>
          <w:tcPr>
            <w:tcW w:w="2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5,395,750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Endeavour Associates Fund IV, L.P.</w:t>
            </w:r>
          </w:p>
        </w:tc>
        <w:tc>
          <w:tcPr>
            <w:tcW w:w="2700" w:type="dxa"/>
            <w:vAlign w:val="bottom"/>
          </w:tcPr>
          <w:p>
            <w:pPr>
              <w:jc w:val="right"/>
              <w:ind w:right="390"/>
              <w:spacing w:after="0"/>
              <w:rPr>
                <w:sz w:val="20"/>
                <w:szCs w:val="20"/>
                <w:color w:val="auto"/>
              </w:rPr>
            </w:pPr>
            <w:r>
              <w:rPr>
                <w:rFonts w:ascii="Arial" w:cs="Arial" w:eastAsia="Arial" w:hAnsi="Arial"/>
                <w:sz w:val="18"/>
                <w:szCs w:val="18"/>
                <w:color w:val="auto"/>
              </w:rPr>
              <w:t>330,470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Parallel Fund IV, L.P.</w:t>
            </w:r>
          </w:p>
        </w:tc>
        <w:tc>
          <w:tcPr>
            <w:tcW w:w="2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610,918</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Endeavour Capital IV, LLC</w:t>
            </w:r>
          </w:p>
        </w:tc>
        <w:tc>
          <w:tcPr>
            <w:tcW w:w="2700" w:type="dxa"/>
            <w:vAlign w:val="bottom"/>
          </w:tcPr>
          <w:p>
            <w:pPr>
              <w:jc w:val="right"/>
              <w:ind w:right="390"/>
              <w:spacing w:after="0"/>
              <w:rPr>
                <w:sz w:val="20"/>
                <w:szCs w:val="20"/>
                <w:color w:val="auto"/>
              </w:rPr>
            </w:pPr>
            <w:r>
              <w:rPr>
                <w:rFonts w:ascii="Arial" w:cs="Arial" w:eastAsia="Arial" w:hAnsi="Arial"/>
                <w:sz w:val="18"/>
                <w:szCs w:val="18"/>
                <w:color w:val="auto"/>
              </w:rPr>
              <w:t>6,337,138</w:t>
            </w:r>
          </w:p>
        </w:tc>
      </w:tr>
    </w:tbl>
    <w:p>
      <w:pPr>
        <w:spacing w:after="0" w:line="147" w:lineRule="exact"/>
        <w:rPr>
          <w:sz w:val="20"/>
          <w:szCs w:val="20"/>
          <w:color w:val="auto"/>
        </w:rPr>
      </w:pPr>
    </w:p>
    <w:p>
      <w:pPr>
        <w:ind w:left="740" w:right="679" w:firstLine="343"/>
        <w:spacing w:after="0" w:line="273" w:lineRule="auto"/>
        <w:rPr>
          <w:sz w:val="20"/>
          <w:szCs w:val="20"/>
          <w:color w:val="auto"/>
        </w:rPr>
      </w:pPr>
      <w:r>
        <w:rPr>
          <w:rFonts w:ascii="Arial" w:cs="Arial" w:eastAsia="Arial" w:hAnsi="Arial"/>
          <w:sz w:val="17"/>
          <w:szCs w:val="17"/>
          <w:color w:val="auto"/>
        </w:rPr>
        <w:t>On September 14, 2009, Endeavour Capital Fund IV, L.P., Endeavour Associates Fund IV, L.P., and Endeavour Capital Parallel Fund IV, L.P. entered into a proxy and voting agreement (the “</w:t>
      </w:r>
      <w:r>
        <w:rPr>
          <w:rFonts w:ascii="Arial" w:cs="Arial" w:eastAsia="Arial" w:hAnsi="Arial"/>
          <w:sz w:val="17"/>
          <w:szCs w:val="17"/>
          <w:b w:val="1"/>
          <w:bCs w:val="1"/>
          <w:i w:val="1"/>
          <w:iCs w:val="1"/>
          <w:color w:val="auto"/>
        </w:rPr>
        <w:t>Voting Agreement</w:t>
      </w:r>
      <w:r>
        <w:rPr>
          <w:rFonts w:ascii="Arial" w:cs="Arial" w:eastAsia="Arial" w:hAnsi="Arial"/>
          <w:sz w:val="17"/>
          <w:szCs w:val="17"/>
          <w:color w:val="auto"/>
        </w:rPr>
        <w:t>”) pursuant to which such entities granted to Brent D. Richardson, Grand Canyon’s Executive Chairman, and Christopher C. Richardson, Grand Canyon’s General Counsel and director, a five-year irrevocable proxy to exercise voting authority with respect to 5,395,750 shares, 330,470 shares, and 610,918 shares, respectively, of Grand Canyon common stock held by such entities, for so long as such shares are held by such entities.</w:t>
      </w:r>
    </w:p>
    <w:p>
      <w:pPr>
        <w:spacing w:after="0" w:line="138" w:lineRule="exact"/>
        <w:rPr>
          <w:sz w:val="20"/>
          <w:szCs w:val="20"/>
          <w:color w:val="auto"/>
        </w:rPr>
      </w:pPr>
    </w:p>
    <w:p>
      <w:pPr>
        <w:ind w:left="740" w:right="579" w:firstLine="343"/>
        <w:spacing w:after="0" w:line="264" w:lineRule="auto"/>
        <w:rPr>
          <w:sz w:val="20"/>
          <w:szCs w:val="20"/>
          <w:color w:val="auto"/>
        </w:rPr>
      </w:pPr>
      <w:r>
        <w:rPr>
          <w:rFonts w:ascii="Arial" w:cs="Arial" w:eastAsia="Arial" w:hAnsi="Arial"/>
          <w:sz w:val="18"/>
          <w:szCs w:val="18"/>
          <w:color w:val="auto"/>
        </w:rPr>
        <w:t>Endeavour Capital IV, LLC is the general partner of Endeavour Capital Fund IV, L.P., Endeavour Associates Fund IV, L.P. and Endeavour Capital Parallel Fund IV, L.P. Endeavour Capital IV, LLC disclaims beneficial ownership of these shares except to the extent of its pecuniary interest therein.</w:t>
      </w:r>
    </w:p>
    <w:p>
      <w:pPr>
        <w:spacing w:after="0" w:line="15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8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720" w:right="1059" w:hanging="728"/>
        <w:spacing w:after="0" w:line="282"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89" w:lineRule="exact"/>
        <w:rPr>
          <w:sz w:val="20"/>
          <w:szCs w:val="20"/>
          <w:color w:val="auto"/>
        </w:rPr>
      </w:pPr>
    </w:p>
    <w:p>
      <w:pPr>
        <w:ind w:left="740" w:right="839"/>
        <w:spacing w:after="0" w:line="277" w:lineRule="auto"/>
        <w:rPr>
          <w:sz w:val="20"/>
          <w:szCs w:val="20"/>
          <w:color w:val="auto"/>
        </w:rPr>
      </w:pPr>
      <w:r>
        <w:rPr>
          <w:rFonts w:ascii="Arial" w:cs="Arial" w:eastAsia="Arial" w:hAnsi="Arial"/>
          <w:sz w:val="18"/>
          <w:szCs w:val="18"/>
          <w:color w:val="auto"/>
        </w:rPr>
        <w:t>This Schedule 13G is filed pursuant to Rule 13d-1(d). For the agreement of the group members to a joint filing, see below.</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02" w:lineRule="exact"/>
        <w:rPr>
          <w:sz w:val="20"/>
          <w:szCs w:val="20"/>
          <w:color w:val="auto"/>
        </w:rPr>
      </w:pPr>
    </w:p>
    <w:p>
      <w:pPr>
        <w:jc w:val="right"/>
        <w:ind w:right="8039"/>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jc w:val="right"/>
        <w:ind w:right="8059"/>
        <w:spacing w:after="0"/>
        <w:rPr>
          <w:sz w:val="20"/>
          <w:szCs w:val="20"/>
          <w:color w:val="auto"/>
        </w:rPr>
      </w:pPr>
      <w:r>
        <w:rPr>
          <w:rFonts w:ascii="Arial" w:cs="Arial" w:eastAsia="Arial" w:hAnsi="Arial"/>
          <w:sz w:val="17"/>
          <w:szCs w:val="17"/>
          <w:b w:val="1"/>
          <w:bCs w:val="1"/>
          <w:color w:val="auto"/>
        </w:rPr>
        <w:t>Item 10. Certifications.</w:t>
      </w:r>
    </w:p>
    <w:p>
      <w:pPr>
        <w:spacing w:after="0" w:line="200" w:lineRule="exact"/>
        <w:rPr>
          <w:sz w:val="20"/>
          <w:szCs w:val="20"/>
          <w:color w:val="auto"/>
        </w:rPr>
      </w:pPr>
    </w:p>
    <w:p>
      <w:pPr>
        <w:jc w:val="right"/>
        <w:ind w:right="8039"/>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937" w:gutter="0" w:footer="0" w:header="0"/>
        </w:sectPr>
      </w:pPr>
    </w:p>
    <w:bookmarkStart w:id="7" w:name="page8"/>
    <w:bookmarkEnd w:id="7"/>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599" w:firstLine="373"/>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for Joint Filing</w:t>
      </w:r>
    </w:p>
    <w:p>
      <w:pPr>
        <w:spacing w:after="0" w:line="189" w:lineRule="exact"/>
        <w:rPr>
          <w:sz w:val="20"/>
          <w:szCs w:val="20"/>
          <w:color w:val="auto"/>
        </w:rPr>
      </w:pPr>
    </w:p>
    <w:p>
      <w:pPr>
        <w:jc w:val="both"/>
        <w:ind w:right="639" w:firstLine="373"/>
        <w:spacing w:after="0" w:line="286" w:lineRule="auto"/>
        <w:rPr>
          <w:sz w:val="20"/>
          <w:szCs w:val="20"/>
          <w:color w:val="auto"/>
        </w:rPr>
      </w:pPr>
      <w:r>
        <w:rPr>
          <w:rFonts w:ascii="Arial" w:cs="Arial" w:eastAsia="Arial" w:hAnsi="Arial"/>
          <w:sz w:val="17"/>
          <w:szCs w:val="17"/>
          <w:color w:val="auto"/>
        </w:rPr>
        <w:t>Endeavour Capital Fund IV, L.P., Endeavour Associates Fund IV, L.P. and Endeavour Capital Parallel Fund IV, L.P. hereby agree that Endeavour Capital IV, LLC shall file with the Securities and Exchange Commission a joint schedule 13G on behalf of the above-named parties concerning their beneficial ownership of Grand Canyon Education, Inc.</w:t>
      </w:r>
    </w:p>
    <w:p>
      <w:pPr>
        <w:spacing w:after="0" w:line="166"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Date: September 23, 2009</w:t>
      </w:r>
    </w:p>
    <w:p>
      <w:pPr>
        <w:spacing w:after="0" w:line="2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ENDEAVOUR CAPITAL FUND IV, L.P.</w:t>
      </w:r>
    </w:p>
    <w:p>
      <w:pPr>
        <w:spacing w:after="0" w:line="22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Endeavour Capital IV, LLC</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/s/ Chad N. Heath</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Name: Chad N.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-130810</wp:posOffset>
            </wp:positionV>
            <wp:extent cx="22898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Its: Principal</w:t>
      </w:r>
    </w:p>
    <w:p>
      <w:pPr>
        <w:spacing w:after="0" w:line="20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ENDEAVOUR ASSOCIATES FUND IV, L.P.</w:t>
      </w:r>
    </w:p>
    <w:p>
      <w:pPr>
        <w:spacing w:after="0" w:line="22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Endeavour Capital IV, LLC</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/s/ Chad N. Heath</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Name: Chad N.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-130810</wp:posOffset>
            </wp:positionV>
            <wp:extent cx="22898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Its: Principal</w:t>
      </w:r>
    </w:p>
    <w:p>
      <w:pPr>
        <w:spacing w:after="0" w:line="20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ENDEAVOUR CAPITAL PARALLEL FUND IV,</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Endeavour Capital IV, LLC</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/s/ Chad N. Heath</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Name: Chad N.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-130810</wp:posOffset>
            </wp:positionV>
            <wp:extent cx="22898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Its: Principal</w:t>
      </w:r>
    </w:p>
    <w:p>
      <w:pPr>
        <w:spacing w:after="0" w:line="20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ENDEAVOUR CAPITAL IV, LLC</w:t>
      </w:r>
    </w:p>
    <w:p>
      <w:pPr>
        <w:spacing w:after="0" w:line="22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/s/ Chad N. Heath</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Name: Chad N.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-130810</wp:posOffset>
            </wp:positionV>
            <wp:extent cx="22898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Its: Principal</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Page 8 of 8</w:t>
      </w: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2019-12-11T04:49:13Z</dcterms:created>
  <dcterms:modified xsi:type="dcterms:W3CDTF">2019-12-11T04:49:13Z</dcterms:modified>
</cp:coreProperties>
</file>