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November 19,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7</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8" w:lineRule="exact"/>
        <w:rPr>
          <w:sz w:val="20"/>
          <w:szCs w:val="20"/>
          <w:color w:val="auto"/>
        </w:rPr>
      </w:pPr>
    </w:p>
    <w:p>
      <w:pPr>
        <w:ind w:left="1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0"/>
          <w:szCs w:val="20"/>
          <w:color w:val="auto"/>
        </w:rPr>
      </w:pPr>
    </w:p>
    <w:p>
      <w:pPr>
        <w:sectPr>
          <w:pgSz w:w="11900" w:h="16838" w:orient="portrait"/>
          <w:cols w:equalWidth="0" w:num="3">
            <w:col w:w="5000" w:space="720"/>
            <w:col w:w="2680" w:space="720"/>
            <w:col w:w="2000"/>
          </w:cols>
          <w:pgMar w:left="220" w:top="127" w:right="559" w:bottom="1440" w:gutter="0" w:footer="0" w:header="0"/>
          <w:type w:val="continuous"/>
        </w:sectPr>
      </w:pPr>
    </w:p>
    <w:p>
      <w:pPr>
        <w:spacing w:after="0" w:line="7"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14"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66"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82" w:lineRule="exact"/>
        <w:rPr>
          <w:sz w:val="20"/>
          <w:szCs w:val="20"/>
          <w:color w:val="auto"/>
        </w:rPr>
      </w:pPr>
    </w:p>
    <w:p>
      <w:pPr>
        <w:ind w:left="340"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57" w:lineRule="exact"/>
        <w:rPr>
          <w:sz w:val="20"/>
          <w:szCs w:val="20"/>
          <w:color w:val="auto"/>
        </w:rPr>
      </w:pPr>
    </w:p>
    <w:p>
      <w:pPr>
        <w:ind w:left="560" w:right="160"/>
        <w:spacing w:after="0" w:line="455"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0"/>
          <w:szCs w:val="20"/>
          <w:color w:val="auto"/>
        </w:rPr>
      </w:pPr>
    </w:p>
    <w:p>
      <w:pPr>
        <w:ind w:left="2400" w:hanging="5071"/>
        <w:spacing w:after="0" w:line="135" w:lineRule="exact"/>
        <w:tabs>
          <w:tab w:leader="none" w:pos="2380" w:val="left"/>
        </w:tabs>
        <w:rPr>
          <w:sz w:val="20"/>
          <w:szCs w:val="20"/>
          <w:color w:val="auto"/>
        </w:rPr>
      </w:pPr>
      <w:r>
        <w:rPr>
          <w:rFonts w:ascii="Arial" w:cs="Arial" w:eastAsia="Arial" w:hAnsi="Arial"/>
          <w:sz w:val="10"/>
          <w:szCs w:val="10"/>
          <w:color w:val="auto"/>
        </w:rPr>
        <w:t>Large accelerated filer o</w:t>
      </w:r>
      <w:r>
        <w:rPr>
          <w:sz w:val="20"/>
          <w:szCs w:val="20"/>
          <w:color w:val="auto"/>
        </w:rPr>
        <w:tab/>
      </w:r>
      <w:r>
        <w:rPr>
          <w:rFonts w:ascii="Arial" w:cs="Arial" w:eastAsia="Arial" w:hAnsi="Arial"/>
          <w:sz w:val="10"/>
          <w:szCs w:val="10"/>
          <w:color w:val="auto"/>
        </w:rPr>
        <w:t xml:space="preserve">Accelerated filer o Non-accelerated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 o (Do not check if a smaller reporting company)</w:t>
      </w:r>
    </w:p>
    <w:p>
      <w:pPr>
        <w:spacing w:after="0" w:line="200" w:lineRule="exact"/>
        <w:rPr>
          <w:sz w:val="20"/>
          <w:szCs w:val="20"/>
          <w:color w:val="auto"/>
        </w:rPr>
      </w:pPr>
    </w:p>
    <w:p>
      <w:pPr>
        <w:ind w:left="340"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Dated November 19, 2008</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is the initial public offering of common stock of Grand Canyon Education, Inc. We are offering 10,500,000 shares of our common stock.</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$12.00 and $14.00 per share. We have received approval to list our common stock on the Nasdaq Global Market under the symbol “LOPE.”</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11.</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8040" w:type="dxa"/>
            <w:vAlign w:val="bottom"/>
          </w:tcPr>
          <w:p>
            <w:pPr>
              <w:spacing w:after="0"/>
              <w:rPr>
                <w:sz w:val="20"/>
                <w:szCs w:val="20"/>
                <w:color w:val="auto"/>
              </w:rPr>
            </w:pPr>
            <w:r>
              <w:rPr>
                <w:rFonts w:ascii="Arial" w:cs="Arial" w:eastAsia="Arial" w:hAnsi="Arial"/>
                <w:sz w:val="13"/>
                <w:szCs w:val="13"/>
                <w:color w:val="auto"/>
              </w:rPr>
              <w:t>Public offering price</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Underwriting discounts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16478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57"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8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7"/>
              </w:rPr>
            </w:pPr>
            <w:hyperlink w:anchor="page40">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1060" w:type="dxa"/>
            <w:vAlign w:val="bottom"/>
            <w:tcBorders>
              <w:bottom w:val="single" w:sz="8" w:color="0000EE"/>
            </w:tcBorders>
            <w:gridSpan w:val="11"/>
          </w:tcPr>
          <w:p>
            <w:pPr>
              <w:spacing w:after="0" w:line="138" w:lineRule="exact"/>
              <w:rPr>
                <w:rFonts w:ascii="Arial" w:cs="Arial" w:eastAsia="Arial" w:hAnsi="Arial"/>
                <w:sz w:val="13"/>
                <w:szCs w:val="13"/>
                <w:color w:val="0000EE"/>
                <w:w w:val="93"/>
              </w:rPr>
            </w:pPr>
            <w:hyperlink w:anchor="page41">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137"/>
        </w:trPr>
        <w:tc>
          <w:tcPr>
            <w:tcW w:w="7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70">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6">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121</w:t>
            </w:r>
          </w:p>
        </w:tc>
      </w:tr>
      <w:tr>
        <w:trPr>
          <w:trHeight w:val="137"/>
        </w:trPr>
        <w:tc>
          <w:tcPr>
            <w:tcW w:w="214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137">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132</w:t>
            </w:r>
          </w:p>
        </w:tc>
      </w:tr>
      <w:tr>
        <w:trPr>
          <w:trHeight w:val="137"/>
        </w:trPr>
        <w:tc>
          <w:tcPr>
            <w:tcW w:w="720" w:type="dxa"/>
            <w:vAlign w:val="bottom"/>
            <w:tcBorders>
              <w:bottom w:val="single" w:sz="8" w:color="0000EE"/>
            </w:tcBorders>
            <w:gridSpan w:val="7"/>
          </w:tcPr>
          <w:p>
            <w:pPr>
              <w:spacing w:after="0" w:line="138" w:lineRule="exact"/>
              <w:rPr>
                <w:rFonts w:ascii="Arial" w:cs="Arial" w:eastAsia="Arial" w:hAnsi="Arial"/>
                <w:sz w:val="13"/>
                <w:szCs w:val="13"/>
                <w:color w:val="0000EE"/>
                <w:w w:val="95"/>
              </w:rPr>
            </w:pPr>
            <w:hyperlink w:anchor="page140">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135</w:t>
            </w:r>
          </w:p>
        </w:tc>
      </w:tr>
      <w:tr>
        <w:trPr>
          <w:trHeight w:val="137"/>
        </w:trPr>
        <w:tc>
          <w:tcPr>
            <w:tcW w:w="242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43">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138</w:t>
            </w:r>
          </w:p>
        </w:tc>
      </w:tr>
      <w:tr>
        <w:trPr>
          <w:trHeight w:val="137"/>
        </w:trPr>
        <w:tc>
          <w:tcPr>
            <w:tcW w:w="196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143">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3">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138</w:t>
            </w:r>
          </w:p>
        </w:tc>
      </w:tr>
      <w:tr>
        <w:trPr>
          <w:trHeight w:val="137"/>
        </w:trPr>
        <w:tc>
          <w:tcPr>
            <w:tcW w:w="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1"/>
              </w:rPr>
            </w:pPr>
            <w:hyperlink w:anchor="page145">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5">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9"/>
          </w:tcPr>
          <w:p>
            <w:pPr>
              <w:spacing w:after="0" w:line="138" w:lineRule="exact"/>
              <w:rPr>
                <w:rFonts w:ascii="Arial" w:cs="Arial" w:eastAsia="Arial" w:hAnsi="Arial"/>
                <w:sz w:val="13"/>
                <w:szCs w:val="13"/>
                <w:color w:val="0000EE"/>
                <w:w w:val="93"/>
              </w:rPr>
            </w:pPr>
            <w:hyperlink w:anchor="page145">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6">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EX-23.2</w:t>
            </w:r>
          </w:p>
        </w:tc>
        <w:tc>
          <w:tcPr>
            <w:tcW w:w="1140" w:type="dxa"/>
            <w:vAlign w:val="bottom"/>
            <w:tcBorders>
              <w:top w:val="single" w:sz="8" w:color="0000EE"/>
            </w:tcBorders>
            <w:gridSpan w:val="12"/>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-2814320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8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860" w:right="26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September 30, 2008 were $109.6 million, and $9.0 million, respectively, representing increases of 60.1% and 305.5%, respectively, over the nine months ended September 30, 2007. We seek</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to achieve continued growth in a manner that reinforces our reputation for providing academically rigorous, career-oriented educational programs that advance the careers of our students.</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line="276" w:lineRule="auto"/>
        <w:rPr>
          <w:sz w:val="20"/>
          <w:szCs w:val="20"/>
          <w:color w:val="auto"/>
        </w:rPr>
      </w:pPr>
      <w:r>
        <w:rPr>
          <w:rFonts w:ascii="Arial" w:cs="Arial" w:eastAsia="Arial" w:hAnsi="Arial"/>
          <w:sz w:val="13"/>
          <w:szCs w:val="13"/>
          <w:color w:val="auto"/>
        </w:rPr>
        <w:t>Training Education. We believe that our regional accreditation, together with these specialized accreditations, reflect the quality of our programs, enhance their marketability, and improve the employability of our graduates.</w:t>
      </w:r>
    </w:p>
    <w:p>
      <w:pPr>
        <w:spacing w:after="0" w:line="59" w:lineRule="exact"/>
        <w:rPr>
          <w:sz w:val="20"/>
          <w:szCs w:val="20"/>
          <w:color w:val="auto"/>
        </w:rPr>
      </w:pPr>
    </w:p>
    <w:p>
      <w:pPr>
        <w:ind w:left="860" w:right="120" w:firstLine="399"/>
        <w:spacing w:after="0" w:line="296" w:lineRule="auto"/>
        <w:rPr>
          <w:sz w:val="20"/>
          <w:szCs w:val="20"/>
          <w:color w:val="auto"/>
        </w:rPr>
      </w:pPr>
      <w:r>
        <w:rPr>
          <w:rFonts w:ascii="Arial" w:cs="Arial" w:eastAsia="Arial" w:hAnsi="Arial"/>
          <w:sz w:val="12"/>
          <w:szCs w:val="12"/>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right="20" w:firstLine="399"/>
        <w:spacing w:after="0" w:line="281" w:lineRule="auto"/>
        <w:rPr>
          <w:sz w:val="20"/>
          <w:szCs w:val="20"/>
          <w:color w:val="auto"/>
        </w:rPr>
      </w:pPr>
      <w:r>
        <w:rPr>
          <w:rFonts w:ascii="Arial" w:cs="Arial" w:eastAsia="Arial" w:hAnsi="Arial"/>
          <w:sz w:val="12"/>
          <w:szCs w:val="12"/>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jc w:val="both"/>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jc w:val="both"/>
        <w:ind w:left="860" w:right="16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240" w:firstLine="399"/>
        <w:spacing w:after="0" w:line="320"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w:t>
      </w:r>
      <w:r>
        <w:rPr>
          <w:rFonts w:ascii="Arial" w:cs="Arial" w:eastAsia="Arial" w:hAnsi="Arial"/>
          <w:sz w:val="12"/>
          <w:szCs w:val="12"/>
          <w:i w:val="1"/>
          <w:iCs w:val="1"/>
          <w:color w:val="auto"/>
        </w:rPr>
        <w:t xml:space="preserve"> </w:t>
      </w:r>
      <w:r>
        <w:rPr>
          <w:rFonts w:ascii="Arial" w:cs="Arial" w:eastAsia="Arial" w:hAnsi="Arial"/>
          <w:sz w:val="12"/>
          <w:szCs w:val="12"/>
          <w:color w:val="auto"/>
        </w:rPr>
        <w:t>university, differentiate us in the for-profit postsecondary market and enhance the reputation of our degree programs among prospective students and employers.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30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continue to increase the number of our enrollment counselors and marketing and student services personnel to drive enrollment growth and enhance student retention.</w:t>
      </w:r>
    </w:p>
    <w:p>
      <w:pPr>
        <w:spacing w:after="0" w:line="67"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 program</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offerings in 2007 and have launched twelve in the first nine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50" w:lineRule="exact"/>
        <w:rPr>
          <w:sz w:val="20"/>
          <w:szCs w:val="20"/>
          <w:color w:val="auto"/>
        </w:rPr>
      </w:pPr>
    </w:p>
    <w:p>
      <w:pPr>
        <w:ind w:left="860" w:right="54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34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right="44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right="40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49" w:lineRule="exact"/>
        <w:rPr>
          <w:rFonts w:ascii="Arial" w:cs="Arial" w:eastAsia="Arial" w:hAnsi="Arial"/>
          <w:sz w:val="13"/>
          <w:szCs w:val="13"/>
          <w:color w:val="auto"/>
        </w:rPr>
      </w:pPr>
    </w:p>
    <w:p>
      <w:pPr>
        <w:jc w:val="both"/>
        <w:ind w:left="1860" w:right="120" w:hanging="200"/>
        <w:spacing w:after="0" w:line="260"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or as a result of negative publicity affecting us or other companies in the for-profit postsecondary education sector;</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4"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780" w:type="dxa"/>
            <w:vAlign w:val="bottom"/>
            <w:gridSpan w:val="2"/>
          </w:tcPr>
          <w:p>
            <w:pPr>
              <w:ind w:left="1240"/>
              <w:spacing w:after="0"/>
              <w:rPr>
                <w:sz w:val="20"/>
                <w:szCs w:val="20"/>
                <w:color w:val="auto"/>
              </w:rPr>
            </w:pPr>
            <w:r>
              <w:rPr>
                <w:rFonts w:ascii="Arial" w:cs="Arial" w:eastAsia="Arial" w:hAnsi="Arial"/>
                <w:sz w:val="13"/>
                <w:szCs w:val="13"/>
                <w:b w:val="1"/>
                <w:bCs w:val="1"/>
                <w:color w:val="auto"/>
              </w:rPr>
              <w:t>OFFERING SUMMARY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10,500,000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43,559,714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We estimate that the net proceeds to us from this offering will be approximately $120.8 million, or approximately</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3"/>
              </w:rPr>
              <w:t>$139.9 million if the underwriters exercise their over-allotment option in full, based on the midpoint of the price range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set forth on the cover page of this prospectus and after deducting the underwriting discounts and commissions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estimated offering expenses payable by 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2"/>
              </w:rPr>
              <w:t>As described in “Use of Proceeds” and “Special Distribution,” we will use the proceeds of this offering to pay a special</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distribution to our stockholders of record as of November 18, 2008, in the amount of 75% of the gross proceeds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received by us from the sale of stock in this offering, including any proceeds we receive from the underwriters’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exercise of their over-allotment option, before underwriting discounts and commissions and estimated offering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5"/>
              </w:rPr>
              <w:t>expenses. We intend to use the remaining proceeds to pay the expenses of this offering and for general corporate</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purposes.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0"/>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stockholders to sell their shares. Of the estimated aggregate amount of the special distribution of $102.4 million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(exclusive of any amounts that may be received from the underwriters’ exercise of the over-allotment option),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assuming an initial public offering price of $13.00 per share, which is the midpoint of the price range set forth on the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cover page of this prospectus, $54.3 million will be paid in respect of shares of our capital stock over which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directors and executive officers are deemed to exercise sole or shared voting or investment power. These proceeds will</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be allocated as set forth in the following table.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0"/>
                <w:szCs w:val="10"/>
                <w:b w:val="1"/>
                <w:bCs w:val="1"/>
                <w:color w:val="auto"/>
                <w:w w:val="93"/>
              </w:rPr>
              <w:t>Special Distribution</w:t>
            </w:r>
          </w:p>
        </w:tc>
      </w:tr>
      <w:tr>
        <w:trPr>
          <w:trHeight w:val="131"/>
        </w:trPr>
        <w:tc>
          <w:tcPr>
            <w:tcW w:w="3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(In thousands)</w:t>
            </w:r>
          </w:p>
        </w:tc>
        <w:tc>
          <w:tcPr>
            <w:tcW w:w="1140" w:type="dxa"/>
            <w:vAlign w:val="bottom"/>
          </w:tcPr>
          <w:p>
            <w:pPr>
              <w:spacing w:after="0"/>
              <w:rPr>
                <w:sz w:val="11"/>
                <w:szCs w:val="11"/>
                <w:color w:val="auto"/>
              </w:rPr>
            </w:pPr>
          </w:p>
        </w:tc>
      </w:tr>
      <w:tr>
        <w:trPr>
          <w:trHeight w:val="163"/>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30,772</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30,772</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Brent D.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11,218</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John E. Crowley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ind w:right="16"/>
              <w:spacing w:after="0"/>
              <w:rPr>
                <w:sz w:val="20"/>
                <w:szCs w:val="20"/>
                <w:color w:val="auto"/>
              </w:rPr>
            </w:pPr>
            <w:r>
              <w:rPr>
                <w:rFonts w:ascii="Arial" w:cs="Arial" w:eastAsia="Arial" w:hAnsi="Arial"/>
                <w:sz w:val="13"/>
                <w:szCs w:val="13"/>
                <w:color w:val="auto"/>
                <w:w w:val="92"/>
              </w:rPr>
              <w:t>1,102</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C.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11,225</w:t>
            </w:r>
          </w:p>
        </w:tc>
        <w:tc>
          <w:tcPr>
            <w:tcW w:w="1140" w:type="dxa"/>
            <w:vAlign w:val="bottom"/>
          </w:tcPr>
          <w:p>
            <w:pPr>
              <w:spacing w:after="0"/>
              <w:rPr>
                <w:sz w:val="13"/>
                <w:szCs w:val="13"/>
                <w:color w:val="auto"/>
              </w:rPr>
            </w:pPr>
          </w:p>
        </w:tc>
      </w:tr>
      <w:tr>
        <w:trPr>
          <w:trHeight w:val="165"/>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54,316</w:t>
            </w:r>
          </w:p>
        </w:tc>
        <w:tc>
          <w:tcPr>
            <w:tcW w:w="1140" w:type="dxa"/>
            <w:vAlign w:val="bottom"/>
          </w:tcPr>
          <w:p>
            <w:pPr>
              <w:spacing w:after="0"/>
              <w:rPr>
                <w:sz w:val="14"/>
                <w:szCs w:val="14"/>
                <w:color w:val="auto"/>
              </w:rPr>
            </w:pPr>
          </w:p>
        </w:tc>
      </w:tr>
    </w:tbl>
    <w:p>
      <w:pPr>
        <w:spacing w:after="0" w:line="141" w:lineRule="exact"/>
        <w:rPr>
          <w:sz w:val="20"/>
          <w:szCs w:val="20"/>
          <w:color w:val="auto"/>
        </w:rPr>
      </w:pPr>
    </w:p>
    <w:p>
      <w:pPr>
        <w:jc w:val="both"/>
        <w:ind w:left="5140" w:right="20" w:hanging="394"/>
        <w:spacing w:after="0" w:line="264" w:lineRule="auto"/>
        <w:tabs>
          <w:tab w:leader="none" w:pos="5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 of our directors, are managing directors of Endeavour Capital IV, LLC, the general partner of such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540"/>
        <w:spacing w:after="0" w:line="276" w:lineRule="auto"/>
        <w:rPr>
          <w:sz w:val="20"/>
          <w:szCs w:val="20"/>
          <w:color w:val="auto"/>
        </w:rPr>
      </w:pPr>
      <w:r>
        <w:rPr>
          <w:rFonts w:ascii="Arial" w:cs="Arial" w:eastAsia="Arial" w:hAnsi="Arial"/>
          <w:sz w:val="13"/>
          <w:szCs w:val="13"/>
          <w:color w:val="auto"/>
        </w:rPr>
        <w:t>See “Special Distribution” and “Certain Relationships and Related Transactions — Special Distribution” for additional information regarding the amount and the beneficiaries of the special distribution.</w:t>
      </w:r>
    </w:p>
    <w:p>
      <w:pPr>
        <w:sectPr>
          <w:pgSz w:w="11900" w:h="16838" w:orient="portrait"/>
          <w:cols w:equalWidth="0" w:num="1">
            <w:col w:w="10780"/>
          </w:cols>
          <w:pgMar w:left="220" w:top="343" w:right="899" w:bottom="1440" w:gutter="0" w:footer="0" w:header="0"/>
        </w:sectPr>
      </w:pPr>
    </w:p>
    <w:p>
      <w:pPr>
        <w:spacing w:after="0" w:line="5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0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40"/>
          </w:cols>
          <w:pgMar w:left="220" w:top="343" w:right="899" w:bottom="1440" w:gutter="0" w:footer="0" w:header="0"/>
          <w:type w:val="continuous"/>
        </w:sectPr>
      </w:pPr>
    </w:p>
    <w:p>
      <w:pPr>
        <w:ind w:left="860" w:right="140" w:firstLine="399"/>
        <w:spacing w:after="0" w:line="260" w:lineRule="auto"/>
        <w:rPr>
          <w:sz w:val="20"/>
          <w:szCs w:val="20"/>
          <w:color w:val="auto"/>
        </w:rPr>
      </w:pPr>
      <w:r>
        <w:rPr>
          <w:rFonts w:ascii="Arial" w:cs="Arial" w:eastAsia="Arial" w:hAnsi="Arial"/>
          <w:sz w:val="13"/>
          <w:szCs w:val="13"/>
          <w:color w:val="auto"/>
        </w:rPr>
        <w:t>The number of shares of our common stock to be outstanding following this offering is based on the number of shares of our common stock outstanding as of September 30, 2008, and excludes 5,249,921 shares of common stock reserved for future issuance under our stock-based compensation plans. The 5,249,921 shares reserved for future issuance includes 108,899 fully vested restricted shares to be granted to Brian E. Mueller, our Chief Executive Officer, and 731,102 fully vested and 2,585,784 unvested stock options to be granted to employees and a director immediately following the effectiveness of the offering at the initial public offering price.</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1,575,000 additional shares from us;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1,826-for-one split of our outstanding common stock effected on September 29, 2008;</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Series A convertible preferred stock into 10,870,178 shares of common stock upon the closing of the offering;</w:t>
      </w:r>
    </w:p>
    <w:p>
      <w:pPr>
        <w:spacing w:after="0" w:line="107" w:lineRule="exact"/>
        <w:rPr>
          <w:rFonts w:ascii="Arial" w:cs="Arial" w:eastAsia="Arial" w:hAnsi="Arial"/>
          <w:sz w:val="12"/>
          <w:szCs w:val="12"/>
          <w:color w:val="auto"/>
        </w:rPr>
      </w:pPr>
    </w:p>
    <w:p>
      <w:pPr>
        <w:ind w:left="1860" w:right="260" w:hanging="200"/>
        <w:spacing w:after="0" w:line="264" w:lineRule="auto"/>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filing of an amendment to our certificate of incorporation to provide for the automatic conversion of all outstanding shares of Series C preferred stock into 2,061,538 shares of common stock upon the closing of the offering based on a conversion price equal to the initial public offering price per share, assuming an initial public offering price of $13.00 per share, which is the midpoint of the range set forth on the cover page of this prospectus;</w:t>
      </w:r>
    </w:p>
    <w:p>
      <w:pPr>
        <w:spacing w:after="0" w:line="66"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exercise of a warrant to purchase 909,348 shares of our common stock for $0.58 per share, which warrant was exercised in November 2008;</w:t>
      </w:r>
    </w:p>
    <w:p>
      <w:pPr>
        <w:spacing w:after="0" w:line="96" w:lineRule="exact"/>
        <w:rPr>
          <w:rFonts w:ascii="Arial" w:cs="Arial" w:eastAsia="Arial" w:hAnsi="Arial"/>
          <w:sz w:val="13"/>
          <w:szCs w:val="13"/>
          <w:color w:val="auto"/>
        </w:rPr>
      </w:pPr>
    </w:p>
    <w:p>
      <w:pPr>
        <w:ind w:left="1860" w:right="280" w:hanging="200"/>
        <w:spacing w:after="0" w:line="276" w:lineRule="auto"/>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firstLine="399"/>
        <w:spacing w:after="0" w:line="316" w:lineRule="auto"/>
        <w:rPr>
          <w:sz w:val="20"/>
          <w:szCs w:val="20"/>
          <w:color w:val="auto"/>
        </w:rPr>
      </w:pPr>
      <w:r>
        <w:rPr>
          <w:rFonts w:ascii="Arial" w:cs="Arial" w:eastAsia="Arial" w:hAnsi="Arial"/>
          <w:sz w:val="11"/>
          <w:szCs w:val="11"/>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2"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4"/>
              </w:rPr>
              <w:t>Nine Months Ended September 30,</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enrollment</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4"/>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8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5"/>
          </w:tcPr>
          <w:p>
            <w:pPr>
              <w:jc w:val="right"/>
              <w:ind w:right="128"/>
              <w:spacing w:after="0"/>
              <w:rPr>
                <w:sz w:val="20"/>
                <w:szCs w:val="20"/>
                <w:color w:val="auto"/>
              </w:rPr>
            </w:pPr>
            <w:r>
              <w:rPr>
                <w:rFonts w:ascii="Arial" w:cs="Arial" w:eastAsia="Arial" w:hAnsi="Arial"/>
                <w:sz w:val="10"/>
                <w:szCs w:val="10"/>
                <w:b w:val="1"/>
                <w:bCs w:val="1"/>
                <w:color w:val="auto"/>
                <w:w w:val="95"/>
              </w:rPr>
              <w:t>and per share data)</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72,111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99,326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68,472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28,063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31,287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39,050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27,531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20,093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35,148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24,291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12,968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15,011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17,001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11,848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2,678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56,697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69,069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94,981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66,255</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3,042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2,217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3"/>
                <w:szCs w:val="13"/>
                <w:color w:val="auto"/>
              </w:rPr>
              <w:t>(2,827)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88"/>
              <w:spacing w:after="0"/>
              <w:rPr>
                <w:sz w:val="20"/>
                <w:szCs w:val="20"/>
                <w:color w:val="auto"/>
              </w:rPr>
            </w:pPr>
            <w:r>
              <w:rPr>
                <w:rFonts w:ascii="Arial" w:cs="Arial" w:eastAsia="Arial" w:hAnsi="Arial"/>
                <w:sz w:val="13"/>
                <w:szCs w:val="13"/>
                <w:color w:val="auto"/>
              </w:rPr>
              <w:t>(2,975)</w:t>
            </w:r>
          </w:p>
        </w:tc>
        <w:tc>
          <w:tcPr>
            <w:tcW w:w="80" w:type="dxa"/>
            <w:vAlign w:val="bottom"/>
          </w:tcPr>
          <w:p>
            <w:pPr>
              <w:spacing w:after="0"/>
              <w:rPr>
                <w:sz w:val="13"/>
                <w:szCs w:val="13"/>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3"/>
                <w:szCs w:val="13"/>
                <w:color w:val="auto"/>
              </w:rPr>
              <w:t>(2,236)</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887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(7,726)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868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1,526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521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88"/>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5"/>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18,853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18,923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18,885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36,858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35,143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35,189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common share (Unaudited)</w:t>
            </w: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Shares used in computing pro forma earnings per common share (Unaudited)</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40,321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40,455</w:t>
            </w:r>
          </w:p>
        </w:tc>
        <w:tc>
          <w:tcPr>
            <w:tcW w:w="0" w:type="dxa"/>
            <w:vAlign w:val="bottom"/>
          </w:tcPr>
          <w:p>
            <w:pPr>
              <w:spacing w:after="0"/>
              <w:rPr>
                <w:sz w:val="1"/>
                <w:szCs w:val="1"/>
                <w:color w:val="auto"/>
              </w:rPr>
            </w:pPr>
          </w:p>
        </w:tc>
      </w:tr>
      <w:tr>
        <w:trPr>
          <w:trHeight w:val="29"/>
        </w:trPr>
        <w:tc>
          <w:tcPr>
            <w:tcW w:w="51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45,015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ind w:left="40"/>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6"/>
          </w:tcPr>
          <w:p>
            <w:pPr>
              <w:ind w:left="20"/>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8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center"/>
              <w:ind w:right="1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w w:val="74"/>
              </w:rPr>
              <w:t>enrollment</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6"/>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400" w:type="dxa"/>
            <w:vAlign w:val="bottom"/>
            <w:gridSpan w:val="3"/>
            <w:vMerge w:val="continue"/>
          </w:tcPr>
          <w:p>
            <w:pPr>
              <w:spacing w:after="0"/>
              <w:rPr>
                <w:sz w:val="7"/>
                <w:szCs w:val="7"/>
                <w:color w:val="auto"/>
              </w:rPr>
            </w:pPr>
          </w:p>
        </w:tc>
        <w:tc>
          <w:tcPr>
            <w:tcW w:w="700" w:type="dxa"/>
            <w:vAlign w:val="bottom"/>
            <w:gridSpan w:val="3"/>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8"/>
          </w:tcPr>
          <w:p>
            <w:pPr>
              <w:jc w:val="right"/>
              <w:ind w:right="213"/>
              <w:spacing w:after="0"/>
              <w:rPr>
                <w:sz w:val="20"/>
                <w:szCs w:val="20"/>
                <w:color w:val="auto"/>
              </w:rPr>
            </w:pPr>
            <w:r>
              <w:rPr>
                <w:rFonts w:ascii="Arial" w:cs="Arial" w:eastAsia="Arial" w:hAnsi="Arial"/>
                <w:sz w:val="10"/>
                <w:szCs w:val="10"/>
                <w:b w:val="1"/>
                <w:bCs w:val="1"/>
                <w:color w:val="auto"/>
                <w:w w:val="95"/>
              </w:rPr>
              <w:t>and per 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817</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2,387</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7,406</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5,136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6,015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2,396</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3,300</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2,319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9,074</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11,723</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7,309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14,568</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 end enrollment: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Online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8,406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12,497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11,306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19,287</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Ground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2,256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2,193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0"/>
                <w:szCs w:val="10"/>
                <w:b w:val="1"/>
                <w:bCs w:val="1"/>
                <w:color w:val="auto"/>
                <w:w w:val="92"/>
              </w:rPr>
              <w:t>As of September 30, 2008</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18"/>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5"/>
            <w:vMerge w:val="restart"/>
          </w:tcPr>
          <w:p>
            <w:pPr>
              <w:jc w:val="right"/>
              <w:ind w:right="308"/>
              <w:spacing w:after="0"/>
              <w:rPr>
                <w:sz w:val="20"/>
                <w:szCs w:val="20"/>
                <w:color w:val="auto"/>
              </w:rPr>
            </w:pPr>
            <w:r>
              <w:rPr>
                <w:rFonts w:ascii="Arial" w:cs="Arial" w:eastAsia="Arial" w:hAnsi="Arial"/>
                <w:sz w:val="10"/>
                <w:szCs w:val="10"/>
                <w:b w:val="1"/>
                <w:bCs w:val="1"/>
                <w:color w:val="auto"/>
              </w:rPr>
              <w:t>Actual</w:t>
            </w:r>
          </w:p>
        </w:tc>
        <w:tc>
          <w:tcPr>
            <w:tcW w:w="240" w:type="dxa"/>
            <w:vAlign w:val="bottom"/>
          </w:tcPr>
          <w:p>
            <w:pPr>
              <w:spacing w:after="0"/>
              <w:rPr>
                <w:sz w:val="9"/>
                <w:szCs w:val="9"/>
                <w:color w:val="auto"/>
              </w:rPr>
            </w:pPr>
          </w:p>
        </w:tc>
        <w:tc>
          <w:tcPr>
            <w:tcW w:w="1180" w:type="dxa"/>
            <w:vAlign w:val="bottom"/>
            <w:gridSpan w:val="5"/>
            <w:vMerge w:val="restart"/>
          </w:tcPr>
          <w:p>
            <w:pPr>
              <w:jc w:val="center"/>
              <w:ind w:right="38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(3)</w:t>
            </w:r>
          </w:p>
        </w:tc>
        <w:tc>
          <w:tcPr>
            <w:tcW w:w="80" w:type="dxa"/>
            <w:vAlign w:val="bottom"/>
          </w:tcPr>
          <w:p>
            <w:pPr>
              <w:spacing w:after="0"/>
              <w:rPr>
                <w:sz w:val="9"/>
                <w:szCs w:val="9"/>
                <w:color w:val="auto"/>
              </w:rPr>
            </w:pPr>
          </w:p>
        </w:tc>
        <w:tc>
          <w:tcPr>
            <w:tcW w:w="7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Adjusted</w:t>
            </w:r>
            <w:r>
              <w:rPr>
                <w:rFonts w:ascii="Arial" w:cs="Arial" w:eastAsia="Arial" w:hAnsi="Arial"/>
                <w:sz w:val="8"/>
                <w:szCs w:val="8"/>
                <w:b w:val="1"/>
                <w:bCs w:val="1"/>
                <w:color w:val="auto"/>
                <w:w w:val="95"/>
              </w:rPr>
              <w:t>(5)</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3"/>
          </w:tcPr>
          <w:p>
            <w:pPr>
              <w:jc w:val="center"/>
              <w:ind w:right="68"/>
              <w:spacing w:after="0" w:line="81" w:lineRule="exact"/>
              <w:rPr>
                <w:sz w:val="20"/>
                <w:szCs w:val="20"/>
                <w:color w:val="auto"/>
              </w:rPr>
            </w:pPr>
            <w:r>
              <w:rPr>
                <w:rFonts w:ascii="Arial" w:cs="Arial" w:eastAsia="Arial" w:hAnsi="Arial"/>
                <w:sz w:val="9"/>
                <w:szCs w:val="9"/>
                <w:b w:val="1"/>
                <w:bCs w:val="1"/>
                <w:color w:val="auto"/>
              </w:rPr>
              <w:t>(Unaudited)</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22,227</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22,753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43,904</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105,618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106,144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122,927</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30,775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30,775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32,739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(2)(3)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(7,457)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(76,567)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44,278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60" w:right="42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160" w:right="34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160" w:right="20" w:hanging="252"/>
        <w:spacing w:after="0" w:line="278" w:lineRule="auto"/>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$13.00 per share to pay the amount of dividends that exceeds net income for the twelve-month period ended September 30, 2008. The pro forma balance sheet and earnings per common share data also reflect the exercise of the warrant to purchase 909,348 shares of our common stock for $0.58 per share and assume the conversion of all outstanding shares of Series A convertible preferred stock into 10,870,178 shares of common stock upon the closing of the offering and the conversion of all outstanding shares of Series C preferred stock into 2,061,538 shares of common stock upon the closing of the offering based on a conversion price equal to $13.00 per share, which is the midpoint of the range set forth on the cover page of this prospectus.</w:t>
      </w:r>
    </w:p>
    <w:p>
      <w:pPr>
        <w:spacing w:after="0" w:line="20" w:lineRule="exact"/>
        <w:rPr>
          <w:rFonts w:ascii="Arial" w:cs="Arial" w:eastAsia="Arial" w:hAnsi="Arial"/>
          <w:sz w:val="12"/>
          <w:szCs w:val="12"/>
          <w:color w:val="auto"/>
        </w:rPr>
      </w:pPr>
    </w:p>
    <w:p>
      <w:pPr>
        <w:ind w:left="1160" w:right="6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is defined as net income (loss) plus interest expense net of interest income, plus income tax expense (benefit), and plus depreciation and amortization (EBITDA), as adjusted for (i)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160" w:right="20"/>
        <w:spacing w:after="0" w:line="296" w:lineRule="auto"/>
        <w:rPr>
          <w:sz w:val="20"/>
          <w:szCs w:val="20"/>
          <w:color w:val="auto"/>
        </w:rPr>
      </w:pPr>
      <w:r>
        <w:rPr>
          <w:rFonts w:ascii="Arial" w:cs="Arial" w:eastAsia="Arial" w:hAnsi="Arial"/>
          <w:sz w:val="12"/>
          <w:szCs w:val="12"/>
          <w:color w:val="auto"/>
        </w:rPr>
        <w:t>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1" w:lineRule="exact"/>
        <w:rPr>
          <w:sz w:val="20"/>
          <w:szCs w:val="20"/>
          <w:color w:val="auto"/>
        </w:rPr>
      </w:pPr>
    </w:p>
    <w:p>
      <w:pPr>
        <w:ind w:left="1160" w:right="40"/>
        <w:spacing w:after="0" w:line="257" w:lineRule="auto"/>
        <w:rPr>
          <w:sz w:val="20"/>
          <w:szCs w:val="20"/>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60"/>
        <w:spacing w:after="0" w:line="258"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provides a reconciliation of net income (loss)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ind w:right="20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7"/>
              </w:rPr>
              <w:t>(Unaudited)</w:t>
            </w: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(4,286)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1,526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2,822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1,915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1,349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(3,440)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1,016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347</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2,319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(3,025)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5,438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4,536</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12,668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2,678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3,782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2,585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188</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3"/>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9,074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7,309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14,568</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40" w:hanging="244"/>
        <w:spacing w:after="0" w:line="276" w:lineRule="auto"/>
        <w:tabs>
          <w:tab w:leader="none" w:pos="1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660" w:right="40"/>
        <w:spacing w:after="0" w:line="264" w:lineRule="auto"/>
        <w:rPr>
          <w:sz w:val="20"/>
          <w:szCs w:val="20"/>
          <w:color w:val="auto"/>
        </w:rPr>
      </w:pPr>
      <w:r>
        <w:rPr>
          <w:rFonts w:ascii="Arial" w:cs="Arial" w:eastAsia="Arial" w:hAnsi="Arial"/>
          <w:sz w:val="13"/>
          <w:szCs w:val="13"/>
          <w:color w:val="auto"/>
        </w:rPr>
        <w:t>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which are included elsewhere in this prospectus.</w:t>
      </w:r>
    </w:p>
    <w:p>
      <w:pPr>
        <w:spacing w:after="0" w:line="28" w:lineRule="exact"/>
        <w:rPr>
          <w:sz w:val="20"/>
          <w:szCs w:val="20"/>
          <w:color w:val="auto"/>
        </w:rPr>
      </w:pPr>
    </w:p>
    <w:p>
      <w:pPr>
        <w:ind w:left="1660" w:hanging="251"/>
        <w:spacing w:after="0" w:line="258" w:lineRule="auto"/>
        <w:tabs>
          <w:tab w:leader="none" w:pos="1660" w:val="left"/>
        </w:tabs>
        <w:numPr>
          <w:ilvl w:val="1"/>
          <w:numId w:val="8"/>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160" w:hanging="252"/>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92"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3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3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are currently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spacing w:after="0" w:line="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 We are cooperating with the Office of Inspector General to facilitate its investigation, but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cannot presently predict the ultimate outcome of the investigation or any liability or other sanctions that might result.</w:t>
      </w:r>
    </w:p>
    <w:p>
      <w:pPr>
        <w:spacing w:after="0" w:line="12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w:t>
      </w:r>
    </w:p>
    <w:p>
      <w:pPr>
        <w:spacing w:after="0" w:line="4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August 2007 and was unsealed and served on us following the government’s decision not to intervene at this time.</w:t>
      </w:r>
    </w:p>
    <w:p>
      <w:pPr>
        <w:spacing w:after="0" w:line="2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that might result.</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Congressional action could also require us to modify our practices in ways that could increase our administrative and regulatory costs.</w:t>
      </w:r>
    </w:p>
    <w:p>
      <w:pPr>
        <w:spacing w:after="0" w:line="126"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9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cumulative impact of recent regulatory and market developments and conditions, including the widespread disruption in the credit markets,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72" w:lineRule="exact"/>
        <w:rPr>
          <w:sz w:val="20"/>
          <w:szCs w:val="20"/>
          <w:color w:val="auto"/>
        </w:rPr>
      </w:pPr>
    </w:p>
    <w:p>
      <w:pPr>
        <w:ind w:left="1680" w:right="8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40" w:hanging="187"/>
        <w:spacing w:after="0" w:line="276" w:lineRule="auto"/>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9"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76"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State laws and regulations are not always precise or clear, and regulatory agencies may sometimes disagree with the way we have interpreted or applied these requirements. Any misinterpretation by us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regulatory requirements or adverse changes in regulations or interpretations thereof by regulators could materially adversely affect us.</w:t>
      </w:r>
    </w:p>
    <w:p>
      <w:pPr>
        <w:spacing w:after="0" w:line="175"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8"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5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w:t>
      </w:r>
    </w:p>
    <w:p>
      <w:pPr>
        <w:spacing w:after="0" w:line="6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39"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27"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2" w:lineRule="auto"/>
        <w:rPr>
          <w:sz w:val="20"/>
          <w:szCs w:val="20"/>
          <w:color w:val="auto"/>
        </w:rPr>
      </w:pPr>
      <w:r>
        <w:rPr>
          <w:rFonts w:ascii="Arial" w:cs="Arial" w:eastAsia="Arial" w:hAnsi="Arial"/>
          <w:sz w:val="12"/>
          <w:szCs w:val="12"/>
          <w:color w:val="auto"/>
        </w:rPr>
        <w:t>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38"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6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7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also notified other accrediting commissions and state agencies, as we believed necessary, of this offering and the reasons why we believe this offering will not constitute a change in control under their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 standards, or to determine what is required if any such commission or agency does consider the offering to constitute a change in control.</w:t>
      </w:r>
    </w:p>
    <w:p>
      <w:pPr>
        <w:spacing w:after="0" w:line="175"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96"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Economic downturns that adversely affect our students’ employment circumstances could also increase their reliance on Title IV programs. These developments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96"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1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67"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currently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96" w:lineRule="auto"/>
        <w:rPr>
          <w:sz w:val="20"/>
          <w:szCs w:val="20"/>
          <w:color w:val="auto"/>
        </w:rPr>
      </w:pPr>
      <w:r>
        <w:rPr>
          <w:rFonts w:ascii="Arial" w:cs="Arial" w:eastAsia="Arial" w:hAnsi="Arial"/>
          <w:sz w:val="12"/>
          <w:szCs w:val="12"/>
          <w:color w:val="auto"/>
        </w:rPr>
        <w:t>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1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37"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September 30, 2008, we offered 79 fully online programs, 17 of which we introduced in 2007, 12 of which we introduced in the first nine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00"/>
        <w:spacing w:after="0" w:line="264" w:lineRule="auto"/>
        <w:rPr>
          <w:sz w:val="20"/>
          <w:szCs w:val="20"/>
          <w:color w:val="auto"/>
        </w:rPr>
      </w:pPr>
      <w:r>
        <w:rPr>
          <w:rFonts w:ascii="Arial" w:cs="Arial" w:eastAsia="Arial" w:hAnsi="Arial"/>
          <w:sz w:val="13"/>
          <w:szCs w:val="13"/>
          <w:color w:val="auto"/>
        </w:rPr>
        <w:t>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as a result of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6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As of September 30, 2008, approximately 56%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420"/>
        <w:spacing w:after="0" w:line="371"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A majority of our faculty at September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compliance with the ADA, FHAA, or other legislation. If we incur substantial costs to comply with the ADA, FHAA, or any other legislation, we could be materially and adversely affected.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9"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47"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47"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w:t>
      </w:r>
    </w:p>
    <w:p>
      <w:pPr>
        <w:spacing w:after="0" w:line="1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28"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directors, executive officers, and principal existing stockholders will beneficially own approximately 31,300,615 shares, or 71.7%, of our common stock upon the completion of this offering. Our directors and executive officers will beneficially own in the aggregate approximately 29,465,485 shares, or 67.5%, of our common stock after the offering. In addition, pursuant to a voting agreement entered into among Brent Richardson, Chris Richardson, and certain of our existing stockholders, the Richardsons will have voting control over approximately 44.5%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 including investors in this offering.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33,059,714 additional shares of common stock may be eligible for sale in the public market without restriction, and up to approximately 27,370,832 shares of common stock held by affiliates may become eligible for sale, subject to the restrictions under Rule 144 of the Securities Act of 1933, as amended, or the Securities Act.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an assumed initial public offering price of $13.00 per share, the midpoint of the price range set forth on the cover page of this prospectus, you will incur immediate dilution of $12.05 in the net tangible book value per share. A $1.00 increase or decrease in the assumed initial public offering price of $13.00 per share would increase or decrease, as applicable, our pro forma as-adjusted net tangible book value per share of common stock by $0.04, and increase or decrease, as applicable, the dilution per share of common stock to new investors by $0.96,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139"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Anti-takeover provisions of our certificate of incorporation, bylaws, the Delaware General Corporation Law, or DGCL, and regulations of state and federal education agencies could diminish the opportunity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39"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will use the remainder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6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 w:lineRule="exact"/>
        <w:rPr>
          <w:sz w:val="20"/>
          <w:szCs w:val="20"/>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47"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2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net proceeds from the sale of 10,500,000 shares of our common stock offered by us in this offering will be approximately $120.8 million (or approximately $139.9 million if the underwriters exercise their over-allotment option in full), assuming an initial public offering price of $13.00 per share, which is the midpoint of the range set forth on the cover page of this prospectus, and after deducting the underwriting discounts and commissions and estimated offering expenses payable by us.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November 18, 2008. We will make this distribution upon completion of the offering. See “Special Distribution” for further information.</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will use the remaining proceeds that we receive from this offering and from the underwriters’ exercise of their over-allotment option to pay the expenses of this offering and for general corporate purposes.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$13.00 per share would increase or decrease, as applicable, the aggregate amount of the special distribution by $7.9 million, the per share amount of the special distribution by $0.24 on an as-if converted basis and the net proceeds to us by approximately $1.9 million, assuming the number of shares offered by us, as set forth on the cover page of this prospectus, remains the same and, with respect to the net proceeds to us, after deducting estimated underwriting discounts and commissions and the special distribution noted above.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Of the estimated aggregate amount of the special distribution of $102.4 million (exclusive of any amounts that may be received from the underwriters’ exercise of the over-allotment option), assuming an initial public offering price of $13.00 per share, which is the midpoint of the price range set forth on the cover of this prospectus, $54.3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5100" w:type="dxa"/>
            <w:vAlign w:val="bottom"/>
            <w:vMerge w:val="continue"/>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5% Stockholders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27,979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2,793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30,772</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17"/>
                <w:szCs w:val="17"/>
                <w:color w:val="auto"/>
                <w:vertAlign w:val="superscript"/>
              </w:rPr>
              <w:t>(4)</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14,544</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3,250</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5,683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1,558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9,563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21,785</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Staci L. Buse</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10,773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11,218</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color w:val="auto"/>
              </w:rPr>
              <w:t>Significant Ventures, LLC</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7,778</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8,361</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Directors</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Chad N. Heath</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27,979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2,793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30,772</w:t>
            </w:r>
          </w:p>
        </w:tc>
        <w:tc>
          <w:tcPr>
            <w:tcW w:w="0" w:type="dxa"/>
            <w:vAlign w:val="bottom"/>
          </w:tcPr>
          <w:p>
            <w:pPr>
              <w:spacing w:after="0"/>
              <w:rPr>
                <w:sz w:val="1"/>
                <w:szCs w:val="1"/>
                <w:color w:val="auto"/>
              </w:rPr>
            </w:pPr>
          </w:p>
        </w:tc>
      </w:tr>
      <w:tr>
        <w:trPr>
          <w:trHeight w:val="147"/>
        </w:trPr>
        <w:tc>
          <w:tcPr>
            <w:tcW w:w="5100" w:type="dxa"/>
            <w:vAlign w:val="bottom"/>
          </w:tcPr>
          <w:p>
            <w:pPr>
              <w:spacing w:after="0" w:line="148" w:lineRule="exact"/>
              <w:rPr>
                <w:sz w:val="20"/>
                <w:szCs w:val="20"/>
                <w:color w:val="auto"/>
              </w:rPr>
            </w:pPr>
            <w:r>
              <w:rPr>
                <w:rFonts w:ascii="Arial" w:cs="Arial" w:eastAsia="Arial" w:hAnsi="Arial"/>
                <w:sz w:val="10"/>
                <w:szCs w:val="10"/>
                <w:color w:val="auto"/>
              </w:rPr>
              <w:t>D. Mark Dorman</w:t>
            </w:r>
            <w:r>
              <w:rPr>
                <w:rFonts w:ascii="Arial" w:cs="Arial" w:eastAsia="Arial" w:hAnsi="Arial"/>
                <w:sz w:val="17"/>
                <w:szCs w:val="17"/>
                <w:color w:val="auto"/>
                <w:vertAlign w:val="superscript"/>
              </w:rPr>
              <w:t>(3)</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27,979</w:t>
            </w: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5,863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2,793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30,772</w:t>
            </w:r>
          </w:p>
        </w:tc>
        <w:tc>
          <w:tcPr>
            <w:tcW w:w="0" w:type="dxa"/>
            <w:vAlign w:val="bottom"/>
          </w:tcPr>
          <w:p>
            <w:pPr>
              <w:spacing w:after="0"/>
              <w:rPr>
                <w:sz w:val="1"/>
                <w:szCs w:val="1"/>
                <w:color w:val="auto"/>
              </w:rPr>
            </w:pPr>
          </w:p>
        </w:tc>
      </w:tr>
      <w:tr>
        <w:trPr>
          <w:trHeight w:val="147"/>
        </w:trPr>
        <w:tc>
          <w:tcPr>
            <w:tcW w:w="5100" w:type="dxa"/>
            <w:vAlign w:val="bottom"/>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10,773</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11,218</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John E. Crowley</w:t>
            </w:r>
            <w:r>
              <w:rPr>
                <w:rFonts w:ascii="Arial" w:cs="Arial" w:eastAsia="Arial" w:hAnsi="Arial"/>
                <w:sz w:val="17"/>
                <w:szCs w:val="17"/>
                <w:color w:val="auto"/>
                <w:vertAlign w:val="superscript"/>
              </w:rPr>
              <w:t>(6)</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1,046</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281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1,102</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(5)</w:t>
            </w:r>
          </w:p>
        </w:tc>
        <w:tc>
          <w:tcPr>
            <w:tcW w:w="1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10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2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10,780</w:t>
            </w:r>
          </w:p>
        </w:tc>
        <w:tc>
          <w:tcPr>
            <w:tcW w:w="0" w:type="dxa"/>
            <w:vAlign w:val="bottom"/>
          </w:tcPr>
          <w:p>
            <w:pPr>
              <w:spacing w:after="0"/>
              <w:rPr>
                <w:sz w:val="1"/>
                <w:szCs w:val="1"/>
                <w:color w:val="auto"/>
              </w:rPr>
            </w:pPr>
          </w:p>
        </w:tc>
      </w:tr>
      <w:tr>
        <w:trPr>
          <w:trHeight w:val="147"/>
        </w:trPr>
        <w:tc>
          <w:tcPr>
            <w:tcW w:w="5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10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2,377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11,225</w:t>
            </w:r>
          </w:p>
        </w:tc>
        <w:tc>
          <w:tcPr>
            <w:tcW w:w="0" w:type="dxa"/>
            <w:vAlign w:val="bottom"/>
          </w:tcPr>
          <w:p>
            <w:pPr>
              <w:spacing w:after="0"/>
              <w:rPr>
                <w:sz w:val="1"/>
                <w:szCs w:val="1"/>
                <w:color w:val="auto"/>
              </w:rPr>
            </w:pPr>
          </w:p>
        </w:tc>
      </w:tr>
      <w:tr>
        <w:trPr>
          <w:trHeight w:val="150"/>
        </w:trPr>
        <w:tc>
          <w:tcPr>
            <w:tcW w:w="510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All directors and executive officers as a group</w:t>
            </w:r>
          </w:p>
        </w:tc>
        <w:tc>
          <w:tcPr>
            <w:tcW w:w="15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54,316</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$13.00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Endeavour Capital IV, LLC, the general partner for each of the Endeavour Entities, are members of our board of directors.</w:t>
      </w:r>
    </w:p>
    <w:p>
      <w:pPr>
        <w:spacing w:after="0" w:line="27"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56"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September 30, 2008:</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convertible preferred stock into 10,870,178 shares of common stock upon the closing of the offering; and</w:t>
      </w:r>
    </w:p>
    <w:p>
      <w:pPr>
        <w:spacing w:after="0" w:line="59" w:lineRule="exact"/>
        <w:rPr>
          <w:rFonts w:ascii="Arial" w:cs="Arial" w:eastAsia="Arial" w:hAnsi="Arial"/>
          <w:sz w:val="13"/>
          <w:szCs w:val="13"/>
          <w:color w:val="auto"/>
        </w:rPr>
      </w:pPr>
    </w:p>
    <w:p>
      <w:pPr>
        <w:ind w:left="2200" w:right="180" w:hanging="511"/>
        <w:spacing w:after="0" w:line="264"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C preferred stock into 2,061,538 shares of common stock upon the closing of the offering at a conversion rate equal to their liquidation preference per share divided by the initial public offering price per share, which is estimated to be $13.00 per share, which is the midpoint of the range set forth on the cover page of this prospectus; and</w:t>
      </w:r>
    </w:p>
    <w:p>
      <w:pPr>
        <w:spacing w:after="0" w:line="66" w:lineRule="exact"/>
        <w:rPr>
          <w:rFonts w:ascii="Arial" w:cs="Arial" w:eastAsia="Arial" w:hAnsi="Arial"/>
          <w:sz w:val="13"/>
          <w:szCs w:val="13"/>
          <w:color w:val="auto"/>
        </w:rPr>
      </w:pPr>
    </w:p>
    <w:p>
      <w:pPr>
        <w:ind w:left="2200" w:hanging="511"/>
        <w:spacing w:after="0"/>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exercise in November 2008 of the warrant to purchase 909,348 shares of our common stock for $0.58 per share;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rFonts w:ascii="Arial" w:cs="Arial" w:eastAsia="Arial" w:hAnsi="Arial"/>
          <w:sz w:val="13"/>
          <w:szCs w:val="13"/>
          <w:color w:val="auto"/>
        </w:rPr>
      </w:pPr>
    </w:p>
    <w:p>
      <w:pPr>
        <w:ind w:left="2100" w:right="6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our sale of 10,500,000 shares of our common stock in this offering (at an assumed initial public offering price of $13.00 per share, which is the midpoint of the range set forth on the cover page of this prospectus) and after deducting the underwriting discounts and commissions and estimated offering expenses payable by us; and</w:t>
      </w:r>
    </w:p>
    <w:p>
      <w:pPr>
        <w:spacing w:after="0" w:line="66" w:lineRule="exact"/>
        <w:rPr>
          <w:rFonts w:ascii="Arial" w:cs="Arial" w:eastAsia="Arial" w:hAnsi="Arial"/>
          <w:sz w:val="13"/>
          <w:szCs w:val="13"/>
          <w:color w:val="auto"/>
        </w:rPr>
      </w:pPr>
    </w:p>
    <w:p>
      <w:pPr>
        <w:ind w:left="210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right"/>
              <w:spacing w:after="0"/>
              <w:rPr>
                <w:sz w:val="20"/>
                <w:szCs w:val="20"/>
                <w:color w:val="auto"/>
              </w:rPr>
            </w:pPr>
            <w:r>
              <w:rPr>
                <w:rFonts w:ascii="Arial" w:cs="Arial" w:eastAsia="Arial" w:hAnsi="Arial"/>
                <w:sz w:val="10"/>
                <w:szCs w:val="10"/>
                <w:b w:val="1"/>
                <w:bCs w:val="1"/>
                <w:color w:val="auto"/>
                <w:w w:val="91"/>
              </w:rPr>
              <w:t>(In thousands, except share data)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43,904</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30,775</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30,775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6"/>
              </w:rPr>
              <w:t>Series A convertible preferred stock: $0.01 par value; 9,700 shares authorized, 5,953 shares issued and outstanding, actual; no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shares 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18,610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Series B convertible preferred stock: $0.01 par value; 2,200 shares authorized, no shares issued and outstanding, actual; no shares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9"/>
              </w:rPr>
              <w:t>Series C preferred stock: $0.01 par value; 3,900 shares authorized, 3,829 shares issued and outstanding, actual; no shares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14,129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Undesignated preferred stock: $0.01 par value; no shares authorized, issued and outstanding, actual and pro forma;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10,000,000 shares authorized, no shares issued and outstanding, pro forma, as adjusted</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$0.01 par value; 100,000,000 shares authorized, 19,218,650 shares issued and outstanding, actual;</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100,000,000 shares authorized, 33,059,714 shares issued and outstanding, pro forma; 100,000,000 shares authorized,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43,559,714 shares issued and outstanding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6,238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39,364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57,729</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(13,898)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(13,898)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(13,898)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25,808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44,278</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57,871</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58,397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76,867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59"/>
        <w:spacing w:after="0" w:line="258"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$1.00 increase or decrease in the assumed initial public offering price of $13.00 per share would increase or decrease cash and cash equivalents by $1.9 million, would increase or decrease additional paid-in capital by $1.9 million, and would increase or decrease total stockholders’ equity and total capitalization by $1.9 million, after deducting the underwriting discount, and the payment of the special distribution to our existing stockholders as described in “Special Distribution.” Similarly, any increase or decrease in the number of shares that we sell in the offering will increase or decrease our net proceeds in proportion to such increase or decrease, as applicable, multiplied by the offering price per share, less underwriting discounts and commissions.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jc w:val="both"/>
        <w:ind w:left="680" w:right="360" w:firstLine="399"/>
        <w:spacing w:after="0" w:line="296" w:lineRule="auto"/>
        <w:rPr>
          <w:sz w:val="20"/>
          <w:szCs w:val="20"/>
          <w:color w:val="auto"/>
        </w:rPr>
      </w:pPr>
      <w:r>
        <w:rPr>
          <w:rFonts w:ascii="Arial" w:cs="Arial" w:eastAsia="Arial" w:hAnsi="Arial"/>
          <w:sz w:val="12"/>
          <w:szCs w:val="12"/>
          <w:color w:val="auto"/>
        </w:rPr>
        <w:t>As of September 30, 2008, our pro forma net tangible book value would have been $22.9 million or, $0.69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 and the exercise in November 2008 of the warrant to purchase 909,348 shares of our common stock.</w:t>
      </w:r>
    </w:p>
    <w:p>
      <w:pPr>
        <w:spacing w:after="0" w:line="50" w:lineRule="exact"/>
        <w:rPr>
          <w:sz w:val="20"/>
          <w:szCs w:val="20"/>
          <w:color w:val="auto"/>
        </w:rPr>
      </w:pPr>
    </w:p>
    <w:p>
      <w:pPr>
        <w:ind w:left="680" w:right="300" w:firstLine="399"/>
        <w:spacing w:after="0" w:line="305" w:lineRule="auto"/>
        <w:rPr>
          <w:sz w:val="20"/>
          <w:szCs w:val="20"/>
          <w:color w:val="auto"/>
        </w:rPr>
      </w:pPr>
      <w:r>
        <w:rPr>
          <w:rFonts w:ascii="Arial" w:cs="Arial" w:eastAsia="Arial" w:hAnsi="Arial"/>
          <w:sz w:val="11"/>
          <w:szCs w:val="11"/>
          <w:color w:val="auto"/>
        </w:rPr>
        <w:t>Pro forma as adjusted net tangible book value per share represents the amount of total tangible assets reduced by our total liabilities, divided by the number of shares of common stock outstanding after giving effect to the conversion of all outstanding classes of preferred stock into common stock, the exercise in November 2008 of the warrant to purchase</w:t>
      </w:r>
    </w:p>
    <w:p>
      <w:pPr>
        <w:spacing w:after="0" w:line="1" w:lineRule="exact"/>
        <w:rPr>
          <w:sz w:val="20"/>
          <w:szCs w:val="20"/>
          <w:color w:val="auto"/>
        </w:rPr>
      </w:pPr>
    </w:p>
    <w:p>
      <w:pPr>
        <w:ind w:left="680"/>
        <w:spacing w:after="0" w:line="284" w:lineRule="auto"/>
        <w:rPr>
          <w:sz w:val="20"/>
          <w:szCs w:val="20"/>
          <w:color w:val="auto"/>
        </w:rPr>
      </w:pPr>
      <w:r>
        <w:rPr>
          <w:rFonts w:ascii="Arial" w:cs="Arial" w:eastAsia="Arial" w:hAnsi="Arial"/>
          <w:sz w:val="12"/>
          <w:szCs w:val="12"/>
          <w:color w:val="auto"/>
        </w:rPr>
        <w:t>909,348 shares of our common stock, the payment of the estimated amount of the special distribution to certain of our existing stockholders and the sale of 10,500,000 shares of common stock in the offering at an initial public offering price of $13.00 per share, the midpoint of the price range set forth on the cover page of this prospectus. Our pro forma as adjusted net tangible book value as of September 30, 2008 would have been $41.3 million, or $0.95 per share. This represents an immediate increase in net tangible book value of $0.26 per share to existing stockholders and an immediate dilution of $12.05 per share to new investors purchasing shares in the offering. The following table illustrates this per share dilution:</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13.00</w:t>
            </w:r>
          </w:p>
        </w:tc>
      </w:tr>
      <w:tr>
        <w:trPr>
          <w:trHeight w:val="148"/>
        </w:trPr>
        <w:tc>
          <w:tcPr>
            <w:tcW w:w="850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of common stock as of</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September 30,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0.69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(0.36)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0.95</w:t>
            </w:r>
          </w:p>
        </w:tc>
      </w:tr>
      <w:tr>
        <w:trPr>
          <w:trHeight w:val="20"/>
        </w:trPr>
        <w:tc>
          <w:tcPr>
            <w:tcW w:w="8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Dilution per share of common stock to new investors</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w:t>
            </w:r>
          </w:p>
        </w:tc>
      </w:tr>
      <w:tr>
        <w:trPr>
          <w:trHeight w:val="29"/>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Our pro forma as adjusted net tangible book value will be $45.0 million, or $1.00 per share, and the dilution per share of common stock to new investors will be $12.00, if the underwriters’ over-allotment option is exercised in full.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$1.00 increase or decrease in the assumed initial public offering price of $13.00 per share would increase or decrease, as applicable, our as pro forma adjusted net tangible book value per share of common stock by $0.04, and increase or decrease, as applicable, the dilution per share of common stock to new investors by $0.96,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following table sets forth, as of September 30, 2008, on the pro forma as-adjusted basis described above, the differences between existing stockholders, including the effect of the exercise in November 2008 of the warrant to purchase 909,348 shares of our common stock,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$13.00 per share of common stock, which is the midpoint of the range set forth on the cover page of this prospectus: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tcPr>
          <w:p>
            <w:pPr>
              <w:spacing w:after="0"/>
              <w:rPr>
                <w:sz w:val="10"/>
                <w:szCs w:val="10"/>
                <w:color w:val="auto"/>
              </w:rPr>
            </w:pPr>
          </w:p>
        </w:tc>
        <w:tc>
          <w:tcPr>
            <w:tcW w:w="13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89"/>
              </w:rPr>
              <w:t>Shares Purchased</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300" w:type="dxa"/>
            <w:vAlign w:val="bottom"/>
            <w:tcBorders>
              <w:top w:val="single" w:sz="8" w:color="auto"/>
            </w:tcBorders>
            <w:gridSpan w:val="2"/>
          </w:tcPr>
          <w:p>
            <w:pPr>
              <w:ind w:left="28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33,059,714</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75.9%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40,827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New investors</w:t>
            </w:r>
          </w:p>
        </w:tc>
        <w:tc>
          <w:tcPr>
            <w:tcW w:w="920" w:type="dxa"/>
            <w:vAlign w:val="bottom"/>
          </w:tcPr>
          <w:p>
            <w:pPr>
              <w:jc w:val="right"/>
              <w:spacing w:after="0"/>
              <w:rPr>
                <w:sz w:val="20"/>
                <w:szCs w:val="20"/>
                <w:color w:val="auto"/>
              </w:rPr>
            </w:pPr>
            <w:r>
              <w:rPr>
                <w:rFonts w:ascii="Arial" w:cs="Arial" w:eastAsia="Arial" w:hAnsi="Arial"/>
                <w:sz w:val="13"/>
                <w:szCs w:val="13"/>
                <w:color w:val="auto"/>
              </w:rPr>
              <w:t>10,500,000</w:t>
            </w:r>
          </w:p>
        </w:tc>
        <w:tc>
          <w:tcPr>
            <w:tcW w:w="3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136,500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77.0%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43,559,714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177,327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$13.00 per share would increase or decrease, as applicable, total consideration paid by new investors, total consideration paid by all stockholders and average price per share paid by all stockholders by $10.5 million, $10.5 million, and $0.26,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This table does not give effect to the payment of the special distribution to existing stockholders.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33,059,714, or 73.2%, and the number of shares held by new investors would increase to 12,075,000, or 26.8%, of the total number of shares of our common stock outstanding after this offering.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9"/>
                <w:szCs w:val="9"/>
                <w:b w:val="1"/>
                <w:bCs w:val="1"/>
                <w:color w:val="auto"/>
                <w:w w:val="92"/>
              </w:rPr>
              <w:t>February 2, 2004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1"/>
              </w:rPr>
              <w:t>to December 31,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9"/>
                <w:szCs w:val="9"/>
                <w:b w:val="1"/>
                <w:bCs w:val="1"/>
                <w:color w:val="auto"/>
                <w:w w:val="92"/>
              </w:rPr>
              <w:t>Year Ended December 31,</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b w:val="1"/>
                <w:bCs w:val="1"/>
                <w:color w:val="auto"/>
                <w:w w:val="90"/>
              </w:rPr>
              <w:t>September 30,</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84"/>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2005</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rPr>
              <w:t>2007</w:t>
            </w:r>
          </w:p>
        </w:tc>
        <w:tc>
          <w:tcPr>
            <w:tcW w:w="60" w:type="dxa"/>
            <w:vAlign w:val="bottom"/>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3"/>
              </w:rPr>
              <w:t>(Unaudited)</w:t>
            </w: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9"/>
                <w:szCs w:val="9"/>
                <w:b w:val="1"/>
                <w:bCs w:val="1"/>
                <w:color w:val="auto"/>
                <w:w w:val="7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jc w:val="center"/>
              <w:ind w:right="84"/>
              <w:spacing w:after="0" w:line="75"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9"/>
          </w:tcPr>
          <w:p>
            <w:pPr>
              <w:jc w:val="right"/>
              <w:ind w:right="80"/>
              <w:spacing w:after="0"/>
              <w:rPr>
                <w:sz w:val="20"/>
                <w:szCs w:val="20"/>
                <w:color w:val="auto"/>
              </w:rPr>
            </w:pPr>
            <w:r>
              <w:rPr>
                <w:rFonts w:ascii="Arial" w:cs="Arial" w:eastAsia="Arial" w:hAnsi="Arial"/>
                <w:sz w:val="9"/>
                <w:szCs w:val="9"/>
                <w:b w:val="1"/>
                <w:bCs w:val="1"/>
                <w:color w:val="auto"/>
                <w:w w:val="96"/>
              </w:rPr>
              <w:t>(In thousands, except enrollment and per share data)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Net revenue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25,629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51,793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72,111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99,326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68,472</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109,626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Instructional costs and services</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19,705</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31,287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39,050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27,531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36,995</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and promotional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9,735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14,047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20,093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35,148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24,291</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46,035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10,828</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12,968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15,011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17,001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11,848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15,992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Royalty to former owner</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1,619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2,585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40,716</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56,697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69,069</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94,981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66,255</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100,634</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3,042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2,217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8,992</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(3,098)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(2,975)</w:t>
            </w: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(2,236)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(2,156)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887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(7,726)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868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7,344</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Income tax expense (benefit)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521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Preferred dividends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available (loss attributable) to common stockholders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1,177</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270</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3,685</w:t>
            </w: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Shares used in computing earnings (loss)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18,853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18,923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18,885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19,133</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36,858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35,143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35,189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32,097</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Pro forma earnings per common share (Unaudited)</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57"/>
        </w:trPr>
        <w:tc>
          <w:tcPr>
            <w:tcW w:w="4500" w:type="dxa"/>
            <w:vAlign w:val="bottom"/>
          </w:tcPr>
          <w:p>
            <w:pPr>
              <w:spacing w:after="0" w:line="157" w:lineRule="exact"/>
              <w:rPr>
                <w:sz w:val="20"/>
                <w:szCs w:val="20"/>
                <w:color w:val="auto"/>
              </w:rPr>
            </w:pPr>
            <w:r>
              <w:rPr>
                <w:rFonts w:ascii="Arial" w:cs="Arial" w:eastAsia="Arial" w:hAnsi="Arial"/>
                <w:sz w:val="11"/>
                <w:szCs w:val="11"/>
                <w:color w:val="auto"/>
              </w:rPr>
              <w:t>Shares used in computing pro forma earnings per common share (Unaudited)</w:t>
            </w:r>
            <w:r>
              <w:rPr>
                <w:rFonts w:ascii="Arial" w:cs="Arial" w:eastAsia="Arial" w:hAnsi="Arial"/>
                <w:sz w:val="18"/>
                <w:szCs w:val="18"/>
                <w:color w:val="auto"/>
                <w:vertAlign w:val="superscript"/>
              </w:rPr>
              <w:t>(4)</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40,321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40,455</w:t>
            </w:r>
          </w:p>
        </w:tc>
        <w:tc>
          <w:tcPr>
            <w:tcW w:w="0" w:type="dxa"/>
            <w:vAlign w:val="bottom"/>
          </w:tcPr>
          <w:p>
            <w:pPr>
              <w:spacing w:after="0"/>
              <w:rPr>
                <w:sz w:val="1"/>
                <w:szCs w:val="1"/>
                <w:color w:val="auto"/>
              </w:rPr>
            </w:pPr>
          </w:p>
        </w:tc>
      </w:tr>
      <w:tr>
        <w:trPr>
          <w:trHeight w:val="29"/>
        </w:trPr>
        <w:tc>
          <w:tcPr>
            <w:tcW w:w="4500" w:type="dxa"/>
            <w:vAlign w:val="bottom"/>
            <w:vMerge w:val="restart"/>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45,015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41,722</w:t>
            </w:r>
          </w:p>
        </w:tc>
        <w:tc>
          <w:tcPr>
            <w:tcW w:w="0" w:type="dxa"/>
            <w:vAlign w:val="bottom"/>
          </w:tcPr>
          <w:p>
            <w:pPr>
              <w:spacing w:after="0"/>
              <w:rPr>
                <w:sz w:val="1"/>
                <w:szCs w:val="1"/>
                <w:color w:val="auto"/>
              </w:rPr>
            </w:pPr>
          </w:p>
        </w:tc>
      </w:tr>
      <w:tr>
        <w:trPr>
          <w:trHeight w:val="32"/>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2"/>
              </w:rPr>
              <w:t>February 2, 2004</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9"/>
                <w:szCs w:val="9"/>
                <w:b w:val="1"/>
                <w:bCs w:val="1"/>
                <w:color w:val="auto"/>
              </w:rPr>
              <w:t>Nine Months Ended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1"/>
              </w:rPr>
              <w:t>to December 31,</w:t>
            </w: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9"/>
                <w:szCs w:val="9"/>
                <w:b w:val="1"/>
                <w:bCs w:val="1"/>
                <w:color w:val="auto"/>
                <w:w w:val="92"/>
              </w:rPr>
              <w:t>Year Ended December 31,</w:t>
            </w: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9"/>
                <w:szCs w:val="9"/>
                <w:b w:val="1"/>
                <w:bCs w:val="1"/>
                <w:color w:val="auto"/>
                <w:w w:val="87"/>
              </w:rPr>
              <w:t>September 30,</w:t>
            </w: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tcPr>
          <w:p>
            <w:pPr>
              <w:jc w:val="center"/>
              <w:ind w:left="620"/>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jc w:val="right"/>
              <w:ind w:right="3"/>
              <w:spacing w:after="0" w:line="88" w:lineRule="exact"/>
              <w:rPr>
                <w:sz w:val="20"/>
                <w:szCs w:val="20"/>
                <w:color w:val="auto"/>
              </w:rPr>
            </w:pPr>
            <w:r>
              <w:rPr>
                <w:rFonts w:ascii="Arial" w:cs="Arial" w:eastAsia="Arial" w:hAnsi="Arial"/>
                <w:sz w:val="9"/>
                <w:szCs w:val="9"/>
                <w:b w:val="1"/>
                <w:bCs w:val="1"/>
                <w:color w:val="auto"/>
                <w:w w:val="79"/>
              </w:rPr>
              <w:t>2005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4"/>
          </w:tcPr>
          <w:p>
            <w:pPr>
              <w:jc w:val="right"/>
              <w:ind w:right="80"/>
              <w:spacing w:after="0" w:line="88" w:lineRule="exact"/>
              <w:rPr>
                <w:sz w:val="20"/>
                <w:szCs w:val="20"/>
                <w:color w:val="auto"/>
              </w:rPr>
            </w:pPr>
            <w:r>
              <w:rPr>
                <w:rFonts w:ascii="Arial" w:cs="Arial" w:eastAsia="Arial" w:hAnsi="Arial"/>
                <w:sz w:val="9"/>
                <w:szCs w:val="9"/>
                <w:b w:val="1"/>
                <w:bCs w:val="1"/>
                <w:color w:val="auto"/>
              </w:rPr>
              <w:t>2006</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ind w:right="81"/>
              <w:spacing w:after="0" w:line="88" w:lineRule="exact"/>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83"/>
              </w:rPr>
              <w:t>(Unaudited)</w:t>
            </w:r>
          </w:p>
        </w:tc>
        <w:tc>
          <w:tcPr>
            <w:tcW w:w="120" w:type="dxa"/>
            <w:vAlign w:val="bottom"/>
          </w:tcPr>
          <w:p>
            <w:pPr>
              <w:spacing w:after="0"/>
              <w:rPr>
                <w:sz w:val="7"/>
                <w:szCs w:val="7"/>
                <w:color w:val="auto"/>
              </w:rPr>
            </w:pPr>
          </w:p>
        </w:tc>
        <w:tc>
          <w:tcPr>
            <w:tcW w:w="46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Borders>
              <w:top w:val="single" w:sz="8" w:color="auto"/>
            </w:tcBorders>
            <w:gridSpan w:val="3"/>
          </w:tcPr>
          <w:p>
            <w:pPr>
              <w:jc w:val="center"/>
              <w:spacing w:after="0" w:line="75"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gridSpan w:val="4"/>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15"/>
          </w:tcPr>
          <w:p>
            <w:pPr>
              <w:jc w:val="right"/>
              <w:spacing w:after="0"/>
              <w:rPr>
                <w:sz w:val="20"/>
                <w:szCs w:val="20"/>
                <w:color w:val="auto"/>
              </w:rPr>
            </w:pPr>
            <w:r>
              <w:rPr>
                <w:rFonts w:ascii="Arial" w:cs="Arial" w:eastAsia="Arial" w:hAnsi="Arial"/>
                <w:sz w:val="9"/>
                <w:szCs w:val="9"/>
                <w:b w:val="1"/>
                <w:bCs w:val="1"/>
                <w:color w:val="auto"/>
                <w:w w:val="93"/>
              </w:rPr>
              <w:t>(In thousands, except enrollment and per share data)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24,376</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817</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2,387</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rPr>
              <w:t>7,406</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5,136</w:t>
            </w:r>
          </w:p>
        </w:tc>
        <w:tc>
          <w:tcPr>
            <w:tcW w:w="5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6,015</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c>
          <w:tcPr>
            <w:tcW w:w="360" w:type="dxa"/>
            <w:vAlign w:val="bottom"/>
            <w:gridSpan w:val="2"/>
            <w:shd w:val="clear" w:color="auto" w:fill="CCEEFF"/>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1,879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2,396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3,300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2,319</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3,676</w:t>
            </w: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line="148" w:lineRule="exact"/>
              <w:rPr>
                <w:sz w:val="20"/>
                <w:szCs w:val="20"/>
                <w:color w:val="auto"/>
              </w:rPr>
            </w:pPr>
            <w:r>
              <w:rPr>
                <w:rFonts w:ascii="Arial" w:cs="Arial" w:eastAsia="Arial" w:hAnsi="Arial"/>
                <w:sz w:val="10"/>
                <w:szCs w:val="10"/>
                <w:color w:val="auto"/>
              </w:rPr>
              <w:t>Adjusted EBITDA</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(13,503)</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(895)</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9,074</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11,723</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7,309</w:t>
            </w:r>
          </w:p>
        </w:tc>
        <w:tc>
          <w:tcPr>
            <w:tcW w:w="56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14,568</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Period end enrollment: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ind w:left="120"/>
              <w:spacing w:after="0"/>
              <w:rPr>
                <w:sz w:val="20"/>
                <w:szCs w:val="20"/>
                <w:color w:val="auto"/>
              </w:rPr>
            </w:pPr>
            <w:r>
              <w:rPr>
                <w:rFonts w:ascii="Arial" w:cs="Arial" w:eastAsia="Arial" w:hAnsi="Arial"/>
                <w:sz w:val="12"/>
                <w:szCs w:val="12"/>
                <w:color w:val="auto"/>
              </w:rPr>
              <w:t>Online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3,141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6,212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8,406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12,497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11,306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19,287</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Ground</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2,256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2,193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2,670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8"/>
          </w:tcPr>
          <w:p>
            <w:pPr>
              <w:jc w:val="center"/>
              <w:ind w:left="123"/>
              <w:spacing w:after="0"/>
              <w:rPr>
                <w:sz w:val="20"/>
                <w:szCs w:val="20"/>
                <w:color w:val="auto"/>
              </w:rPr>
            </w:pPr>
            <w:r>
              <w:rPr>
                <w:rFonts w:ascii="Arial" w:cs="Arial" w:eastAsia="Arial" w:hAnsi="Arial"/>
                <w:sz w:val="10"/>
                <w:szCs w:val="10"/>
                <w:b w:val="1"/>
                <w:bCs w:val="1"/>
                <w:color w:val="auto"/>
                <w:w w:val="94"/>
              </w:rPr>
              <w:t>As of December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8"/>
          </w:tcPr>
          <w:p>
            <w:pPr>
              <w:jc w:val="right"/>
              <w:ind w:right="420"/>
              <w:spacing w:after="0"/>
              <w:rPr>
                <w:sz w:val="20"/>
                <w:szCs w:val="20"/>
                <w:color w:val="auto"/>
              </w:rPr>
            </w:pPr>
            <w:r>
              <w:rPr>
                <w:rFonts w:ascii="Arial" w:cs="Arial" w:eastAsia="Arial" w:hAnsi="Arial"/>
                <w:sz w:val="10"/>
                <w:szCs w:val="10"/>
                <w:b w:val="1"/>
                <w:bCs w:val="1"/>
                <w:color w:val="auto"/>
                <w:w w:val="94"/>
              </w:rPr>
              <w:t>As of September 30, 2008</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gridSpan w:val="2"/>
          </w:tcPr>
          <w:p>
            <w:pPr>
              <w:jc w:val="right"/>
              <w:ind w:right="251"/>
              <w:spacing w:after="0" w:line="98" w:lineRule="exact"/>
              <w:rPr>
                <w:sz w:val="20"/>
                <w:szCs w:val="20"/>
                <w:color w:val="auto"/>
              </w:rPr>
            </w:pPr>
            <w:r>
              <w:rPr>
                <w:rFonts w:ascii="Arial" w:cs="Arial" w:eastAsia="Arial" w:hAnsi="Arial"/>
                <w:sz w:val="10"/>
                <w:szCs w:val="10"/>
                <w:b w:val="1"/>
                <w:bCs w:val="1"/>
                <w:color w:val="auto"/>
              </w:rPr>
              <w:t>2004</w:t>
            </w: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3"/>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2007</w:t>
            </w:r>
          </w:p>
        </w:tc>
        <w:tc>
          <w:tcPr>
            <w:tcW w:w="16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ind w:left="40"/>
              <w:spacing w:after="0" w:line="98" w:lineRule="exact"/>
              <w:rPr>
                <w:sz w:val="20"/>
                <w:szCs w:val="20"/>
                <w:color w:val="auto"/>
              </w:rPr>
            </w:pPr>
            <w:r>
              <w:rPr>
                <w:rFonts w:ascii="Arial" w:cs="Arial" w:eastAsia="Arial" w:hAnsi="Arial"/>
                <w:sz w:val="10"/>
                <w:szCs w:val="10"/>
                <w:b w:val="1"/>
                <w:bCs w:val="1"/>
                <w:color w:val="auto"/>
              </w:rPr>
              <w:t>Actual</w:t>
            </w:r>
          </w:p>
        </w:tc>
        <w:tc>
          <w:tcPr>
            <w:tcW w:w="60" w:type="dxa"/>
            <w:vAlign w:val="bottom"/>
            <w:tcBorders>
              <w:top w:val="single" w:sz="8" w:color="auto"/>
            </w:tcBorders>
            <w:gridSpan w:val="2"/>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gridSpan w:val="3"/>
          </w:tcPr>
          <w:p>
            <w:pPr>
              <w:jc w:val="right"/>
              <w:ind w:right="39"/>
              <w:spacing w:after="0" w:line="98" w:lineRule="exact"/>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91"/>
              <w:spacing w:after="0" w:line="98" w:lineRule="exact"/>
              <w:rPr>
                <w:sz w:val="20"/>
                <w:szCs w:val="20"/>
                <w:color w:val="auto"/>
              </w:rPr>
            </w:pPr>
            <w:r>
              <w:rPr>
                <w:rFonts w:ascii="Arial" w:cs="Arial" w:eastAsia="Arial" w:hAnsi="Arial"/>
                <w:sz w:val="10"/>
                <w:szCs w:val="10"/>
                <w:b w:val="1"/>
                <w:bCs w:val="1"/>
                <w:color w:val="auto"/>
              </w:rPr>
              <w:t>(Unaudited)</w:t>
            </w:r>
          </w:p>
        </w:tc>
        <w:tc>
          <w:tcPr>
            <w:tcW w:w="320" w:type="dxa"/>
            <w:vAlign w:val="bottom"/>
          </w:tcPr>
          <w:p>
            <w:pPr>
              <w:spacing w:after="0"/>
              <w:rPr>
                <w:sz w:val="8"/>
                <w:szCs w:val="8"/>
                <w:color w:val="auto"/>
              </w:rPr>
            </w:pPr>
          </w:p>
        </w:tc>
        <w:tc>
          <w:tcPr>
            <w:tcW w:w="800" w:type="dxa"/>
            <w:vAlign w:val="bottom"/>
            <w:gridSpan w:val="4"/>
          </w:tcPr>
          <w:p>
            <w:pPr>
              <w:jc w:val="center"/>
              <w:spacing w:after="0" w:line="98" w:lineRule="exact"/>
              <w:rPr>
                <w:sz w:val="20"/>
                <w:szCs w:val="20"/>
                <w:color w:val="auto"/>
              </w:rPr>
            </w:pPr>
            <w:r>
              <w:rPr>
                <w:rFonts w:ascii="Arial" w:cs="Arial" w:eastAsia="Arial" w:hAnsi="Arial"/>
                <w:sz w:val="10"/>
                <w:szCs w:val="10"/>
                <w:b w:val="1"/>
                <w:bCs w:val="1"/>
                <w:color w:val="auto"/>
              </w:rPr>
              <w:t>(Unaudited)</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5"/>
          </w:tcPr>
          <w:p>
            <w:pPr>
              <w:jc w:val="right"/>
              <w:ind w:right="20"/>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gridSpan w:val="5"/>
          </w:tcPr>
          <w:p>
            <w:pPr>
              <w:jc w:val="right"/>
              <w:ind w:right="160"/>
              <w:spacing w:after="0" w:line="98" w:lineRule="exact"/>
              <w:rPr>
                <w:sz w:val="20"/>
                <w:szCs w:val="20"/>
                <w:color w:val="auto"/>
              </w:rPr>
            </w:pPr>
            <w:r>
              <w:rPr>
                <w:rFonts w:ascii="Arial" w:cs="Arial" w:eastAsia="Arial" w:hAnsi="Arial"/>
                <w:sz w:val="10"/>
                <w:szCs w:val="10"/>
                <w:b w:val="1"/>
                <w:bCs w:val="1"/>
                <w:color w:val="auto"/>
                <w:w w:val="79"/>
              </w:rPr>
              <w:t>(Unaudited)</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3,476</w:t>
            </w: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2,579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14,361</w:t>
            </w: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23,210</w:t>
            </w:r>
          </w:p>
        </w:tc>
        <w:tc>
          <w:tcPr>
            <w:tcW w:w="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22,227</w:t>
            </w:r>
          </w:p>
        </w:tc>
        <w:tc>
          <w:tcPr>
            <w:tcW w:w="40" w:type="dxa"/>
            <w:vAlign w:val="bottom"/>
          </w:tcPr>
          <w:p>
            <w:pPr>
              <w:spacing w:after="0"/>
              <w:rPr>
                <w:sz w:val="13"/>
                <w:szCs w:val="13"/>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22,753</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30,892</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5"/>
              </w:rPr>
              <w:t>51,859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61,232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88,568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105,618</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106,144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24,360</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24,789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29,728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29,228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30,775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4,511</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2,635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2,462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2,408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25,590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21,390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31,948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32,739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(7,645)</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(12,111)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w w:val="94"/>
              </w:rPr>
              <w:t>(11,723)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w w:val="94"/>
              </w:rPr>
              <w:t>(10,386)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(76,567)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8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240" w:hanging="259"/>
        <w:spacing w:after="0" w:line="264"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000" w:hanging="259"/>
        <w:spacing w:after="0" w:line="278"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$13.00 per share to pay the amount of dividends that exceeds net income for the twelve-month period ended September 30, 2008. The pro forma balance sheet and earnings per common share data also reflect the exercise of the warrant to purchase 909,348 shares of our common stock for $0.58 per share and assume the conversion of all outstanding shares of Series A convertible preferred stock into 10,870,178 shares of common stock upon the closing of the offering and the conversion of all outstanding shares of Series C preferred stock into 2,061,538 shares of common stock</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upon the closing of the offering based on a conversion price equal to $13.00 per share, which is the midpoint of the range set forth on the cover page of this prospectus.</w:t>
      </w:r>
    </w:p>
    <w:p>
      <w:pPr>
        <w:spacing w:after="0" w:line="57" w:lineRule="exact"/>
        <w:rPr>
          <w:sz w:val="20"/>
          <w:szCs w:val="20"/>
          <w:color w:val="auto"/>
        </w:rPr>
      </w:pPr>
    </w:p>
    <w:p>
      <w:pPr>
        <w:ind w:left="1000" w:right="40" w:hanging="259"/>
        <w:spacing w:after="0" w:line="289"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000" w:right="2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22"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96" w:lineRule="exact"/>
        <w:rPr>
          <w:rFonts w:ascii="Arial" w:cs="Arial" w:eastAsia="Arial" w:hAnsi="Arial"/>
          <w:sz w:val="12"/>
          <w:szCs w:val="12"/>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86" w:lineRule="exact"/>
        <w:rPr>
          <w:rFonts w:ascii="Arial" w:cs="Arial" w:eastAsia="Arial" w:hAnsi="Arial"/>
          <w:sz w:val="13"/>
          <w:szCs w:val="13"/>
          <w:color w:val="auto"/>
        </w:rPr>
      </w:pPr>
    </w:p>
    <w:p>
      <w:pPr>
        <w:ind w:left="1680" w:right="20" w:hanging="187"/>
        <w:spacing w:after="0" w:line="276" w:lineRule="auto"/>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000"/>
        <w:spacing w:after="0" w:line="258"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1,349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2,319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4,536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2,585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9,074</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7,309</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14,568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13" w:lineRule="exact"/>
        <w:rPr>
          <w:rFonts w:ascii="Arial" w:cs="Arial" w:eastAsia="Arial" w:hAnsi="Arial"/>
          <w:sz w:val="12"/>
          <w:szCs w:val="12"/>
          <w:color w:val="auto"/>
        </w:rPr>
      </w:pPr>
    </w:p>
    <w:p>
      <w:pPr>
        <w:ind w:left="1400" w:right="20" w:hanging="507"/>
        <w:spacing w:after="0" w:line="258"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6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September 30, 2008, we had approximately 22,000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44"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47"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nationwide scrutiny, Congress has passed new laws, the Department of Education has enacted</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363" w:lineRule="auto"/>
        <w:rPr>
          <w:sz w:val="20"/>
          <w:szCs w:val="20"/>
          <w:color w:val="auto"/>
        </w:rPr>
      </w:pPr>
      <w:r>
        <w:rPr>
          <w:rFonts w:ascii="Arial" w:cs="Arial" w:eastAsia="Arial" w:hAnsi="Arial"/>
          <w:sz w:val="11"/>
          <w:szCs w:val="11"/>
          <w:color w:val="auto"/>
        </w:rPr>
        <w:t>stricter regulations, and several states have adopted codes of conduct or enacted state laws that further regulate the conduct of lenders, schools, and school personnel. The effect of such actions may be to increase the cost of participating in the Title IV programs and other student loan programs, although we are unable to calculate such potential costs at this time.</w:t>
      </w:r>
    </w:p>
    <w:p>
      <w:pPr>
        <w:spacing w:after="0" w:line="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addition, the recent disruption in the credit markets and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2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Also, in recent years, several for-profit education companies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any of which could have a material adverse effect on our business, prospects, financial condition and results of operations and could adversely affect our stock price.</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67"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5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4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is a summary of our student enrollment at December 31, 2005, 2006, and 2007 and September 30, 2007 and 2008 (which included less than 100 students pursuing non-degree certificates in each period) by degree type and by instructional delivery method:</w:t>
      </w:r>
    </w:p>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4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w:t>
            </w:r>
          </w:p>
        </w:tc>
        <w:tc>
          <w:tcPr>
            <w:tcW w:w="960" w:type="dxa"/>
            <w:vAlign w:val="bottom"/>
            <w:tcBorders>
              <w:lef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73.7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7,812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9,156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8,634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12,286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380" w:type="dxa"/>
            <w:vAlign w:val="bottom"/>
          </w:tcPr>
          <w:p>
            <w:pPr>
              <w:jc w:val="right"/>
              <w:spacing w:after="0"/>
              <w:rPr>
                <w:sz w:val="20"/>
                <w:szCs w:val="20"/>
                <w:color w:val="auto"/>
              </w:rPr>
            </w:pPr>
            <w:r>
              <w:rPr>
                <w:rFonts w:ascii="Arial" w:cs="Arial" w:eastAsia="Arial" w:hAnsi="Arial"/>
                <w:sz w:val="13"/>
                <w:szCs w:val="13"/>
                <w:color w:val="auto"/>
              </w:rPr>
              <w:t>2,218</w:t>
            </w:r>
          </w:p>
        </w:tc>
        <w:tc>
          <w:tcPr>
            <w:tcW w:w="30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26.3</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2,850</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26.7</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5,598</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37.9</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4,865</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36.0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9,671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10,662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w w:val="98"/>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6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30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8,406</w:t>
            </w:r>
          </w:p>
        </w:tc>
        <w:tc>
          <w:tcPr>
            <w:tcW w:w="28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12,497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11,306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19,287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Ground*</w:t>
            </w:r>
          </w:p>
        </w:tc>
        <w:tc>
          <w:tcPr>
            <w:tcW w:w="380" w:type="dxa"/>
            <w:vAlign w:val="bottom"/>
          </w:tcPr>
          <w:p>
            <w:pPr>
              <w:jc w:val="right"/>
              <w:spacing w:after="0"/>
              <w:rPr>
                <w:sz w:val="20"/>
                <w:szCs w:val="20"/>
                <w:color w:val="auto"/>
              </w:rPr>
            </w:pPr>
            <w:r>
              <w:rPr>
                <w:rFonts w:ascii="Arial" w:cs="Arial" w:eastAsia="Arial" w:hAnsi="Arial"/>
                <w:sz w:val="13"/>
                <w:szCs w:val="13"/>
                <w:color w:val="auto"/>
              </w:rPr>
              <w:t>2,210</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26.2</w:t>
            </w: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21.2</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2,257</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15.3</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2,193</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16.2</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2,670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r>
      <w:tr>
        <w:trPr>
          <w:trHeight w:val="20"/>
        </w:trPr>
        <w:tc>
          <w:tcPr>
            <w:tcW w:w="1300" w:type="dxa"/>
            <w:vAlign w:val="bottom"/>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10,662</w:t>
            </w:r>
          </w:p>
        </w:tc>
        <w:tc>
          <w:tcPr>
            <w:tcW w:w="28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3"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Based on current tuition rates, tuition for a full program would equate to approximately $15,000 for an online master’s program, approximately $47,000 for a full four-year online bachelor’s program,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nine months ended September 30, 2007 and 2008, we offered scholarships with a total value of approximately $6.6 million and $11.9 million, respectively.</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We derive a majority of our net revenue from tuition financed by the Title IV programs. For the years ended December 31, 2006 and 2007, we derived cash receipts equal to approximately 67.9%, and 70.2%, respectively, of our net revenue from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Instructional cost and services. </w:t>
      </w:r>
      <w:r>
        <w:rPr>
          <w:rFonts w:ascii="Arial" w:cs="Arial" w:eastAsia="Arial" w:hAnsi="Arial"/>
          <w:sz w:val="13"/>
          <w:szCs w:val="13"/>
          <w:color w:val="auto"/>
        </w:rPr>
        <w:t>Instructional cost and services consist primarily of costs related to the administration and delivery of our educational programs. This expense category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7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Selling and promotional. </w:t>
      </w:r>
      <w:r>
        <w:rPr>
          <w:rFonts w:ascii="Arial" w:cs="Arial" w:eastAsia="Arial" w:hAnsi="Arial"/>
          <w:sz w:val="13"/>
          <w:szCs w:val="13"/>
          <w:color w:val="auto"/>
        </w:rPr>
        <w:t>Selling and promotional expenses include salaries and benefits of personnel engaged in the marketing, recruitment, and retention of students,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and September 30, 2008 in an effort to increase our recruiting activities and enroll prospective students. We also leased new enrollment centers in Arizona and Utah, and we intend to continue to increase the number of our 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nine month periods ended September 30, 2007 and 2008, we expensed approximately $2.8 million, $3.7 million, $4.3 million, $3.1 million, and $4.3 million, respectively, pursuant to these arrangements. As we increase our internal recruiting, marketing, and enrollment staff, we expect this revenue share as a proportion of total revenue to decline.</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February 2004 acquisition of the assets of Grand Canyon University by several of our current stockholders, we entered into a royalty</w:t>
      </w:r>
      <w:r>
        <w:rPr>
          <w:rFonts w:ascii="Arial" w:cs="Arial" w:eastAsia="Arial" w:hAnsi="Arial"/>
          <w:sz w:val="13"/>
          <w:szCs w:val="13"/>
          <w:i w:val="1"/>
          <w:iCs w:val="1"/>
          <w:color w:val="auto"/>
        </w:rPr>
        <w:t xml:space="preserve"> </w:t>
      </w:r>
      <w:r>
        <w:rPr>
          <w:rFonts w:ascii="Arial" w:cs="Arial" w:eastAsia="Arial" w:hAnsi="Arial"/>
          <w:sz w:val="13"/>
          <w:szCs w:val="13"/>
          <w:color w:val="auto"/>
        </w:rPr>
        <w:t>fee arrangement with the former owner in which we agreed to pay a stated percentage of cash revenue generated by our online programs. For the years ended December 31, 2005, 2006, and 2007, and for the nine month periods ended September 30, 2007 and 2008, we expensed $1.6 million, $2.7 million, $3.8 million, $2.6 million, and $1.6 million, respectively, in connection with this arrangement. This arrangement has been terminated, as discussed below.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 DGCL.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will have our shares listed for trading on the Nasdaq Global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5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Settlement with former owner. </w:t>
      </w:r>
      <w:r>
        <w:rPr>
          <w:rFonts w:ascii="Arial" w:cs="Arial" w:eastAsia="Arial" w:hAnsi="Arial"/>
          <w:sz w:val="13"/>
          <w:szCs w:val="13"/>
          <w:color w:val="auto"/>
        </w:rPr>
        <w:t>To resolve a dispute with our former owner arising from our acquisition of Grand Canyon University and subsequent lease of our campus, we entered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into a standstill agreement in September 2007 pursuant to which we agreed with the former owner to stay all pending legal proceedings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Management fees and expenses. </w:t>
      </w:r>
      <w:r>
        <w:rPr>
          <w:rFonts w:ascii="Arial" w:cs="Arial" w:eastAsia="Arial" w:hAnsi="Arial"/>
          <w:sz w:val="13"/>
          <w:szCs w:val="13"/>
          <w:color w:val="auto"/>
        </w:rPr>
        <w:t>In connection with an August 2005 investment led by Endeavour Capital, we entered into a professional services agreement with Endeavour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Capital’s general partner. Concurrent with the closing of this offering, the professional services agreement will terminate by its terms. For the years ended December 31, 2005, 2006, and 2007, and for the nine month periods ended September 30, 2007 and 2008, we incurred $0.1 million, $0.3 million, $0.3 million, $0.2 million, and $0.3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Stock-based and other executive compensation. </w:t>
      </w:r>
      <w:r>
        <w:rPr>
          <w:rFonts w:ascii="Arial" w:cs="Arial" w:eastAsia="Arial" w:hAnsi="Arial"/>
          <w:sz w:val="13"/>
          <w:szCs w:val="13"/>
          <w:color w:val="auto"/>
        </w:rPr>
        <w:t>Prior to this offering, we have not granted or issued any stock-based 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$5.9 million in the fourth quarter of 2008.</w:t>
      </w:r>
    </w:p>
    <w:p>
      <w:pPr>
        <w:spacing w:after="0" w:line="7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General and administrative expenses. </w:t>
      </w:r>
      <w:r>
        <w:rPr>
          <w:rFonts w:ascii="Arial" w:cs="Arial" w:eastAsia="Arial" w:hAnsi="Arial"/>
          <w:sz w:val="12"/>
          <w:szCs w:val="12"/>
          <w:color w:val="auto"/>
        </w:rPr>
        <w:t>In July 2008, we hired a new Chief Executive Officer, Chief Financial Officer, and Executive Vice President, as well as other financial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accounting personnel. Accordingly, compensation expenses, as reflected in our general and administrative expenses, will be higher beginning in the third quarter of 2008.</w:t>
      </w:r>
    </w:p>
    <w:p>
      <w:pPr>
        <w:spacing w:after="0" w:line="35"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 xml:space="preserve">In connection with the Office of Inspector General investigation and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litigation, we expect to incur increased legal expenses associated with responding to and/or defending such matters, including an estimated $1.1 million in the fourth quarter of 2008 as compared to the approximately $0.2 million in legal expenses incurred in the fourth quarter of 2007.</w:t>
      </w:r>
    </w:p>
    <w:p>
      <w:pPr>
        <w:spacing w:after="0" w:line="1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b w:val="1"/>
          <w:bCs w:val="1"/>
          <w:i w:val="1"/>
          <w:iCs w:val="1"/>
          <w:color w:val="auto"/>
        </w:rPr>
        <w:t xml:space="preserve">License agreement. </w:t>
      </w:r>
      <w:r>
        <w:rPr>
          <w:rFonts w:ascii="Arial" w:cs="Arial" w:eastAsia="Arial" w:hAnsi="Arial"/>
          <w:sz w:val="12"/>
          <w:szCs w:val="12"/>
          <w:color w:val="auto"/>
        </w:rPr>
        <w:t>In June 2004, we entered into a license agreement with Blanchard Education, LLC (“Blanchard”) relating to our use of the Ken Blanchard name for our College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7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connection with the preparation of our 2005, 2006, and 2007 financial statements, and our financial statements for the six month period ended June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2008, we identified errors regarding our accounting for the following transactions:</w:t>
      </w:r>
    </w:p>
    <w:p>
      <w:pPr>
        <w:spacing w:after="0" w:line="59" w:lineRule="exact"/>
        <w:rPr>
          <w:sz w:val="20"/>
          <w:szCs w:val="20"/>
          <w:color w:val="auto"/>
        </w:rPr>
      </w:pPr>
    </w:p>
    <w:p>
      <w:pPr>
        <w:ind w:left="1680" w:right="14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49" w:lineRule="exact"/>
        <w:rPr>
          <w:rFonts w:ascii="Arial" w:cs="Arial" w:eastAsia="Arial" w:hAnsi="Arial"/>
          <w:sz w:val="13"/>
          <w:szCs w:val="13"/>
          <w:color w:val="auto"/>
        </w:rPr>
      </w:pPr>
    </w:p>
    <w:p>
      <w:pPr>
        <w:jc w:val="both"/>
        <w:ind w:left="1680" w:right="180" w:hanging="187"/>
        <w:spacing w:after="0" w:line="260"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all periods, we failed to properly account for the issuance of certain common stock and equity linked instruments to third parties.</w:t>
      </w:r>
    </w:p>
    <w:p>
      <w:pPr>
        <w:spacing w:after="0" w:line="86" w:lineRule="exact"/>
        <w:rPr>
          <w:rFonts w:ascii="Arial" w:cs="Arial" w:eastAsia="Arial" w:hAnsi="Arial"/>
          <w:sz w:val="13"/>
          <w:szCs w:val="13"/>
          <w:color w:val="auto"/>
        </w:rPr>
      </w:pPr>
    </w:p>
    <w:p>
      <w:pPr>
        <w:ind w:left="1680" w:right="60" w:hanging="187"/>
        <w:spacing w:after="0" w:line="371" w:lineRule="auto"/>
        <w:tabs>
          <w:tab w:leader="none" w:pos="16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2" w:lineRule="exact"/>
        <w:rPr>
          <w:rFonts w:ascii="Arial" w:cs="Arial" w:eastAsia="Arial" w:hAnsi="Arial"/>
          <w:sz w:val="11"/>
          <w:szCs w:val="11"/>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failed to properly account for deferred taxes at the date of conversion from a limited liability company to a corporation.</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believe that certain of the control deficiencies related to these errors constitute material weaknesses in our internal control over financial reporting. Such material weaknesses related to our lack of processes and controls that would ensure the proper recording of assets, expenses, leases, and equity instruments in accordance with GAAP.</w:t>
      </w:r>
    </w:p>
    <w:p>
      <w:pPr>
        <w:spacing w:after="0" w:line="3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fiscal year 2008. Our Chief Financial Officer has taken responsibility for implementing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changes and improvements in the internal control over financial reporting and remediate the control deficiencies that gave rise to the material weaknesses. Specifically, these changes include:</w:t>
      </w:r>
    </w:p>
    <w:p>
      <w:pPr>
        <w:spacing w:after="0" w:line="119" w:lineRule="exact"/>
        <w:rPr>
          <w:sz w:val="20"/>
          <w:szCs w:val="20"/>
          <w:color w:val="auto"/>
        </w:rPr>
      </w:pPr>
    </w:p>
    <w:p>
      <w:pPr>
        <w:ind w:left="1680" w:right="32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making numerous process changes in the financial reporting area, including additional oversight and review;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conducting training of our accounting staff for purposes of enabling them to recognize and properly account for transactions of the type described above.</w:t>
      </w:r>
    </w:p>
    <w:p>
      <w:pPr>
        <w:spacing w:after="0" w:line="13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40" w:firstLine="798"/>
        <w:spacing w:after="0" w:line="281"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firstLine="798"/>
        <w:spacing w:after="0" w:line="28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Effective January 1, 2008,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Nine Months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0"/>
                <w:szCs w:val="10"/>
                <w:b w:val="1"/>
                <w:bCs w:val="1"/>
                <w:color w:val="auto"/>
                <w:w w:val="93"/>
              </w:rPr>
              <w:t>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580" w:type="dxa"/>
            <w:vAlign w:val="bottom"/>
            <w:gridSpan w:val="2"/>
          </w:tcPr>
          <w:p>
            <w:pPr>
              <w:jc w:val="center"/>
              <w:ind w:left="11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vMerge w:val="restart"/>
          </w:tcPr>
          <w:p>
            <w:pPr>
              <w:jc w:val="right"/>
              <w:ind w:right="292"/>
              <w:spacing w:after="0"/>
              <w:rPr>
                <w:sz w:val="20"/>
                <w:szCs w:val="20"/>
                <w:color w:val="auto"/>
              </w:rPr>
            </w:pPr>
            <w:r>
              <w:rPr>
                <w:rFonts w:ascii="Arial" w:cs="Arial" w:eastAsia="Arial" w:hAnsi="Arial"/>
                <w:sz w:val="6"/>
                <w:szCs w:val="6"/>
                <w:b w:val="1"/>
                <w:bCs w:val="1"/>
                <w:color w:val="auto"/>
                <w:w w:val="81"/>
              </w:rPr>
              <w:t>(1)</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0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640" w:type="dxa"/>
            <w:vAlign w:val="bottom"/>
            <w:vMerge w:val="restart"/>
          </w:tcPr>
          <w:p>
            <w:pPr>
              <w:jc w:val="center"/>
              <w:ind w:right="8"/>
              <w:spacing w:after="0"/>
              <w:rPr>
                <w:sz w:val="20"/>
                <w:szCs w:val="20"/>
                <w:color w:val="auto"/>
              </w:rPr>
            </w:pPr>
            <w:r>
              <w:rPr>
                <w:rFonts w:ascii="Arial" w:cs="Arial" w:eastAsia="Arial" w:hAnsi="Arial"/>
                <w:sz w:val="10"/>
                <w:szCs w:val="10"/>
                <w:b w:val="1"/>
                <w:bCs w:val="1"/>
                <w:color w:val="auto"/>
                <w:w w:val="97"/>
              </w:rPr>
              <w:t>(Unaudited)</w:t>
            </w:r>
          </w:p>
        </w:tc>
        <w:tc>
          <w:tcPr>
            <w:tcW w:w="32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77"/>
              </w:rPr>
              <w:t>(Restated)</w:t>
            </w:r>
          </w:p>
        </w:tc>
        <w:tc>
          <w:tcPr>
            <w:tcW w:w="40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100.0%</w:t>
            </w:r>
          </w:p>
        </w:tc>
        <w:tc>
          <w:tcPr>
            <w:tcW w:w="9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40" w:type="dxa"/>
            <w:vAlign w:val="bottom"/>
            <w:tcBorders>
              <w:right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100.0%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54.2</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43.4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40.2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Selling and promotional</w:t>
            </w: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27.1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27.9</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35.5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25.0</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20.8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17.3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4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72"/>
              <w:spacing w:after="0"/>
              <w:rPr>
                <w:sz w:val="20"/>
                <w:szCs w:val="20"/>
                <w:color w:val="auto"/>
              </w:rPr>
            </w:pPr>
            <w:r>
              <w:rPr>
                <w:rFonts w:ascii="Arial" w:cs="Arial" w:eastAsia="Arial" w:hAnsi="Arial"/>
                <w:sz w:val="13"/>
                <w:szCs w:val="13"/>
                <w:color w:val="auto"/>
              </w:rPr>
              <w:t>95.8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96.8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2"/>
            <w:vMerge w:val="continue"/>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(9.5)</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3.2</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8"/>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(5.9)</w:t>
            </w:r>
          </w:p>
        </w:tc>
        <w:tc>
          <w:tcPr>
            <w:tcW w:w="980" w:type="dxa"/>
            <w:vAlign w:val="bottom"/>
            <w:gridSpan w:val="3"/>
            <w:shd w:val="clear" w:color="auto" w:fill="CCEEFF"/>
          </w:tcPr>
          <w:p>
            <w:pPr>
              <w:jc w:val="right"/>
              <w:ind w:right="332"/>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4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(3.2)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(6.6)</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0.7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0.5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(8.3)</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Nine Months Ended September 30, 2008 Compared to Nine Months Ended September 30, 2007</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nine months ended September 30, 2008 was $109.6 million, an increase of $41.1 million, or 60.1%, as compared to net revenue of $68.5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nine months ended September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62.7% between September 30, 2007 and 2008,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nine months ended September 30, 2008 were $37.0 million, an increase of $9.5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or 34.4%, as compared to instructional cost and services expenses of $27.5 million for the nine months ended September 30, 2007. This increase was primarily due to increases in instructional compensation and related expenses, faculty compensation, depreciation and amortization, and other miscellaneous instructional costs and services of $3.5 million, $2.9 million, $1.0 million, and $2.1 million, respectively. These increases are all attributable to the increased headcount (both staff and faculty) needed to provide student instruction and support services as a result of the increase in enrollments. Our instructional cost and services expenses as a percentage of net revenue decreased by 6.5% to 33.7% for the nine months ended September 30, 2008, as compared to 40.2% for the nine months ended September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8"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i w:val="1"/>
          <w:iCs w:val="1"/>
          <w:color w:val="auto"/>
        </w:rPr>
        <w:t xml:space="preserve">Selling and promotional expenses. </w:t>
      </w:r>
      <w:r>
        <w:rPr>
          <w:rFonts w:ascii="Arial" w:cs="Arial" w:eastAsia="Arial" w:hAnsi="Arial"/>
          <w:sz w:val="11"/>
          <w:szCs w:val="11"/>
          <w:color w:val="auto"/>
        </w:rPr>
        <w:t>Our selling and promotional expenses for the nine months ended September 30, 2008 were $46.0 million, an increase of $21.7 million, or 89.5%,</w:t>
      </w:r>
      <w:r>
        <w:rPr>
          <w:rFonts w:ascii="Arial" w:cs="Arial" w:eastAsia="Arial" w:hAnsi="Arial"/>
          <w:sz w:val="11"/>
          <w:szCs w:val="11"/>
          <w:i w:val="1"/>
          <w:iCs w:val="1"/>
          <w:color w:val="auto"/>
        </w:rPr>
        <w:t xml:space="preserve"> </w:t>
      </w:r>
      <w:r>
        <w:rPr>
          <w:rFonts w:ascii="Arial" w:cs="Arial" w:eastAsia="Arial" w:hAnsi="Arial"/>
          <w:sz w:val="11"/>
          <w:szCs w:val="11"/>
          <w:color w:val="auto"/>
        </w:rPr>
        <w:t>as compared to selling and promotional expenses of $24.3 million for the nine months ended September 30, 2007. This increase was primarily due to increases in selling and promotional employee compensation and related expenses, advertising, revenue sharing expense, and other selling and promotional related costs of $12.9 million, $6.5 million, $1.2 million, and</w:t>
      </w:r>
    </w:p>
    <w:p>
      <w:pPr>
        <w:ind w:left="680"/>
        <w:spacing w:after="0" w:line="278" w:lineRule="auto"/>
        <w:rPr>
          <w:sz w:val="20"/>
          <w:szCs w:val="20"/>
          <w:color w:val="auto"/>
        </w:rPr>
      </w:pPr>
      <w:r>
        <w:rPr>
          <w:rFonts w:ascii="Arial" w:cs="Arial" w:eastAsia="Arial" w:hAnsi="Arial"/>
          <w:sz w:val="12"/>
          <w:szCs w:val="12"/>
          <w:color w:val="auto"/>
        </w:rPr>
        <w:t>$1.1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6.5% to 42.0% for the nine months ended September 30, 2008, from 35.5% for the nine months ended September 30,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w:t>
      </w:r>
    </w:p>
    <w:p>
      <w:pPr>
        <w:spacing w:after="0" w:line="60"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i w:val="1"/>
          <w:iCs w:val="1"/>
          <w:color w:val="auto"/>
        </w:rPr>
        <w:t xml:space="preserve">General and administrative expenses. </w:t>
      </w:r>
      <w:r>
        <w:rPr>
          <w:rFonts w:ascii="Arial" w:cs="Arial" w:eastAsia="Arial" w:hAnsi="Arial"/>
          <w:sz w:val="11"/>
          <w:szCs w:val="11"/>
          <w:color w:val="auto"/>
        </w:rPr>
        <w:t>Our general and administrative expenses for the nine months ended September 30, 2008 were $16.0 million, an increase of $4.1 million, or</w:t>
      </w:r>
      <w:r>
        <w:rPr>
          <w:rFonts w:ascii="Arial" w:cs="Arial" w:eastAsia="Arial" w:hAnsi="Arial"/>
          <w:sz w:val="11"/>
          <w:szCs w:val="11"/>
          <w:i w:val="1"/>
          <w:iCs w:val="1"/>
          <w:color w:val="auto"/>
        </w:rPr>
        <w:t xml:space="preserve"> </w:t>
      </w:r>
      <w:r>
        <w:rPr>
          <w:rFonts w:ascii="Arial" w:cs="Arial" w:eastAsia="Arial" w:hAnsi="Arial"/>
          <w:sz w:val="11"/>
          <w:szCs w:val="11"/>
          <w:color w:val="auto"/>
        </w:rPr>
        <w:t>35.0%, as compared to general and administrative expenses of $11.9 million for the nine months ended September 30, 2007. This increase was primarily due to increases in legal, audit and corporate insurance; bad debt expense; employee compensation; and other general and administrative expenses of $1.1 million, $1.0 million, $0.8 million and $1.2 million, respectively. The increase in legal, audit, and corporate insurance is primarily related to legal costs associated with the Sungard matter, which went to arbitration in the second quarter of fiscal 2008, as well as costs incurred related to the OIG investigation. See “Business — Legal Proceedings.” Bad debt expense increased to $5.3 million for the nine months ended September 30, 2008 from</w:t>
      </w:r>
    </w:p>
    <w:p>
      <w:pPr>
        <w:spacing w:after="0" w:line="1"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$4.3 million for the nine months ended September 30, 2007 as a result of an increase in net revenue. The other general and administrative expense increase was attributable to expenditures made to continue to support the growth of our business. Our general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05" w:lineRule="auto"/>
        <w:rPr>
          <w:sz w:val="20"/>
          <w:szCs w:val="20"/>
          <w:color w:val="auto"/>
        </w:rPr>
      </w:pPr>
      <w:r>
        <w:rPr>
          <w:rFonts w:ascii="Arial" w:cs="Arial" w:eastAsia="Arial" w:hAnsi="Arial"/>
          <w:sz w:val="11"/>
          <w:szCs w:val="11"/>
          <w:color w:val="auto"/>
        </w:rPr>
        <w:t>and administrative expenses as a percentage of net revenue decreased by 2.4% to 14.9% for the nine months ended September 30, 2008, from 17.3% for the nine months ended September 30, 2007, primarily due to a decrease in our bad debt expense and employee compensation and related benefits as a percentage of net revenue between periods from 6.3% and</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4.3% of revenue during the first nine months of 2007, respectively, to 4.8% and 3.4% of net revenue during the first nine months of 2008, respectively. The improvement in bad debt expense as a percentage of net revenue is primarily due to an improvement in our aging between periods and an increased revenue base. The decrease in employee compensation and related benefits as a percentage of net revenue is the result of us leveraging our current staffing over a larger revenue base.</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nine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2008 of $1.6 million, a decrease of $1.0 million, or 37.6%, as compared to royalty expenses incurred of $2.6 million for the nine months ended September 30,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1.5% for the nine months ended September 30, 2008 from 3.8% for the nine months ended September 30, 2007.</w:t>
      </w:r>
    </w:p>
    <w:p>
      <w:pPr>
        <w:spacing w:after="0" w:line="5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for both the nine month periods ended September 30, 2008 and 2007 was $2.2 million as the average level of borrowings remained fairly</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between periods.</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Our interest income for the nine months ended September 30, 2008 was $0.5 million, a decrease of $0.3 million from $0.8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as a result of decreased levels of cash and cash equivalents.</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Income tax expense. </w:t>
      </w:r>
      <w:r>
        <w:rPr>
          <w:rFonts w:ascii="Arial" w:cs="Arial" w:eastAsia="Arial" w:hAnsi="Arial"/>
          <w:sz w:val="13"/>
          <w:szCs w:val="13"/>
          <w:color w:val="auto"/>
        </w:rPr>
        <w:t>Income tax expense for the nine months ended September 30, 2008 was $2.8 million, an increase of $2.5 million from $0.3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This increase was primarily attributable to increased income before income taxes, partially offset by a slight decrease in our effective income tax rate to 39.1% from 40.0%.</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nine months ended September 30, 2008 was $4.5 million, an increase of $4.0 million, or 760%, as compared to net income of $0.5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nine months ended September 30, 2007,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13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2007 was $99.3 million, an increase of $27.2 million, or 37.7%, as compared to net revenue of $72.1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year ended December 31, 2007 were $39.1 million, an increase of $7.8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$35.1 million, an increase of $15.1 million, or 74.9%,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2007 were $17.0 million, an increase of $2.0 million, or 13.3%,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general and administrative expenses of $15.0 million for the year ended December 31, 2006. Bad debt expense increased to $6.3 million for the year ended December 31, 2007 from $4.7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72"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$3.0 million, an increase of $0.2 million, from $2.8 million for the year ended December 31, 2006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 higher average level of borrowings in 2007.</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i w:val="1"/>
          <w:iCs w:val="1"/>
          <w:color w:val="auto"/>
        </w:rPr>
        <w:t xml:space="preserve">Income tax expense. </w:t>
      </w:r>
      <w:r>
        <w:rPr>
          <w:rFonts w:ascii="Arial" w:cs="Arial" w:eastAsia="Arial" w:hAnsi="Arial"/>
          <w:sz w:val="11"/>
          <w:szCs w:val="11"/>
          <w:color w:val="auto"/>
        </w:rPr>
        <w:t>Income tax expense for the year ended December 31, 2007 was $1.0 million, an increase of $0.5 million, or 92.1%, from $0.5 million for the year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2006. This increase was primarily attributable to increased income before income taxes, partially offset by a decrease in our effective income tax rate to 40.0% from 46.9%.</w:t>
      </w:r>
    </w:p>
    <w:p>
      <w:pPr>
        <w:spacing w:after="0" w:line="1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$1.5 million, an increase of $0.9 million, or 155.2%, as compared to net income of $0.6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13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ground programs in an online delivery format, as limited by the growth restrictions imposed by the Department of Education, which were eliminated in October 2006.</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$31.3 million, an increase of $3.2 million, or 11.5%,</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$28.1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10.8% to 43.4% for the year ended December 31, 2006, as compared to 54.2%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$20.1 million, an increase of $6.0 million, or 43.0%,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$15.0 million, an increase of $2.0 million, or 15.8%,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$13.0 million for the year ended December 31, 2005. Bad debt expense increased to $4.7 million for the year ended December 31, 2006 from $2.6 million for the year ended December 31, 2005 due to an increase in net revenue and management’s assessment of our rapidly growing student base and changes in payment trends. Our general and administrative expenses as a percentage of net revenue decreased by 4.2% to 20.8% for the year ended December 31, 2006, from 25.0%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$2.8 million, a decrease of $0.3 million, or 8.7%, from $3.1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$0.5 million, an increase of $4.0 million from income tax benefit of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46.9% from 44.5%.</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$0.6 million, an increase of $4.9 million as compared to net loss of $4.3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and Seasonality</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First Quarter</w:t>
            </w:r>
          </w:p>
        </w:tc>
        <w:tc>
          <w:tcPr>
            <w:tcW w:w="140" w:type="dxa"/>
            <w:vAlign w:val="bottom"/>
          </w:tcPr>
          <w:p>
            <w:pPr>
              <w:spacing w:after="0"/>
              <w:rPr>
                <w:sz w:val="10"/>
                <w:szCs w:val="10"/>
                <w:color w:val="auto"/>
              </w:rPr>
            </w:pPr>
          </w:p>
        </w:tc>
        <w:tc>
          <w:tcPr>
            <w:tcW w:w="134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8"/>
              </w:rPr>
              <w:t>Second Quarter</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 Quarter</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Fourth Quarter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380" w:type="dxa"/>
            <w:vAlign w:val="bottom"/>
          </w:tcPr>
          <w:p>
            <w:pPr>
              <w:jc w:val="right"/>
              <w:ind w:right="73"/>
              <w:spacing w:after="0" w:line="81" w:lineRule="exact"/>
              <w:rPr>
                <w:sz w:val="20"/>
                <w:szCs w:val="20"/>
                <w:color w:val="auto"/>
              </w:rPr>
            </w:pPr>
            <w:r>
              <w:rPr>
                <w:rFonts w:ascii="Arial" w:cs="Arial" w:eastAsia="Arial" w:hAnsi="Arial"/>
                <w:sz w:val="9"/>
                <w:szCs w:val="9"/>
                <w:b w:val="1"/>
                <w:bCs w:val="1"/>
                <w:color w:val="auto"/>
                <w:w w:val="83"/>
              </w:rPr>
              <w:t>except</w:t>
            </w:r>
          </w:p>
        </w:tc>
        <w:tc>
          <w:tcPr>
            <w:tcW w:w="100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enrollment data)</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tcPr>
          <w:p>
            <w:pPr>
              <w:jc w:val="center"/>
              <w:ind w:left="756"/>
              <w:spacing w:after="0" w:line="108" w:lineRule="exact"/>
              <w:rPr>
                <w:sz w:val="20"/>
                <w:szCs w:val="20"/>
                <w:color w:val="auto"/>
              </w:rPr>
            </w:pPr>
            <w:r>
              <w:rPr>
                <w:rFonts w:ascii="Arial" w:cs="Arial" w:eastAsia="Arial" w:hAnsi="Arial"/>
                <w:sz w:val="10"/>
                <w:szCs w:val="10"/>
                <w:b w:val="1"/>
                <w:bCs w:val="1"/>
                <w:color w:val="auto"/>
                <w:w w:val="95"/>
              </w:rPr>
              <w:t>(unaudited)</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0"/>
                <w:szCs w:val="10"/>
                <w:b w:val="1"/>
                <w:bCs w:val="1"/>
                <w:color w:val="auto"/>
                <w:w w:val="96"/>
              </w:rPr>
              <w:t>(restated)</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16,695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16,009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7,540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3,645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15,647</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15,701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19,806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9,088</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8,137</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10,662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20,858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8,845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8,710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9,976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3,614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3,471</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19,074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22,673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24,508</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(2,190)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11,397</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10,332</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13,499</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35,709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34,566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39,351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11,620</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12,967</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18,562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4,541</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5,032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29,769</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34,180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36,685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2,076</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17,486</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16,510</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21,957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95"/>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and the first nine months of 2008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cash provided by operating activities and several private placements of securities. Our unrestricted cash, cash equivalents, and marketable securities were $14.4 million, $23.2 million, and $22.2 million at December 31, 2006 and 2007 and September 30, 2008,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Net cash provided by operating activities for the nine months ended September 30, 2008 was $18.1 million. Excluding the payment of $19.5 million that was</w:t>
      </w:r>
      <w:r>
        <w:rPr>
          <w:rFonts w:ascii="Arial" w:cs="Arial" w:eastAsia="Arial" w:hAnsi="Arial"/>
          <w:sz w:val="12"/>
          <w:szCs w:val="12"/>
          <w:i w:val="1"/>
          <w:iCs w:val="1"/>
          <w:color w:val="auto"/>
        </w:rPr>
        <w:t xml:space="preserve"> </w:t>
      </w:r>
      <w:r>
        <w:rPr>
          <w:rFonts w:ascii="Arial" w:cs="Arial" w:eastAsia="Arial" w:hAnsi="Arial"/>
          <w:sz w:val="12"/>
          <w:szCs w:val="12"/>
          <w:color w:val="auto"/>
        </w:rPr>
        <w:t>made to our former owner in April 2008 to satisfy in full all past royalties due under the royalty agreement and the elimination of the existing obligation to pay royalties for online student revenues in perpetuity, net cash provided by operating activities for the nine months ended September 30, 2008 would have been $30.4 million. Net cash provided by operating activities for the year ended December 31, 2007 was $7.1 million. Our operating cash flows were affected by our dispute with our former owner; as previously discussed, during 2007 we accrued</w:t>
      </w:r>
    </w:p>
    <w:p>
      <w:pPr>
        <w:spacing w:after="0" w:line="2"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$3.8 million of royalties payable to our former owner and funded a $3.0 million deposit in connection with a preliminary settlement of that dispute with our former owner. Excluding the accrual and payment to our former owner, net cash provided by operating activities would have been $6.3 million. Our tax payments exceeded our tax expense as our $5.0 million of income taxes paid represented a majority of our 2006 and 2007 tax obligations.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3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by (used in) investing activities was $(10.0) million, $6.7 million, and $(7.6)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$(6.1) million for the nine months ended September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$6.0 million for the nine months ended September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provided by (used in) financing activities was $16.0 million, $(1.7) million, and $9.3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$(13.1) million for the nine months ended September 30, 2008. During these periods, principal payments on notes payable, capital lease obligations and our line of credit were offset by private placements of securities by our stockholders and amounts drawn on our line of credit. Net cash used in financing activities for the nine months ended September 30, 2008 also included the $6.0 million related to the repurchase of a warrant from our former owner pursuant to the standstill agreement.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Less than</w:t>
            </w:r>
          </w:p>
        </w:tc>
        <w:tc>
          <w:tcPr>
            <w:tcW w:w="220" w:type="dxa"/>
            <w:vAlign w:val="bottom"/>
          </w:tcPr>
          <w:p>
            <w:pPr>
              <w:spacing w:after="0"/>
              <w:rPr>
                <w:sz w:val="7"/>
                <w:szCs w:val="7"/>
                <w:color w:val="auto"/>
              </w:rPr>
            </w:pP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1 Year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37"/>
              <w:spacing w:after="0"/>
              <w:rPr>
                <w:sz w:val="20"/>
                <w:szCs w:val="20"/>
                <w:color w:val="auto"/>
              </w:rPr>
            </w:pPr>
            <w:r>
              <w:rPr>
                <w:rFonts w:ascii="Arial" w:cs="Arial" w:eastAsia="Arial" w:hAnsi="Arial"/>
                <w:sz w:val="10"/>
                <w:szCs w:val="10"/>
                <w:b w:val="1"/>
                <w:bCs w:val="1"/>
                <w:color w:val="auto"/>
                <w:w w:val="82"/>
              </w:rPr>
              <w:t>2-3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7"/>
              <w:spacing w:after="0"/>
              <w:rPr>
                <w:sz w:val="20"/>
                <w:szCs w:val="20"/>
                <w:color w:val="auto"/>
              </w:rPr>
            </w:pPr>
            <w:r>
              <w:rPr>
                <w:rFonts w:ascii="Arial" w:cs="Arial" w:eastAsia="Arial" w:hAnsi="Arial"/>
                <w:sz w:val="10"/>
                <w:szCs w:val="10"/>
                <w:b w:val="1"/>
                <w:bCs w:val="1"/>
                <w:color w:val="auto"/>
                <w:w w:val="96"/>
              </w:rPr>
              <w:t>4-5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6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See Note 8, “Notes Payable and Capital Lease Obligations,” to our financial statements, which are included elsewhere in this prospectus, for a discussion of our long term debt and capital lease obligations.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See Note 9, “Commitments and Contingencies,” to our financial statements, which are included elsewhere in this prospectus, for a discussion of our operating lease obligations.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4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4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inflation has not had a material impact on our results of operations for the years ended December 31, 2005, 2006, or 2007 and the nine months ended September 30, 2008. There can be no assurance that future inflation will not have an adverse impact on our operating results and financial condition.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0"/>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20" w:type="dxa"/>
            <w:vAlign w:val="bottom"/>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(Unaudited)</w:t>
            </w: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2,822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1,915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1,349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347</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1,879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2,396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2,319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5,438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4,536</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1,619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2,678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2,585</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(c)</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188</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9,074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7,309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14,568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313"/>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380" w:hanging="313"/>
        <w:spacing w:after="0" w:line="296"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10" w:lineRule="exact"/>
        <w:rPr>
          <w:rFonts w:ascii="Arial" w:cs="Arial" w:eastAsia="Arial" w:hAnsi="Arial"/>
          <w:sz w:val="12"/>
          <w:szCs w:val="12"/>
          <w:color w:val="auto"/>
        </w:rPr>
      </w:pPr>
    </w:p>
    <w:p>
      <w:pPr>
        <w:ind w:left="1000" w:right="300" w:hanging="252"/>
        <w:spacing w:after="0" w:line="305" w:lineRule="auto"/>
        <w:tabs>
          <w:tab w:leader="none" w:pos="1000" w:val="left"/>
        </w:tabs>
        <w:numPr>
          <w:ilvl w:val="1"/>
          <w:numId w:val="30"/>
        </w:numPr>
        <w:rPr>
          <w:rFonts w:ascii="Arial" w:cs="Arial" w:eastAsia="Arial" w:hAnsi="Arial"/>
          <w:sz w:val="11"/>
          <w:szCs w:val="11"/>
          <w:color w:val="auto"/>
        </w:rPr>
      </w:pPr>
      <w:r>
        <w:rPr>
          <w:rFonts w:ascii="Arial" w:cs="Arial" w:eastAsia="Arial" w:hAnsi="Arial"/>
          <w:sz w:val="11"/>
          <w:szCs w:val="11"/>
          <w:color w:val="auto"/>
        </w:rPr>
        <w:t>Reflects management fees and expenses of $0.1 million, $0.3 million, and $0.3 million for the years ended December 31, 2005, 2006, and 2007, respectively, and $0.2 million and $0.3 million for the nine month periods ended September 30, 2007 and 2008, respectively, to the general partner of Endeavour Capital, and an aggregate of $0.4 million and</w:t>
      </w:r>
    </w:p>
    <w:p>
      <w:pPr>
        <w:jc w:val="both"/>
        <w:ind w:left="1000" w:right="100"/>
        <w:spacing w:after="0" w:line="258" w:lineRule="auto"/>
        <w:rPr>
          <w:rFonts w:ascii="Arial" w:cs="Arial" w:eastAsia="Arial" w:hAnsi="Arial"/>
          <w:sz w:val="11"/>
          <w:szCs w:val="11"/>
          <w:color w:val="auto"/>
        </w:rPr>
      </w:pPr>
      <w:r>
        <w:rPr>
          <w:rFonts w:ascii="Arial" w:cs="Arial" w:eastAsia="Arial" w:hAnsi="Arial"/>
          <w:sz w:val="13"/>
          <w:szCs w:val="13"/>
          <w:color w:val="auto"/>
        </w:rPr>
        <w:t>$0.7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portion of which will be fully vested upon grant. As a result, we expect to incur non-cash, stock-based compensation expenses in future periods, including expenses of approximately</w:t>
      </w:r>
    </w:p>
    <w:p>
      <w:pPr>
        <w:spacing w:after="0" w:line="27"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$5.9 million in the fourth quarter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and September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its adoption did not have a material impact on our financial statements.</w:t>
      </w:r>
    </w:p>
    <w:p>
      <w:pPr>
        <w:spacing w:after="0" w:line="59"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have a material impact on our financial position or results of operations.</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In February 2007, the FASB issued SFAS No. 159, </w:t>
      </w:r>
      <w:r>
        <w:rPr>
          <w:rFonts w:ascii="Arial" w:cs="Arial" w:eastAsia="Arial" w:hAnsi="Arial"/>
          <w:sz w:val="11"/>
          <w:szCs w:val="11"/>
          <w:i w:val="1"/>
          <w:iCs w:val="1"/>
          <w:color w:val="auto"/>
        </w:rPr>
        <w:t>The Fair Value Option for Financial Assets and Financial Liabilities Including an Amendment of FASB Statement No. 115</w:t>
      </w:r>
      <w:r>
        <w:rPr>
          <w:rFonts w:ascii="Arial" w:cs="Arial" w:eastAsia="Arial" w:hAnsi="Arial"/>
          <w:sz w:val="11"/>
          <w:szCs w:val="11"/>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2008 were $109.6 million and $9.0 million, respectively, representing increases of 60.1% and 305.5%, respectively, over the nine months ended September 30, 2007.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believe our growth is the result of a combination of factors, including our:</w:t>
      </w:r>
    </w:p>
    <w:p>
      <w:pPr>
        <w:spacing w:after="0" w:line="89" w:lineRule="exact"/>
        <w:rPr>
          <w:sz w:val="20"/>
          <w:szCs w:val="20"/>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73"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March 2008 NCES report,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According to the March 2008 NCES report, as of 2007 71% of adults age 25 years or older did not possess a bachelor’s or higher degree. In the September 2008 report, the NCES estimated that, as of 2006, adults age 25 years or older represented 39% of total 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7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 LLC,</w:t>
      </w:r>
      <w:r>
        <w:rPr>
          <w:rFonts w:ascii="Arial" w:cs="Arial" w:eastAsia="Arial" w:hAnsi="Arial"/>
          <w:sz w:val="12"/>
          <w:szCs w:val="12"/>
          <w:i w:val="1"/>
          <w:iCs w:val="1"/>
          <w:color w:val="auto"/>
        </w:rPr>
        <w:t xml:space="preserve"> </w:t>
      </w:r>
      <w:r>
        <w:rPr>
          <w:rFonts w:ascii="Arial" w:cs="Arial" w:eastAsia="Arial" w:hAnsi="Arial"/>
          <w:sz w:val="12"/>
          <w:szCs w:val="12"/>
          <w:color w:val="auto"/>
        </w:rPr>
        <w:t>an education consulting and research firm, projected that from 2002 to 2007 enrollment in online postsecondary programs increased from approximately 0.5 million to approximately</w:t>
      </w:r>
    </w:p>
    <w:p>
      <w:pPr>
        <w:ind w:left="680" w:right="240"/>
        <w:spacing w:after="0" w:line="281" w:lineRule="auto"/>
        <w:rPr>
          <w:sz w:val="20"/>
          <w:szCs w:val="20"/>
          <w:color w:val="auto"/>
        </w:rPr>
      </w:pPr>
      <w:r>
        <w:rPr>
          <w:rFonts w:ascii="Arial" w:cs="Arial" w:eastAsia="Arial" w:hAnsi="Arial"/>
          <w:sz w:val="12"/>
          <w:szCs w:val="12"/>
          <w:color w:val="auto"/>
        </w:rPr>
        <w:t>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6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Education, business, and healthcare. </w:t>
      </w:r>
      <w:r>
        <w:rPr>
          <w:rFonts w:ascii="Arial" w:cs="Arial" w:eastAsia="Arial" w:hAnsi="Arial"/>
          <w:sz w:val="11"/>
          <w:szCs w:val="11"/>
          <w:color w:val="auto"/>
        </w:rPr>
        <w:t>The education, business, and healthcare sectors represent a large and growing market for postsecondary education. According to the March 2008</w:t>
      </w:r>
      <w:r>
        <w:rPr>
          <w:rFonts w:ascii="Arial" w:cs="Arial" w:eastAsia="Arial" w:hAnsi="Arial"/>
          <w:sz w:val="11"/>
          <w:szCs w:val="11"/>
          <w:i w:val="1"/>
          <w:iCs w:val="1"/>
          <w:color w:val="auto"/>
        </w:rPr>
        <w:t xml:space="preserve"> </w:t>
      </w:r>
      <w:r>
        <w:rPr>
          <w:rFonts w:ascii="Arial" w:cs="Arial" w:eastAsia="Arial" w:hAnsi="Arial"/>
          <w:sz w:val="11"/>
          <w:szCs w:val="11"/>
          <w:color w:val="auto"/>
        </w:rPr>
        <w:t>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45" w:lineRule="exact"/>
        <w:rPr>
          <w:sz w:val="20"/>
          <w:szCs w:val="20"/>
          <w:color w:val="auto"/>
        </w:rPr>
      </w:pPr>
    </w:p>
    <w:p>
      <w:pPr>
        <w:ind w:left="1680" w:right="40" w:hanging="187"/>
        <w:spacing w:after="0" w:line="296"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49" w:lineRule="exact"/>
        <w:rPr>
          <w:rFonts w:ascii="Arial" w:cs="Arial" w:eastAsia="Arial" w:hAnsi="Arial"/>
          <w:sz w:val="12"/>
          <w:szCs w:val="12"/>
          <w:color w:val="auto"/>
        </w:rPr>
      </w:pPr>
    </w:p>
    <w:p>
      <w:pPr>
        <w:ind w:left="1680" w:right="24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40" w:hanging="187"/>
        <w:spacing w:after="0" w:line="296"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September 30, 2008, approximately 60.0% of our online students were enrolled in graduate degree programs.</w:t>
      </w:r>
    </w:p>
    <w:p>
      <w:pPr>
        <w:spacing w:after="0" w:line="55"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59"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72" w:lineRule="exact"/>
        <w:rPr>
          <w:sz w:val="20"/>
          <w:szCs w:val="20"/>
          <w:color w:val="auto"/>
        </w:rPr>
      </w:pPr>
    </w:p>
    <w:p>
      <w:pPr>
        <w:jc w:val="both"/>
        <w:ind w:left="680" w:right="120" w:firstLine="798"/>
        <w:spacing w:after="0" w:line="264" w:lineRule="auto"/>
        <w:rPr>
          <w:sz w:val="20"/>
          <w:szCs w:val="20"/>
          <w:color w:val="auto"/>
        </w:rPr>
      </w:pPr>
      <w:r>
        <w:rPr>
          <w:rFonts w:ascii="Arial" w:cs="Arial" w:eastAsia="Arial" w:hAnsi="Arial"/>
          <w:sz w:val="13"/>
          <w:szCs w:val="13"/>
          <w:i w:val="1"/>
          <w:iCs w:val="1"/>
          <w:color w:val="auto"/>
        </w:rPr>
        <w:t xml:space="preserve">Complementary online capabilities and campus-based tradition. </w:t>
      </w:r>
      <w:r>
        <w:rPr>
          <w:rFonts w:ascii="Arial" w:cs="Arial" w:eastAsia="Arial" w:hAnsi="Arial"/>
          <w:sz w:val="13"/>
          <w:szCs w:val="13"/>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70"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72" w:lineRule="exact"/>
        <w:rPr>
          <w:sz w:val="20"/>
          <w:szCs w:val="20"/>
          <w:color w:val="auto"/>
        </w:rPr>
      </w:pPr>
    </w:p>
    <w:p>
      <w:pPr>
        <w:ind w:left="680" w:right="20" w:firstLine="798"/>
        <w:spacing w:after="0" w:line="258" w:lineRule="auto"/>
        <w:rPr>
          <w:sz w:val="20"/>
          <w:szCs w:val="20"/>
          <w:color w:val="auto"/>
        </w:rPr>
      </w:pPr>
      <w:r>
        <w:rPr>
          <w:rFonts w:ascii="Arial" w:cs="Arial" w:eastAsia="Arial" w:hAnsi="Arial"/>
          <w:sz w:val="13"/>
          <w:szCs w:val="13"/>
          <w:color w:val="auto"/>
        </w:rPr>
        <w:t>Effective July 1, 2008, we hired Brian Mueller, Stan Meyer, and Dan 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continue to increase enrollment in our three core disciplines by identifying, enrolling, and retaining students seeking careers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59" w:lineRule="exact"/>
        <w:rPr>
          <w:sz w:val="20"/>
          <w:szCs w:val="20"/>
          <w:color w:val="auto"/>
        </w:rPr>
      </w:pPr>
    </w:p>
    <w:p>
      <w:pPr>
        <w:ind w:left="680" w:right="240" w:firstLine="798"/>
        <w:spacing w:after="0" w:line="285"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offerings in 2007, including the Ken Blanchard Executive MBA program, and twelve new online programs in the first nine months of 2008, including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5" w:lineRule="exact"/>
        <w:rPr>
          <w:sz w:val="20"/>
          <w:szCs w:val="20"/>
          <w:color w:val="auto"/>
        </w:rPr>
      </w:pPr>
    </w:p>
    <w:p>
      <w:pPr>
        <w:ind w:left="680" w:right="60" w:firstLine="798"/>
        <w:spacing w:after="0" w:line="264"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We seek to promote our brand by establishing relationships with industry leaders, such as Ken Blanchard, who have recognizable identities with potential students and further validate the quality and relevance of our program offerings.</w:t>
      </w:r>
    </w:p>
    <w:p>
      <w:pPr>
        <w:spacing w:after="0" w:line="59" w:lineRule="exact"/>
        <w:rPr>
          <w:sz w:val="20"/>
          <w:szCs w:val="20"/>
          <w:color w:val="auto"/>
        </w:rPr>
      </w:pPr>
    </w:p>
    <w:p>
      <w:pPr>
        <w:ind w:left="680" w:right="40" w:firstLine="798"/>
        <w:spacing w:after="0" w:line="257"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providers, and other employers through which we can market our offerings to their employees. As evidence of our success in these initiatives to date, in the first nine months of 2008, we taught courses at 29 hospitals and had direct billing arrangements with 28 employers covering programs being pursued by approximately 2,100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72" w:lineRule="exact"/>
        <w:rPr>
          <w:sz w:val="20"/>
          <w:szCs w:val="20"/>
          <w:color w:val="auto"/>
        </w:rPr>
      </w:pPr>
    </w:p>
    <w:p>
      <w:pPr>
        <w:ind w:left="680" w:right="100" w:firstLine="798"/>
        <w:spacing w:after="0" w:line="282"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significant investments in our people, processes, and technology infrastructure since 2004. We believe</w:t>
      </w:r>
      <w:r>
        <w:rPr>
          <w:rFonts w:ascii="Arial" w:cs="Arial" w:eastAsia="Arial" w:hAnsi="Arial"/>
          <w:sz w:val="12"/>
          <w:szCs w:val="12"/>
          <w:i w:val="1"/>
          <w:iCs w:val="1"/>
          <w:color w:val="auto"/>
        </w:rPr>
        <w:t xml:space="preserve"> </w:t>
      </w:r>
      <w:r>
        <w:rPr>
          <w:rFonts w:ascii="Arial" w:cs="Arial" w:eastAsia="Arial" w:hAnsi="Arial"/>
          <w:sz w:val="12"/>
          <w:szCs w:val="12"/>
          <w:color w:val="auto"/>
        </w:rPr>
        <w:t>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96" w:lineRule="exact"/>
        <w:rPr>
          <w:sz w:val="20"/>
          <w:szCs w:val="20"/>
          <w:color w:val="auto"/>
        </w:rPr>
      </w:pPr>
    </w:p>
    <w:p>
      <w:pPr>
        <w:ind w:left="1680" w:hanging="187"/>
        <w:spacing w:after="0" w:line="289"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52" w:lineRule="exact"/>
        <w:rPr>
          <w:rFonts w:ascii="Arial" w:cs="Arial" w:eastAsia="Arial" w:hAnsi="Arial"/>
          <w:sz w:val="12"/>
          <w:szCs w:val="12"/>
          <w:color w:val="auto"/>
        </w:rPr>
      </w:pPr>
    </w:p>
    <w:p>
      <w:pPr>
        <w:ind w:left="1680" w:right="40" w:hanging="187"/>
        <w:spacing w:after="0" w:line="285"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29%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55" w:lineRule="exact"/>
        <w:rPr>
          <w:rFonts w:ascii="Arial" w:cs="Arial" w:eastAsia="Arial" w:hAnsi="Arial"/>
          <w:sz w:val="12"/>
          <w:szCs w:val="12"/>
          <w:color w:val="auto"/>
        </w:rPr>
      </w:pPr>
    </w:p>
    <w:p>
      <w:pPr>
        <w:ind w:left="1680" w:right="220" w:hanging="187"/>
        <w:spacing w:after="0" w:line="296"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39" w:lineRule="exact"/>
        <w:rPr>
          <w:rFonts w:ascii="Arial" w:cs="Arial" w:eastAsia="Arial" w:hAnsi="Arial"/>
          <w:sz w:val="12"/>
          <w:szCs w:val="12"/>
          <w:color w:val="auto"/>
        </w:rPr>
      </w:pPr>
    </w:p>
    <w:p>
      <w:pPr>
        <w:ind w:left="1680" w:right="100" w:hanging="187"/>
        <w:spacing w:after="0" w:line="264"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40"/>
        <w:spacing w:after="0" w:line="264" w:lineRule="auto"/>
        <w:rPr>
          <w:sz w:val="20"/>
          <w:szCs w:val="20"/>
          <w:color w:val="auto"/>
        </w:rPr>
      </w:pPr>
      <w:r>
        <w:rPr>
          <w:rFonts w:ascii="Arial" w:cs="Arial" w:eastAsia="Arial" w:hAnsi="Arial"/>
          <w:sz w:val="13"/>
          <w:szCs w:val="13"/>
          <w:color w:val="auto"/>
        </w:rPr>
        <w:t>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67" w:lineRule="exact"/>
        <w:rPr>
          <w:sz w:val="20"/>
          <w:szCs w:val="20"/>
          <w:color w:val="auto"/>
        </w:rPr>
      </w:pPr>
    </w:p>
    <w:p>
      <w:pPr>
        <w:ind w:left="1680" w:hanging="187"/>
        <w:spacing w:after="0" w:line="281"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96" w:lineRule="exact"/>
        <w:rPr>
          <w:sz w:val="20"/>
          <w:szCs w:val="20"/>
          <w:color w:val="auto"/>
        </w:rPr>
      </w:pPr>
    </w:p>
    <w:p>
      <w:pPr>
        <w:ind w:left="1680" w:right="100" w:hanging="187"/>
        <w:spacing w:after="0" w:line="316" w:lineRule="auto"/>
        <w:tabs>
          <w:tab w:leader="none" w:pos="168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42" w:lineRule="exact"/>
        <w:rPr>
          <w:rFonts w:ascii="Arial" w:cs="Arial" w:eastAsia="Arial" w:hAnsi="Arial"/>
          <w:sz w:val="11"/>
          <w:szCs w:val="11"/>
          <w:color w:val="auto"/>
        </w:rPr>
      </w:pPr>
    </w:p>
    <w:p>
      <w:pPr>
        <w:ind w:left="1680" w:right="20" w:hanging="187"/>
        <w:spacing w:after="0" w:line="322" w:lineRule="auto"/>
        <w:tabs>
          <w:tab w:leader="none" w:pos="168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Small class size. </w:t>
      </w:r>
      <w:r>
        <w:rPr>
          <w:rFonts w:ascii="Arial" w:cs="Arial" w:eastAsia="Arial" w:hAnsi="Arial"/>
          <w:sz w:val="11"/>
          <w:szCs w:val="11"/>
          <w:color w:val="auto"/>
        </w:rPr>
        <w:t>At September 30, 2008, over 90% of our online classes had 25 or fewer students, with no classes exceeding 40 students, and over 80% of our ground</w:t>
      </w:r>
      <w:r>
        <w:rPr>
          <w:rFonts w:ascii="Arial" w:cs="Arial" w:eastAsia="Arial" w:hAnsi="Arial"/>
          <w:sz w:val="11"/>
          <w:szCs w:val="11"/>
          <w:i w:val="1"/>
          <w:iCs w:val="1"/>
          <w:color w:val="auto"/>
        </w:rPr>
        <w:t xml:space="preserve"> </w:t>
      </w:r>
      <w:r>
        <w:rPr>
          <w:rFonts w:ascii="Arial" w:cs="Arial" w:eastAsia="Arial" w:hAnsi="Arial"/>
          <w:sz w:val="11"/>
          <w:szCs w:val="11"/>
          <w:color w:val="auto"/>
        </w:rPr>
        <w:t>classes had 25 or fewer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10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2020" w:type="dxa"/>
            <w:vAlign w:val="bottom"/>
          </w:tcPr>
          <w:p>
            <w:pPr>
              <w:ind w:left="1320"/>
              <w:spacing w:after="0"/>
              <w:rPr>
                <w:sz w:val="20"/>
                <w:szCs w:val="20"/>
                <w:color w:val="auto"/>
              </w:rPr>
            </w:pPr>
            <w:r>
              <w:rPr>
                <w:rFonts w:ascii="Arial" w:cs="Arial" w:eastAsia="Arial" w:hAnsi="Arial"/>
                <w:sz w:val="10"/>
                <w:szCs w:val="10"/>
                <w:b w:val="1"/>
                <w:bCs w:val="1"/>
                <w:color w:val="auto"/>
                <w:w w:val="97"/>
              </w:rPr>
              <w:t>Current Period</w:t>
            </w:r>
          </w:p>
        </w:tc>
      </w:tr>
      <w:tr>
        <w:trPr>
          <w:trHeight w:val="178"/>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500" w:type="dxa"/>
            <w:vAlign w:val="bottom"/>
          </w:tcPr>
          <w:p>
            <w:pPr>
              <w:spacing w:after="0"/>
              <w:rPr>
                <w:sz w:val="20"/>
                <w:szCs w:val="20"/>
                <w:color w:val="auto"/>
              </w:rPr>
            </w:pPr>
            <w:r>
              <w:rPr>
                <w:rFonts w:ascii="Arial" w:cs="Arial" w:eastAsia="Arial" w:hAnsi="Arial"/>
                <w:sz w:val="13"/>
                <w:szCs w:val="13"/>
                <w:color w:val="auto"/>
                <w:w w:val="93"/>
              </w:rPr>
              <w:t>•  The Arizona State Board of Education approves our College of</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2008 - 2010</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to offer Institutional Recommendations for the</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8"/>
              </w:rPr>
              <w:t>certification of elementary, secondary, and special education</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teachers and school administrators.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500" w:type="dxa"/>
            <w:vAlign w:val="bottom"/>
          </w:tcPr>
          <w:p>
            <w:pPr>
              <w:spacing w:after="0"/>
              <w:rPr>
                <w:sz w:val="20"/>
                <w:szCs w:val="20"/>
                <w:color w:val="auto"/>
              </w:rPr>
            </w:pPr>
            <w:r>
              <w:rPr>
                <w:rFonts w:ascii="Arial" w:cs="Arial" w:eastAsia="Arial" w:hAnsi="Arial"/>
                <w:sz w:val="13"/>
                <w:szCs w:val="13"/>
                <w:color w:val="auto"/>
                <w:w w:val="93"/>
              </w:rPr>
              <w:t>•  The Association of Collegiate Business Schools and Programs</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2007 - 2017</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accredits our Master of Business Administration degree program</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7"/>
              </w:rPr>
              <w:t>and our Bachelor of Science degree programs in Accounting,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Business Administration, and Marketing.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500" w:type="dxa"/>
            <w:vAlign w:val="bottom"/>
          </w:tcPr>
          <w:p>
            <w:pPr>
              <w:spacing w:after="0"/>
              <w:rPr>
                <w:sz w:val="20"/>
                <w:szCs w:val="20"/>
                <w:color w:val="auto"/>
              </w:rPr>
            </w:pPr>
            <w:r>
              <w:rPr>
                <w:rFonts w:ascii="Arial" w:cs="Arial" w:eastAsia="Arial" w:hAnsi="Arial"/>
                <w:sz w:val="13"/>
                <w:szCs w:val="13"/>
                <w:color w:val="auto"/>
                <w:w w:val="98"/>
              </w:rPr>
              <w:t>•  The Commission on Collegiate Nursing Education accredits</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our Bachelor of Science (B.S.) in Nursing and Master of Science</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(M.S.) — 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5"/>
              </w:rPr>
              <w:t>•  The Arizona State Board of Nursing approves our Bachelor of</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Science (B.S.) in Nursing and Master of Science (M.S.) —</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  The Commission on Accreditation of Athletic Training</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2008 - 2013</w:t>
            </w:r>
          </w:p>
        </w:tc>
      </w:tr>
      <w:tr>
        <w:trPr>
          <w:trHeight w:val="165"/>
        </w:trPr>
        <w:tc>
          <w:tcPr>
            <w:tcW w:w="4100" w:type="dxa"/>
            <w:vAlign w:val="bottom"/>
          </w:tcPr>
          <w:p>
            <w:pPr>
              <w:spacing w:after="0"/>
              <w:rPr>
                <w:sz w:val="14"/>
                <w:szCs w:val="14"/>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accredits our Athletic Training Program.</w:t>
            </w:r>
          </w:p>
        </w:tc>
        <w:tc>
          <w:tcPr>
            <w:tcW w:w="2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-1627505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began offering our first doctoral degree program, a Doctorate of Education in Organizational Leadership, in May 2008.</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20" w:hanging="187"/>
        <w:spacing w:after="0" w:line="264"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license the right to utilize the name of Ken Blanchard in connection with our business school and Executive MBA Programs. See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7"/>
              </w:rPr>
              <w:t>•  Business Administration —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faculty includes full-time, ground-based faculty who teach under a nine-month or twelve-month teaching contract, as well as adjunct ground-based faculty and online faculty who we contract to teach on a course-by-course basis for a specified fee. As of September 30, 2008, we employed 460 ground-based faculty members, of which 53 were full-time and 407 were part-time adjuncts, and maintained a pool of over 1,000 online faculty members, all of whom had completed our required training and 656 of which taught at least one course during the first nine months of 2008. Substantially all of our current faculty members hold at least a master’s degree in their respective field and approximately 29%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7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53"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enable us to gain a better understanding of the attributes of our students who ultimately enroll and graduate so that we can target our marketing and enrollment processes accordingly.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2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September 30, 2008, we employed over 550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 and have plans to add up to three additional facilities during the next six months.</w:t>
      </w:r>
    </w:p>
    <w:p>
      <w:pPr>
        <w:spacing w:after="0" w:line="5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i w:val="1"/>
          <w:iCs w:val="1"/>
          <w:color w:val="auto"/>
        </w:rPr>
        <w:t xml:space="preserve">Retention. </w:t>
      </w:r>
      <w:r>
        <w:rPr>
          <w:rFonts w:ascii="Arial" w:cs="Arial" w:eastAsia="Arial" w:hAnsi="Arial"/>
          <w:sz w:val="12"/>
          <w:szCs w:val="12"/>
          <w:color w:val="auto"/>
        </w:rPr>
        <w:t>We employ a retention team whose purpose is to support the student in advancing from matriculation through graduation. The retention team members, among other</w:t>
      </w:r>
      <w:r>
        <w:rPr>
          <w:rFonts w:ascii="Arial" w:cs="Arial" w:eastAsia="Arial" w:hAnsi="Arial"/>
          <w:sz w:val="12"/>
          <w:szCs w:val="12"/>
          <w:i w:val="1"/>
          <w:iCs w:val="1"/>
          <w:color w:val="auto"/>
        </w:rPr>
        <w:t xml:space="preserve"> </w:t>
      </w:r>
      <w:r>
        <w:rPr>
          <w:rFonts w:ascii="Arial" w:cs="Arial" w:eastAsia="Arial" w:hAnsi="Arial"/>
          <w:sz w:val="12"/>
          <w:szCs w:val="12"/>
          <w:color w:val="auto"/>
        </w:rPr>
        <w:t>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At September 30, 2008, we had 21,957 students enrolled in our courses, of which 19,287, or 87.8%, were enrolled in our online programs, and 2,670, or 12.2%, were enrolled in our ground programs. Of our online students, which were geographically distributed throughout all 50 states of the United States, and Canada, 91.6% were age 25 or older. Of our ground students, which, although we draw students from throughout the United States, were predominantly comprised of students from Arizona, 63.0% were age 25 or older.</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is a summary of our student enrollment at September 30, 2008 and December 31,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10"/>
                <w:szCs w:val="10"/>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80" w:type="dxa"/>
            <w:vAlign w:val="bottom"/>
            <w:tcBorders>
              <w:top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74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rPr>
              <w:t># of Students</w:t>
            </w:r>
          </w:p>
        </w:tc>
        <w:tc>
          <w:tcPr>
            <w:tcW w:w="68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12,286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800" w:type="dxa"/>
            <w:vAlign w:val="bottom"/>
          </w:tcPr>
          <w:p>
            <w:pPr>
              <w:jc w:val="right"/>
              <w:spacing w:after="0"/>
              <w:rPr>
                <w:sz w:val="20"/>
                <w:szCs w:val="20"/>
                <w:color w:val="auto"/>
              </w:rPr>
            </w:pPr>
            <w:r>
              <w:rPr>
                <w:rFonts w:ascii="Arial" w:cs="Arial" w:eastAsia="Arial" w:hAnsi="Arial"/>
                <w:sz w:val="13"/>
                <w:szCs w:val="13"/>
                <w:color w:val="auto"/>
              </w:rPr>
              <w:t>9,671</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44.0</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13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22"/>
                <w:szCs w:val="22"/>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380" w:type="dxa"/>
            <w:vAlign w:val="bottom"/>
            <w:tcBorders>
              <w:top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 of Students</w:t>
            </w: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147"/>
        </w:trPr>
        <w:tc>
          <w:tcPr>
            <w:tcW w:w="56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1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19,287</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87.8</w:t>
            </w:r>
          </w:p>
        </w:tc>
        <w:tc>
          <w:tcPr>
            <w:tcW w:w="158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800" w:type="dxa"/>
            <w:vAlign w:val="bottom"/>
          </w:tcPr>
          <w:p>
            <w:pPr>
              <w:jc w:val="right"/>
              <w:spacing w:after="0"/>
              <w:rPr>
                <w:sz w:val="20"/>
                <w:szCs w:val="20"/>
                <w:color w:val="auto"/>
              </w:rPr>
            </w:pPr>
            <w:r>
              <w:rPr>
                <w:rFonts w:ascii="Arial" w:cs="Arial" w:eastAsia="Arial" w:hAnsi="Arial"/>
                <w:sz w:val="13"/>
                <w:szCs w:val="13"/>
                <w:color w:val="auto"/>
              </w:rPr>
              <w:t>2,670</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41"/>
        </w:numPr>
        <w:rPr>
          <w:rFonts w:ascii="Arial" w:cs="Arial" w:eastAsia="Arial" w:hAnsi="Arial"/>
          <w:sz w:val="10"/>
          <w:szCs w:val="10"/>
          <w:color w:val="auto"/>
        </w:rPr>
      </w:pPr>
      <w:r>
        <w:rPr>
          <w:rFonts w:ascii="Arial" w:cs="Arial" w:eastAsia="Arial" w:hAnsi="Arial"/>
          <w:sz w:val="10"/>
          <w:szCs w:val="10"/>
          <w:color w:val="auto"/>
        </w:rPr>
        <w:t>Includes our traditional ground students, as well as our professional studies ground students.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offer tuition scholarships to select students, including online students, athletes, employees, and participants in programs we offer through relationships with employers. For the years ended December 31, 2006 and 2007 and the nine months ended September 30, 2008, our revenue was reduced by approximately $8.0 million, $10.3 million, and $11.9 million, respectively, as a result of scholarships that we offered to our students.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120"/>
        <w:spacing w:after="0" w:line="276" w:lineRule="auto"/>
        <w:rPr>
          <w:rFonts w:ascii="Arial" w:cs="Arial" w:eastAsia="Arial" w:hAnsi="Arial"/>
          <w:sz w:val="13"/>
          <w:szCs w:val="13"/>
          <w:color w:val="auto"/>
        </w:rPr>
      </w:pPr>
      <w:r>
        <w:rPr>
          <w:rFonts w:ascii="Arial" w:cs="Arial" w:eastAsia="Arial" w:hAnsi="Arial"/>
          <w:sz w:val="13"/>
          <w:szCs w:val="13"/>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100"/>
        <w:spacing w:after="0" w:line="264" w:lineRule="auto"/>
        <w:rPr>
          <w:sz w:val="20"/>
          <w:szCs w:val="20"/>
          <w:color w:val="auto"/>
        </w:rPr>
      </w:pPr>
      <w:r>
        <w:rPr>
          <w:rFonts w:ascii="Arial" w:cs="Arial" w:eastAsia="Arial" w:hAnsi="Arial"/>
          <w:sz w:val="13"/>
          <w:szCs w:val="13"/>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67" w:lineRule="exact"/>
        <w:rPr>
          <w:sz w:val="20"/>
          <w:szCs w:val="20"/>
          <w:color w:val="auto"/>
        </w:rPr>
      </w:pPr>
    </w:p>
    <w:p>
      <w:pPr>
        <w:jc w:val="both"/>
        <w:ind w:left="1680" w:hanging="187"/>
        <w:spacing w:after="0" w:line="260"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2008,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0"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types of loans, the maximum annual loan amounts and other terms of the loans made under the Federal Direct Loan Program are similar to those for loans made under the FFEL Program.</w:t>
      </w:r>
    </w:p>
    <w:p>
      <w:pPr>
        <w:spacing w:after="0" w:line="5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and the first nine months of 2008,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Online course delivery and management. </w:t>
      </w:r>
      <w:r>
        <w:rPr>
          <w:rFonts w:ascii="Arial" w:cs="Arial" w:eastAsia="Arial" w:hAnsi="Arial"/>
          <w:sz w:val="12"/>
          <w:szCs w:val="12"/>
          <w:color w:val="auto"/>
        </w:rPr>
        <w:t>In 2007, we implemented the ANGEL Learning Management Suite, which is a web-based system and collaboration portal that stores,</w:t>
      </w:r>
      <w:r>
        <w:rPr>
          <w:rFonts w:ascii="Arial" w:cs="Arial" w:eastAsia="Arial" w:hAnsi="Arial"/>
          <w:sz w:val="12"/>
          <w:szCs w:val="12"/>
          <w:i w:val="1"/>
          <w:iCs w:val="1"/>
          <w:color w:val="auto"/>
        </w:rPr>
        <w:t xml:space="preserve"> </w:t>
      </w:r>
      <w:r>
        <w:rPr>
          <w:rFonts w:ascii="Arial" w:cs="Arial" w:eastAsia="Arial" w:hAnsi="Arial"/>
          <w:sz w:val="12"/>
          <w:szCs w:val="12"/>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began for selected courses in the fall of 2008.</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accounts payable. Each of these packages is scalable to capacity levels well in excess of current requirements.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20" w:lineRule="exact"/>
        <w:rPr>
          <w:sz w:val="20"/>
          <w:szCs w:val="20"/>
          <w:color w:val="auto"/>
        </w:rPr>
      </w:pPr>
    </w:p>
    <w:p>
      <w:pPr>
        <w:ind w:left="680" w:right="440" w:firstLine="399"/>
        <w:spacing w:after="0" w:line="296" w:lineRule="auto"/>
        <w:rPr>
          <w:sz w:val="20"/>
          <w:szCs w:val="20"/>
          <w:color w:val="auto"/>
        </w:rPr>
      </w:pPr>
      <w:r>
        <w:rPr>
          <w:rFonts w:ascii="Arial" w:cs="Arial" w:eastAsia="Arial" w:hAnsi="Arial"/>
          <w:sz w:val="12"/>
          <w:szCs w:val="12"/>
          <w:color w:val="auto"/>
        </w:rPr>
        <w:t>In addition to our faculty, as of September 30, 2008, we employed 1,121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2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University, University of Phoenix, and Walden University. In addition, many public and private schools, colleges, and universities, including most major colleges and universities, offer online programs.</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96" w:lineRule="exact"/>
        <w:rPr>
          <w:sz w:val="20"/>
          <w:szCs w:val="20"/>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and have plans to add up to three additional enrollment facilities during the next six months.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28, 2007, we filed a complaint against SunGard Higher Education Managed Services, Inc. in the Maricopa County Superior Court, Case No. CV2007-003492, for breach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contract, breach of implied covenant of good faith and fair dealing, breach of warranty, breach of fiduciary duty, tortious interference with business expectancy, unjust enrichment,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consumer fraud related to a technology services agreement between the parties. In response, SunGard moved to stay the litigation and compel arbitration. The court granted the motion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stay, and compelled the parties to arbitrate. SunGard has also counterclaimed alleging breach of contract relating to the parties’ technology services agreement. Following discovery,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arbitration occurred in late May 2008 and final arguments were heard in July 2008. We sought approximately $1.4 million from SunGard, and SunGard counterclaimed for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$2.5 million. On October 22, 2008, the arbitration panel awarded SunGard net damages in the amount of approximately $250,000 plus interest. We will also be responsible for paying a share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related arbitration expenses.</w:t>
      </w:r>
    </w:p>
    <w:p>
      <w:pPr>
        <w:spacing w:after="0" w:line="8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We are cooperating with the Office of Inspector General to facilitate its investigation, but cannot presently predict the ultimate outcome of the investigation or any liability or other sanctions that may result.</w:t>
      </w:r>
    </w:p>
    <w:p>
      <w:pPr>
        <w:spacing w:after="0" w:line="7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A number of similar lawsuits have been filed in recent years against educational institutions that receive Title IV funds. We have filed a motion to dismiss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and plan to contest it vigorously.</w:t>
      </w:r>
    </w:p>
    <w:p>
      <w:pPr>
        <w:spacing w:after="0" w:line="6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case or any liability or other sanctions that may result. It is possible that, during the course of the litigation, other information may be discovered that would adversely affect the outcome of the litigation.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60" w:hanging="187"/>
        <w:spacing w:after="0" w:line="276" w:lineRule="auto"/>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i w:val="1"/>
          <w:iCs w:val="1"/>
          <w:color w:val="auto"/>
        </w:rPr>
        <w:t xml:space="preserve">Eligibility and certification procedures. </w:t>
      </w:r>
      <w:r>
        <w:rPr>
          <w:rFonts w:ascii="Arial" w:cs="Arial" w:eastAsia="Arial" w:hAnsi="Arial"/>
          <w:sz w:val="13"/>
          <w:szCs w:val="13"/>
          <w:color w:val="auto"/>
        </w:rPr>
        <w:t>Each institution must apply periodically to the Department of Education for continued certification to participate in the Title IV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6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47"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57"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55"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6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our students’ employment circumstances could also increase their reliance on Title IV programs.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6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If our students begin taking out loans under the Federal Direct Loan Program, those loans will be combined with our students’ FFEL loans in calculating our annual student loan cohort default rate. In such case, the potential sanctions discussed in this section would be based on the combined cohort default 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Incentive compensation rule. </w:t>
      </w:r>
      <w:r>
        <w:rPr>
          <w:rFonts w:ascii="Arial" w:cs="Arial" w:eastAsia="Arial" w:hAnsi="Arial"/>
          <w:sz w:val="12"/>
          <w:szCs w:val="12"/>
          <w:color w:val="auto"/>
        </w:rPr>
        <w:t>An institution that participates in the Title IV programs may not provide any commission, bonus, or other incentive payment based directly or indirectly</w:t>
      </w:r>
      <w:r>
        <w:rPr>
          <w:rFonts w:ascii="Arial" w:cs="Arial" w:eastAsia="Arial" w:hAnsi="Arial"/>
          <w:sz w:val="12"/>
          <w:szCs w:val="12"/>
          <w:i w:val="1"/>
          <w:iCs w:val="1"/>
          <w:color w:val="auto"/>
        </w:rPr>
        <w:t xml:space="preserve"> </w:t>
      </w:r>
      <w:r>
        <w:rPr>
          <w:rFonts w:ascii="Arial" w:cs="Arial" w:eastAsia="Arial" w:hAnsi="Arial"/>
          <w:sz w:val="12"/>
          <w:szCs w:val="12"/>
          <w:color w:val="auto"/>
        </w:rPr>
        <w:t>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63"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2007 and was unsealed and served on us following the government’s decision not to intervene at this time. We have filed a motion to dismiss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and plan to contest it vigorously.</w:t>
      </w:r>
    </w:p>
    <w:p>
      <w:pPr>
        <w:spacing w:after="0" w:line="65"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 and are currently reviewing documents and emails that may be responsive to the Office of Inspector General’s subpoena.</w:t>
      </w:r>
    </w:p>
    <w:p>
      <w:pPr>
        <w:spacing w:after="0" w:line="60" w:lineRule="exact"/>
        <w:rPr>
          <w:sz w:val="20"/>
          <w:szCs w:val="20"/>
          <w:color w:val="auto"/>
        </w:rPr>
      </w:pPr>
    </w:p>
    <w:p>
      <w:pPr>
        <w:jc w:val="both"/>
        <w:ind w:left="680" w:right="34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Department of Education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or the Office of Inspector General investigation or any liability or other sanctions that might result.</w:t>
      </w:r>
    </w:p>
    <w:p>
      <w:pPr>
        <w:spacing w:after="0" w:line="5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6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Potential effect of regulatory violations. </w:t>
      </w:r>
      <w:r>
        <w:rPr>
          <w:rFonts w:ascii="Arial" w:cs="Arial" w:eastAsia="Arial" w:hAnsi="Arial"/>
          <w:sz w:val="13"/>
          <w:szCs w:val="13"/>
          <w:color w:val="auto"/>
        </w:rPr>
        <w:t>If we fail to comply with the regulatory standards governing the Title IV programs, the Department of Education could impose one or more</w:t>
      </w:r>
      <w:r>
        <w:rPr>
          <w:rFonts w:ascii="Arial" w:cs="Arial" w:eastAsia="Arial" w:hAnsi="Arial"/>
          <w:sz w:val="13"/>
          <w:szCs w:val="13"/>
          <w:i w:val="1"/>
          <w:iCs w:val="1"/>
          <w:color w:val="auto"/>
        </w:rPr>
        <w:t xml:space="preserve"> </w:t>
      </w:r>
      <w:r>
        <w:rPr>
          <w:rFonts w:ascii="Arial" w:cs="Arial" w:eastAsia="Arial" w:hAnsi="Arial"/>
          <w:sz w:val="13"/>
          <w:szCs w:val="13"/>
          <w:color w:val="auto"/>
        </w:rPr>
        <w:t>sanctions, including transferring us to the reimbursement or cash monitoring system of payment, requiring us to repay Title IV program funds,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2" w:lineRule="auto"/>
        <w:rPr>
          <w:sz w:val="20"/>
          <w:szCs w:val="20"/>
          <w:color w:val="auto"/>
        </w:rPr>
      </w:pPr>
      <w:r>
        <w:rPr>
          <w:rFonts w:ascii="Arial" w:cs="Arial" w:eastAsia="Arial" w:hAnsi="Arial"/>
          <w:sz w:val="12"/>
          <w:szCs w:val="12"/>
          <w:color w:val="auto"/>
        </w:rPr>
        <w:t>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Uncertainties, increased oversight, and changes in student loan environment. </w:t>
      </w:r>
      <w:r>
        <w:rPr>
          <w:rFonts w:ascii="Arial" w:cs="Arial" w:eastAsia="Arial" w:hAnsi="Arial"/>
          <w:sz w:val="12"/>
          <w:szCs w:val="12"/>
          <w:color w:val="auto"/>
        </w:rPr>
        <w:t>During 2007 and 2008, student loan programs, including the Title IV programs, have come under</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6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cumulative impact of these developments and conditions has caused some lenders to cease providing Title IV loans to students, including some lenders that have previously provided Title IV loans to our students.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30" w:lineRule="exact"/>
        <w:rPr>
          <w:sz w:val="20"/>
          <w:szCs w:val="20"/>
          <w:color w:val="auto"/>
        </w:rPr>
      </w:pPr>
    </w:p>
    <w:p>
      <w:pPr>
        <w:ind w:left="1680" w:right="80" w:hanging="187"/>
        <w:spacing w:after="0" w:line="27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03"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jc w:val="both"/>
        <w:ind w:left="680" w:right="80"/>
        <w:spacing w:after="0" w:line="258" w:lineRule="auto"/>
        <w:rPr>
          <w:sz w:val="20"/>
          <w:szCs w:val="20"/>
          <w:color w:val="auto"/>
        </w:rPr>
      </w:pPr>
      <w:r>
        <w:rPr>
          <w:rFonts w:ascii="Arial" w:cs="Arial" w:eastAsia="Arial" w:hAnsi="Arial"/>
          <w:sz w:val="13"/>
          <w:szCs w:val="13"/>
          <w:color w:val="auto"/>
        </w:rPr>
        <w:t>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 xml:space="preserve">Acquiring other schools. </w:t>
      </w:r>
      <w:r>
        <w:rPr>
          <w:rFonts w:ascii="Arial" w:cs="Arial" w:eastAsia="Arial" w:hAnsi="Arial"/>
          <w:sz w:val="12"/>
          <w:szCs w:val="12"/>
          <w:color w:val="auto"/>
        </w:rPr>
        <w:t>While we have not acquired any other schools in the past, we may seek to do so in the future. The Department of Education and virtually all state education</w:t>
      </w:r>
      <w:r>
        <w:rPr>
          <w:rFonts w:ascii="Arial" w:cs="Arial" w:eastAsia="Arial" w:hAnsi="Arial"/>
          <w:sz w:val="12"/>
          <w:szCs w:val="12"/>
          <w:i w:val="1"/>
          <w:iCs w:val="1"/>
          <w:color w:val="auto"/>
        </w:rPr>
        <w:t xml:space="preserve"> </w:t>
      </w:r>
      <w:r>
        <w:rPr>
          <w:rFonts w:ascii="Arial" w:cs="Arial" w:eastAsia="Arial" w:hAnsi="Arial"/>
          <w:sz w:val="12"/>
          <w:szCs w:val="12"/>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is pending, or at all, or that it will not impose restrictions as a condition of approving our pending recertification application or with respect to any future recertification.</w:t>
      </w:r>
    </w:p>
    <w:p>
      <w:pPr>
        <w:spacing w:after="0" w:line="73"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Many states and accrediting commissions require institutions of higher education to report or obtain approval of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control and changes in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5" w:lineRule="auto"/>
        <w:rPr>
          <w:sz w:val="20"/>
          <w:szCs w:val="20"/>
          <w:color w:val="auto"/>
        </w:rPr>
      </w:pPr>
      <w:r>
        <w:rPr>
          <w:rFonts w:ascii="Arial" w:cs="Arial" w:eastAsia="Arial" w:hAnsi="Arial"/>
          <w:sz w:val="12"/>
          <w:szCs w:val="12"/>
          <w:color w:val="auto"/>
        </w:rPr>
        <w:t>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 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7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notified other accrediting commissions and state agencies, as we believed necessary, of this offering and the reasons why we believe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according to its procedures or suspend offering the applicable programs or suspend our activities in that state until we receive the required approval.</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6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620" w:type="dxa"/>
            <w:vAlign w:val="bottom"/>
          </w:tcPr>
          <w:p>
            <w:pPr>
              <w:jc w:val="right"/>
              <w:ind w:right="95"/>
              <w:spacing w:after="0"/>
              <w:rPr>
                <w:sz w:val="20"/>
                <w:szCs w:val="20"/>
                <w:color w:val="auto"/>
              </w:rPr>
            </w:pPr>
            <w:r>
              <w:rPr>
                <w:rFonts w:ascii="Arial" w:cs="Arial" w:eastAsia="Arial" w:hAnsi="Arial"/>
                <w:sz w:val="10"/>
                <w:szCs w:val="10"/>
                <w:b w:val="1"/>
                <w:bCs w:val="1"/>
                <w:color w:val="auto"/>
              </w:rPr>
              <w:t>Age</w:t>
            </w:r>
          </w:p>
        </w:tc>
        <w:tc>
          <w:tcPr>
            <w:tcW w:w="3720" w:type="dxa"/>
            <w:vAlign w:val="bottom"/>
          </w:tcPr>
          <w:p>
            <w:pPr>
              <w:ind w:left="1920"/>
              <w:spacing w:after="0"/>
              <w:rPr>
                <w:sz w:val="20"/>
                <w:szCs w:val="20"/>
                <w:color w:val="auto"/>
              </w:rPr>
            </w:pPr>
            <w:r>
              <w:rPr>
                <w:rFonts w:ascii="Arial" w:cs="Arial" w:eastAsia="Arial" w:hAnsi="Arial"/>
                <w:sz w:val="10"/>
                <w:szCs w:val="10"/>
                <w:b w:val="1"/>
                <w:bCs w:val="1"/>
                <w:color w:val="auto"/>
              </w:rPr>
              <w:t>Position</w:t>
            </w:r>
          </w:p>
        </w:tc>
      </w:tr>
      <w:tr>
        <w:trPr>
          <w:trHeight w:val="49"/>
        </w:trPr>
        <w:tc>
          <w:tcPr>
            <w:tcW w:w="3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Chairman</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Brian E. Mueller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55</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Executive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52</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3720" w:type="dxa"/>
            <w:vAlign w:val="bottom"/>
          </w:tcPr>
          <w:p>
            <w:pPr>
              <w:ind w:left="14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Daniel E. Bachus</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W. Stan Meyer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Timothy R. Fischer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Administrative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Michael S. Lacrosse</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53</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Information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Grand Canyon University President</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Chad N. Heath</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David J. Johnson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Director-Nominee</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-1329055</wp:posOffset>
            </wp:positionV>
            <wp:extent cx="1841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Brent D. Richardson </w:t>
      </w:r>
      <w:r>
        <w:rPr>
          <w:rFonts w:ascii="Arial" w:cs="Arial" w:eastAsia="Arial" w:hAnsi="Arial"/>
          <w:sz w:val="11"/>
          <w:szCs w:val="11"/>
          <w:color w:val="auto"/>
        </w:rPr>
        <w:t>has been serving as our Executive Chairman since July 1, 2008. Mr. Richardson previously served as our Chief Executive Officer from 2004 to July 2008.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Richardson earned his Bachelor of Science degree in Finance from Eastern Illinois University. Brent Richardson and Chris Richardson are brothers.</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Brian E. Mueller </w:t>
      </w:r>
      <w:r>
        <w:rPr>
          <w:rFonts w:ascii="Arial" w:cs="Arial" w:eastAsia="Arial" w:hAnsi="Arial"/>
          <w:sz w:val="13"/>
          <w:szCs w:val="13"/>
          <w:color w:val="auto"/>
        </w:rPr>
        <w:t>has been serving as our Chief Executive Officer since July 1, 2008. From 1987 to 2008, Mr. Mueller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University, and Juris Doctor from the University of Arizona College of Law, where he graduated summa cum laude. Brent Richardson and Chris Richardson are brothers.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Daniel E. Bachus </w:t>
      </w:r>
      <w:r>
        <w:rPr>
          <w:rFonts w:ascii="Arial" w:cs="Arial" w:eastAsia="Arial" w:hAnsi="Arial"/>
          <w:sz w:val="13"/>
          <w:szCs w:val="13"/>
          <w:color w:val="auto"/>
        </w:rPr>
        <w:t>has been serving as our Chief Financial Officer since July 1, 2008. From January 2007 until June 2008, Mr. Bachus served as chief financial officer for Loreto Bay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 Stan Meyer </w:t>
      </w:r>
      <w:r>
        <w:rPr>
          <w:rFonts w:ascii="Arial" w:cs="Arial" w:eastAsia="Arial" w:hAnsi="Arial"/>
          <w:sz w:val="13"/>
          <w:szCs w:val="13"/>
          <w:color w:val="auto"/>
        </w:rPr>
        <w:t>has been serving as our Executive Vice President since July 1, 2008. From August 2002 to June 2008, Mr. Meyer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Timothy R. Fischer </w:t>
      </w:r>
      <w:r>
        <w:rPr>
          <w:rFonts w:ascii="Arial" w:cs="Arial" w:eastAsia="Arial" w:hAnsi="Arial"/>
          <w:sz w:val="13"/>
          <w:szCs w:val="13"/>
          <w:color w:val="auto"/>
        </w:rPr>
        <w:t>has been serving as our Chief Administrative Officer since July 1, 2008. Mr. Fischer previously served as our Chief Financial Officer from 2005 until July 2008.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Grand Canyon University President since July 31, 2008. From 2007 to July 2008 she served as our Provost and Chief Academic Officer. From</w:t>
      </w:r>
      <w:r>
        <w:rPr>
          <w:rFonts w:ascii="Arial" w:cs="Arial" w:eastAsia="Arial" w:hAnsi="Arial"/>
          <w:sz w:val="13"/>
          <w:szCs w:val="13"/>
          <w:i w:val="1"/>
          <w:iCs w:val="1"/>
          <w:color w:val="auto"/>
        </w:rPr>
        <w:t xml:space="preserve"> </w:t>
      </w:r>
      <w:r>
        <w:rPr>
          <w:rFonts w:ascii="Arial" w:cs="Arial" w:eastAsia="Arial" w:hAnsi="Arial"/>
          <w:sz w:val="13"/>
          <w:szCs w:val="13"/>
          <w:color w:val="auto"/>
        </w:rPr>
        <w:t>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 Mark Dorman </w:t>
      </w:r>
      <w:r>
        <w:rPr>
          <w:rFonts w:ascii="Arial" w:cs="Arial" w:eastAsia="Arial" w:hAnsi="Arial"/>
          <w:sz w:val="13"/>
          <w:szCs w:val="13"/>
          <w:color w:val="auto"/>
        </w:rPr>
        <w:t>has been serving as a director of Grand Canyon University since 2005. Mr. Dorman is a managing director of Endeavour Capital. Prior to joining Endeavour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David J. Johnson </w:t>
      </w:r>
      <w:r>
        <w:rPr>
          <w:rFonts w:ascii="Arial" w:cs="Arial" w:eastAsia="Arial" w:hAnsi="Arial"/>
          <w:sz w:val="13"/>
          <w:szCs w:val="13"/>
          <w:color w:val="auto"/>
        </w:rPr>
        <w:t>has been nominated and has agreed to serve as a member of our board of directors effective upon the closing of the offering. From 1997 to 2006, Mr. Johnson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3"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Annual Report on Form 10-K, one of these cases, a derivative action, has been settled.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has been appealed. Mr. Bachus also was originally named as a defendant in a related, ongoing derivative action, but was not named in the current, amended complaint in that action.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director does not have a relationship which, in the opinion of our board of directors, would interfere with the exercise of independent judgment by the director in carrying out the responsibilities of a director.</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w:t>
      </w:r>
    </w:p>
    <w:p>
      <w:pPr>
        <w:spacing w:after="0" w:line="1" w:lineRule="exact"/>
        <w:rPr>
          <w:sz w:val="20"/>
          <w:szCs w:val="20"/>
          <w:color w:val="auto"/>
        </w:rPr>
      </w:pPr>
    </w:p>
    <w:p>
      <w:pPr>
        <w:ind w:left="680" w:right="240"/>
        <w:spacing w:after="0" w:line="307" w:lineRule="auto"/>
        <w:rPr>
          <w:sz w:val="20"/>
          <w:szCs w:val="20"/>
          <w:color w:val="auto"/>
        </w:rPr>
      </w:pPr>
      <w:r>
        <w:rPr>
          <w:rFonts w:ascii="Arial" w:cs="Arial" w:eastAsia="Arial" w:hAnsi="Arial"/>
          <w:sz w:val="12"/>
          <w:szCs w:val="12"/>
          <w:color w:val="auto"/>
        </w:rPr>
        <w:t>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each annual meeting, our stockholders elect our full board of directors. Directors may be removed at any time for cause by the affirmative vote of the holders of a majority of the voting power then entitled to vote.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consist of Messrs. Henry (chair) and Johnson, each of whom will be “independent,” as defined under and required by the rules of Nasdaq</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of Messrs. Johnson (chair), Heath, and Dorman, each of whom is or will be “independent,” as defined under and</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of Messrs. Heath (chair) and Dorman, each of whom is “independent,” as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following discussion and analysis should be read in conjunction with “Compensation of Named Executive Officers” and the related tables that follow.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Timothy R. Fischer, currently our Chief Administrative Officer and formerly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For example, base salaries for each of Brent Richardson, John Crowley, and Chris Richardson were increased from $250,000 in fiscal 2006 to $292,019 in fiscal 2007 as a result of the growth in our net revenue and Adjusted EBITDA for 2006, which was driven, in part, by the leadership and execution of our strategy by these named executive officers. We also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bonuses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Elements of Post-Termination Compensation and Benefits. </w:t>
      </w:r>
      <w:r>
        <w:rPr>
          <w:rFonts w:ascii="Arial" w:cs="Arial" w:eastAsia="Arial" w:hAnsi="Arial"/>
          <w:sz w:val="12"/>
          <w:szCs w:val="12"/>
          <w:color w:val="auto"/>
        </w:rPr>
        <w:t>We are a party to written agreements that provide certain of our named executive officers with post-termination salary and</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2007 consisted of the following:</w:t>
      </w:r>
    </w:p>
    <w:p>
      <w:pPr>
        <w:spacing w:after="0" w:line="53" w:lineRule="exact"/>
        <w:rPr>
          <w:sz w:val="20"/>
          <w:szCs w:val="20"/>
          <w:color w:val="auto"/>
        </w:rPr>
      </w:pPr>
    </w:p>
    <w:p>
      <w:pPr>
        <w:ind w:left="1680" w:hanging="187"/>
        <w:spacing w:after="0" w:line="276"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Salary continuation. </w:t>
      </w:r>
      <w:r>
        <w:rPr>
          <w:rFonts w:ascii="Arial" w:cs="Arial" w:eastAsia="Arial" w:hAnsi="Arial"/>
          <w:sz w:val="12"/>
          <w:szCs w:val="12"/>
          <w:color w:val="auto"/>
        </w:rPr>
        <w:t>Each of Brent Richardson, John Crowley, and Chris Richardson had a written employment agreement under which he would receive continuing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salary 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w:t>
      </w:r>
    </w:p>
    <w:p>
      <w:pPr>
        <w:spacing w:after="0" w:line="1"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3"/>
          <w:szCs w:val="13"/>
          <w:color w:val="auto"/>
        </w:rPr>
        <w:t>12 months if we seek to extend their post-termination non-compete and related covenants.</w:t>
      </w:r>
    </w:p>
    <w:p>
      <w:pPr>
        <w:spacing w:after="0" w:line="88" w:lineRule="exact"/>
        <w:rPr>
          <w:rFonts w:ascii="Arial" w:cs="Arial" w:eastAsia="Arial" w:hAnsi="Arial"/>
          <w:sz w:val="12"/>
          <w:szCs w:val="12"/>
          <w:color w:val="auto"/>
        </w:rPr>
      </w:pPr>
    </w:p>
    <w:p>
      <w:pPr>
        <w:ind w:left="1680" w:right="120" w:hanging="187"/>
        <w:spacing w:after="0" w:line="276"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Company performance. </w:t>
      </w:r>
      <w:r>
        <w:rPr>
          <w:rFonts w:ascii="Arial" w:cs="Arial" w:eastAsia="Arial" w:hAnsi="Arial"/>
          <w:sz w:val="12"/>
          <w:szCs w:val="12"/>
          <w:color w:val="auto"/>
        </w:rPr>
        <w:t>In reviewing our performance, we focus principally on the achievement of net revenue and Adjusted EBITDA levels, and on maintaining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Equity Plans. </w:t>
      </w:r>
      <w:r>
        <w:rPr>
          <w:rFonts w:ascii="Arial" w:cs="Arial" w:eastAsia="Arial" w:hAnsi="Arial"/>
          <w:sz w:val="13"/>
          <w:szCs w:val="13"/>
          <w:color w:val="auto"/>
        </w:rPr>
        <w:t>As discussed above, we have historically relied upon base salaries and cash bonuses to attract, motivate and retain our named executive officers. We have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have authorized and reserved a total of 4,199,937 shares of our common stock for issuance under the Incentive Plan. This reserve automatically increases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conjunction with adoption of the Incentive Plan, our board of directors has approved a comprehensive policy relating to the granting of stock options and other equity-based awards. Under this policy:</w:t>
      </w:r>
    </w:p>
    <w:p>
      <w:pPr>
        <w:spacing w:after="0" w:line="59" w:lineRule="exact"/>
        <w:rPr>
          <w:sz w:val="20"/>
          <w:szCs w:val="20"/>
          <w:color w:val="auto"/>
        </w:rPr>
      </w:pPr>
    </w:p>
    <w:p>
      <w:pPr>
        <w:ind w:left="1680" w:hanging="187"/>
        <w:spacing w:after="0" w:line="276" w:lineRule="auto"/>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80" w:right="160" w:firstLine="395"/>
        <w:spacing w:after="0" w:line="276" w:lineRule="auto"/>
        <w:rPr>
          <w:sz w:val="20"/>
          <w:szCs w:val="20"/>
          <w:color w:val="auto"/>
        </w:rPr>
      </w:pPr>
      <w:r>
        <w:rPr>
          <w:rFonts w:ascii="Arial" w:cs="Arial" w:eastAsia="Arial" w:hAnsi="Arial"/>
          <w:sz w:val="13"/>
          <w:szCs w:val="13"/>
          <w:color w:val="auto"/>
        </w:rPr>
        <w:t>In connection with the initial public offering, we plan to issue 731,102 fully vested and 2,585,784 unvested stock options with an exercise price equal to the initial public offering price to employees and a director under this Incentive Plan.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1"/>
          <w:szCs w:val="11"/>
          <w:color w:val="auto"/>
        </w:rPr>
        <w:t>We have authorized and reserved a total of 1,049,984 shares of our common stock for sale under the ESPP. In addition, the ESPP provides for an automatic annual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w:t>
      </w:r>
    </w:p>
    <w:p>
      <w:pPr>
        <w:spacing w:after="0" w:line="1" w:lineRule="exact"/>
        <w:rPr>
          <w:sz w:val="20"/>
          <w:szCs w:val="20"/>
          <w:color w:val="auto"/>
        </w:rPr>
      </w:pPr>
    </w:p>
    <w:p>
      <w:pPr>
        <w:ind w:left="680" w:right="60" w:firstLine="7"/>
        <w:spacing w:after="0" w:line="281" w:lineRule="auto"/>
        <w:tabs>
          <w:tab w:leader="none" w:pos="836"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6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Executive Employment Agreements. </w:t>
      </w:r>
      <w:r>
        <w:rPr>
          <w:rFonts w:ascii="Arial" w:cs="Arial" w:eastAsia="Arial" w:hAnsi="Arial"/>
          <w:sz w:val="13"/>
          <w:szCs w:val="13"/>
          <w:color w:val="auto"/>
        </w:rPr>
        <w:t>Effective July 1, 2008, we entered into employment agreements with Brian E. Mueller, Daniel E. Bachus, and W. Stan Meyer that govern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their service as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70"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The agreements with each of Brent Richardson and Chris Richardson provide for a base salary of $297,500, subject to annual review by the Compensation Committee, and entitle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39"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The agreement with Mr. Mueller provides for a base salary of $500,000 per year, subject to annual review by the Compensation Committee,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 to the completion of this offering, Mr. Mueller is also entitled to receive (i) a grant of an option to purchase approximately 1.1 million shares of our common stock, which will vest ratably, on an annual basis, over a five-year period, and (ii) a grant of 108,899 shares of our common stock which shares shall be fully vested on the grant date. The shares subject to the foregoing grants will have a grant or exercise price equal to the initial public offering price.</w:t>
      </w:r>
    </w:p>
    <w:p>
      <w:pPr>
        <w:spacing w:after="0" w:line="4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agreement with Mr. Bachus provides for a base salary of $275,000 per year, subject to annual review by the Compensation Committee,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Bachus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agreement with Mr. Meyer provides for a base salary of $300,000 per year, subject to annual review by the Compensation Committee,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Meyer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number of shares actually issued or granted to Messrs. Mueller, Meyer, and Bachus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numbers above, we have assumed an initial public offering price of $13.00 per share, which is the midpoint of the range set forth on the cover page of this prospectus.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Each agreement entitles the executive to receive customary and usual fringe benefits generally available to our senior management, and to be reimbursed for reasonable out-of-pocket business expenses.</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agreements prohibit the executives from engaging in any work that creates an actual conflict of interest with us, and include customary non-competition and non-solicitation covenants that prohibit the executives, during their employment with us and for 12 months thereafter, from (i) owning (except ownership</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58"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Named Executive Officer Salary Adjustments. </w:t>
      </w:r>
      <w:r>
        <w:rPr>
          <w:rFonts w:ascii="Arial" w:cs="Arial" w:eastAsia="Arial" w:hAnsi="Arial"/>
          <w:sz w:val="13"/>
          <w:szCs w:val="13"/>
          <w:color w:val="auto"/>
        </w:rPr>
        <w:t>Effective January 1, 2008, the base salary of each of Brent Richardson, John Crowley, and Chris Richardson was increased by $5,000</w:t>
      </w:r>
      <w:r>
        <w:rPr>
          <w:rFonts w:ascii="Arial" w:cs="Arial" w:eastAsia="Arial" w:hAnsi="Arial"/>
          <w:sz w:val="13"/>
          <w:szCs w:val="13"/>
          <w:i w:val="1"/>
          <w:iCs w:val="1"/>
          <w:color w:val="auto"/>
        </w:rPr>
        <w:t xml:space="preserve"> </w:t>
      </w:r>
      <w:r>
        <w:rPr>
          <w:rFonts w:ascii="Arial" w:cs="Arial" w:eastAsia="Arial" w:hAnsi="Arial"/>
          <w:sz w:val="13"/>
          <w:szCs w:val="13"/>
          <w:color w:val="auto"/>
        </w:rPr>
        <w:t>per year to $297,500.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than as described above, there have been no other material changes to items of compensation applicable to our named executive officers or directors for fiscal 2008.</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r>
              <w:rPr>
                <w:rFonts w:ascii="Arial" w:cs="Arial" w:eastAsia="Arial" w:hAnsi="Arial"/>
                <w:sz w:val="11"/>
                <w:szCs w:val="11"/>
                <w:color w:val="auto"/>
              </w:rPr>
              <w:t>(4)</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Administrative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276" w:lineRule="auto"/>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Fischer was appointed our Chief Administrative Officer effective July 1, 2008. During 2007, he served as our Chief Financial Officer.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Agreement with John E. Crowley. </w:t>
      </w:r>
      <w:r>
        <w:rPr>
          <w:rFonts w:ascii="Arial" w:cs="Arial" w:eastAsia="Arial" w:hAnsi="Arial"/>
          <w:sz w:val="12"/>
          <w:szCs w:val="12"/>
          <w:color w:val="auto"/>
        </w:rPr>
        <w:t>Effective August 24, 2005, we and John Crowley entered into an employment agreement. The agreement remains in effect until Mr. Crowley’s</w:t>
      </w:r>
      <w:r>
        <w:rPr>
          <w:rFonts w:ascii="Arial" w:cs="Arial" w:eastAsia="Arial" w:hAnsi="Arial"/>
          <w:sz w:val="12"/>
          <w:szCs w:val="12"/>
          <w:i w:val="1"/>
          <w:iCs w:val="1"/>
          <w:color w:val="auto"/>
        </w:rPr>
        <w:t xml:space="preserve"> </w:t>
      </w:r>
      <w:r>
        <w:rPr>
          <w:rFonts w:ascii="Arial" w:cs="Arial" w:eastAsia="Arial" w:hAnsi="Arial"/>
          <w:sz w:val="12"/>
          <w:szCs w:val="12"/>
          <w:color w:val="auto"/>
        </w:rPr>
        <w:t>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i w:val="1"/>
          <w:iCs w:val="1"/>
          <w:color w:val="auto"/>
        </w:rPr>
        <w:t xml:space="preserve">Severance and Change of Control Payments. </w:t>
      </w:r>
      <w:r>
        <w:rPr>
          <w:rFonts w:ascii="Arial" w:cs="Arial" w:eastAsia="Arial" w:hAnsi="Arial"/>
          <w:sz w:val="12"/>
          <w:szCs w:val="12"/>
          <w:color w:val="auto"/>
        </w:rPr>
        <w:t>The employment agreements with Brent Richardson, John Crowley, and Chris Richardson entitle them to certain severance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323" w:lineRule="auto"/>
        <w:tabs>
          <w:tab w:leader="none" w:pos="10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ind w:left="1000" w:right="40" w:hanging="259"/>
        <w:spacing w:after="0" w:line="277" w:lineRule="auto"/>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w:t>
      </w:r>
    </w:p>
    <w:p>
      <w:pPr>
        <w:spacing w:after="0" w:line="1"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(c) the executive’s engaging in conduct that constitutes cause for separation under applicable law, and (d) the executive’s breaching the confidentiality, non-competition,</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non-solicitation, and non-disparagement covenants applicable to him.</w:t>
      </w:r>
    </w:p>
    <w:p>
      <w:pPr>
        <w:spacing w:after="0" w:line="40" w:lineRule="exact"/>
        <w:rPr>
          <w:sz w:val="20"/>
          <w:szCs w:val="20"/>
          <w:color w:val="auto"/>
        </w:rPr>
      </w:pPr>
    </w:p>
    <w:p>
      <w:pPr>
        <w:ind w:left="1000" w:right="100" w:hanging="259"/>
        <w:spacing w:after="0" w:line="264" w:lineRule="auto"/>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upon the completion of this offering, we intend to pay our non-employee directors an annual cash retainer of $30,000 for their board service and a per meeting fee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for each meeting of the board attended. We also intend to pay the members of our audit, compensation, and nominating and corporate governance committees an additional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cash retainer of $5,000, with the chair of the audit committee receiving an additional annual cash retainer of $5,000, and the chairs of the other committees each receiving an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cash retainer of $2,500. In addition, non-employee directors will be eligible to receive awards under our Incentive Plan valued at $35,000 per year. We will reimburse all directors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reasonable expenses incurred to attend our board and board committee meetings.</w:t>
      </w:r>
    </w:p>
    <w:p>
      <w:pPr>
        <w:spacing w:after="0" w:line="89"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Effective upon completion of this offering, we anticipate that we will appoint David J. Johnson, one of our director-nominees, as our lead independent director. For such services, Mr. Johnson would receive (i) a grant of an option to purchase approximately 0.1 million shares of our common stock, which will vest ratably, on an annual basis, over a three-year period, and (ii) in addition to the other items of compensation specified herein, an annual retainer of $33,333, payable in quarterly installments. The number of shares actually issued or granted to Mr. Johnson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 above, we have assumed an initial public offering price of $13.00 per share, which is the midpoint of the range set forth on the cover page of this prospectus.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have adopted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44.6% of our outstanding shares of capital stock. See “Beneficial Ownership of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Series A Convertible Preferred Stock Issuance. </w:t>
      </w:r>
      <w:r>
        <w:rPr>
          <w:rFonts w:ascii="Arial" w:cs="Arial" w:eastAsia="Arial" w:hAnsi="Arial"/>
          <w:sz w:val="11"/>
          <w:szCs w:val="11"/>
          <w:color w:val="auto"/>
        </w:rPr>
        <w:t>On March 31, 2005, we sold $14.0 million aggregate principal amount of notes to the Endeavour Entities. On August 24, 2005, we</w:t>
      </w:r>
      <w:r>
        <w:rPr>
          <w:rFonts w:ascii="Arial" w:cs="Arial" w:eastAsia="Arial" w:hAnsi="Arial"/>
          <w:sz w:val="11"/>
          <w:szCs w:val="11"/>
          <w:i w:val="1"/>
          <w:iCs w:val="1"/>
          <w:color w:val="auto"/>
        </w:rPr>
        <w:t xml:space="preserve"> </w:t>
      </w:r>
      <w:r>
        <w:rPr>
          <w:rFonts w:ascii="Arial" w:cs="Arial" w:eastAsia="Arial" w:hAnsi="Arial"/>
          <w:sz w:val="11"/>
          <w:szCs w:val="11"/>
          <w:color w:val="auto"/>
        </w:rPr>
        <w:t>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w:t>
      </w:r>
    </w:p>
    <w:p>
      <w:pPr>
        <w:spacing w:after="0" w:line="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Chad N. Heath, two of our directors, are managing directors. Mr. Charles M. Preston III, one of our former directors, is an affiliate of 220 Management, LLC, which is the general partner of 220 GCU GP, L.P., the general partner of 220 GCU, L.P.</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61"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$13.00 per share, which is the midpoint of the price range set forth on the cover page of this prospectus, we estimate that the amount of the special distribution will be $102.4 million, or $3.10 per common share on an as-if converted basis (exclusive of any amounts that may be received from the underwriters’ exercise of the over-allotment option).</w:t>
      </w:r>
    </w:p>
    <w:p>
      <w:pPr>
        <w:spacing w:after="0" w:line="2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Each $1.00 increase or decrease in the assumed public offering price of $13.00 per share would increase or decrease, as applicable, the aggregate amount of the special distribution by $7.9 million and the per share amount of the special distribution by $0.24, assuming the number of shares offered by us, as set forth on the cover page of this prospectus, remains the same. Similarly, any increase or decrease in the number of shares that we sell in the offering will increase or decrease the special distribution in proportion to such increase or decrease, as applicable, multiplied by the offering price per share.</w:t>
      </w:r>
    </w:p>
    <w:p>
      <w:pPr>
        <w:spacing w:after="0" w:line="3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Of the estimated aggregate amount of the special distribution, $54.3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7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2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5"/>
              </w:rPr>
              <w:t>Special Distribution</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tcPr>
          <w:p>
            <w:pPr>
              <w:ind w:left="980"/>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2,793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3,250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9,563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10,773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2,377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11,218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Significant Ventures, LLC</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7,778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5,863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2,793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900" w:type="dxa"/>
            <w:vAlign w:val="bottom"/>
            <w:gridSpan w:val="2"/>
          </w:tcPr>
          <w:p>
            <w:pPr>
              <w:jc w:val="right"/>
              <w:ind w:right="1458"/>
              <w:spacing w:after="0"/>
              <w:rPr>
                <w:sz w:val="20"/>
                <w:szCs w:val="20"/>
                <w:color w:val="auto"/>
              </w:rPr>
            </w:pPr>
            <w:r>
              <w:rPr>
                <w:rFonts w:ascii="Arial" w:cs="Arial" w:eastAsia="Arial" w:hAnsi="Arial"/>
                <w:sz w:val="13"/>
                <w:szCs w:val="13"/>
                <w:color w:val="auto"/>
              </w:rPr>
              <w:t>118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right"/>
        <w:ind w:right="302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280" w:type="dxa"/>
            <w:vAlign w:val="bottom"/>
          </w:tcPr>
          <w:p>
            <w:pPr>
              <w:spacing w:after="0"/>
              <w:rPr>
                <w:sz w:val="10"/>
                <w:szCs w:val="1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Original Acquisition</w:t>
            </w:r>
          </w:p>
        </w:tc>
        <w:tc>
          <w:tcPr>
            <w:tcW w:w="8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280" w:type="dxa"/>
            <w:vAlign w:val="bottom"/>
          </w:tcPr>
          <w:p>
            <w:pPr>
              <w:spacing w:after="0"/>
              <w:rPr>
                <w:sz w:val="10"/>
                <w:szCs w:val="1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Special Distribution</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2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Relates</w:t>
            </w:r>
            <w:r>
              <w:rPr>
                <w:rFonts w:ascii="Arial" w:cs="Arial" w:eastAsia="Arial" w:hAnsi="Arial"/>
                <w:sz w:val="8"/>
                <w:szCs w:val="8"/>
                <w:b w:val="1"/>
                <w:bCs w:val="1"/>
                <w:color w:val="auto"/>
                <w:w w:val="92"/>
              </w:rPr>
              <w:t>(1)</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Distribution</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2"/>
          </w:tcPr>
          <w:p>
            <w:pPr>
              <w:ind w:left="1180"/>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880" w:space="720"/>
            <w:col w:w="506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3740" w:type="dxa"/>
            <w:vAlign w:val="bottom"/>
            <w:gridSpan w:val="2"/>
          </w:tcPr>
          <w:p>
            <w:pPr>
              <w:jc w:val="center"/>
              <w:spacing w:after="0"/>
              <w:rPr>
                <w:sz w:val="20"/>
                <w:szCs w:val="20"/>
                <w:color w:val="auto"/>
              </w:rPr>
            </w:pPr>
            <w:r>
              <w:rPr>
                <w:rFonts w:ascii="Arial" w:cs="Arial" w:eastAsia="Arial" w:hAnsi="Arial"/>
                <w:sz w:val="13"/>
                <w:szCs w:val="13"/>
                <w:color w:val="auto"/>
                <w:w w:val="92"/>
              </w:rPr>
              <w:t>August 24, 2005</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16,000</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27,979</w:t>
            </w: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shd w:val="clear" w:color="auto" w:fill="CCEEFF"/>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5,863</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2,793</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21,863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30,772</w:t>
            </w: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10,773</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11,218</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(6)</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57"/>
        </w:trPr>
        <w:tc>
          <w:tcPr>
            <w:tcW w:w="386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3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740" w:type="dxa"/>
            <w:vAlign w:val="bottom"/>
            <w:gridSpan w:val="2"/>
            <w:shd w:val="clear" w:color="auto" w:fill="CCEEFF"/>
          </w:tcPr>
          <w:p>
            <w:pPr>
              <w:jc w:val="center"/>
              <w:ind w:left="14"/>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10,780</w:t>
            </w:r>
          </w:p>
        </w:tc>
        <w:tc>
          <w:tcPr>
            <w:tcW w:w="0" w:type="dxa"/>
            <w:vAlign w:val="bottom"/>
          </w:tcPr>
          <w:p>
            <w:pPr>
              <w:spacing w:after="0"/>
              <w:rPr>
                <w:sz w:val="1"/>
                <w:szCs w:val="1"/>
                <w:color w:val="auto"/>
              </w:rPr>
            </w:pPr>
          </w:p>
        </w:tc>
      </w:tr>
      <w:tr>
        <w:trPr>
          <w:trHeight w:val="157"/>
        </w:trPr>
        <w:tc>
          <w:tcPr>
            <w:tcW w:w="38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3040" w:type="dxa"/>
            <w:vAlign w:val="bottom"/>
          </w:tcPr>
          <w:p>
            <w:pPr>
              <w:jc w:val="center"/>
              <w:ind w:left="694"/>
              <w:spacing w:after="0"/>
              <w:rPr>
                <w:sz w:val="20"/>
                <w:szCs w:val="20"/>
                <w:color w:val="auto"/>
              </w:rPr>
            </w:pPr>
            <w:r>
              <w:rPr>
                <w:rFonts w:ascii="Arial" w:cs="Arial" w:eastAsia="Arial" w:hAnsi="Arial"/>
                <w:sz w:val="13"/>
                <w:szCs w:val="13"/>
                <w:color w:val="auto"/>
                <w:w w:val="91"/>
              </w:rPr>
              <w:t>December 18, 2007</w:t>
            </w:r>
          </w:p>
        </w:tc>
        <w:tc>
          <w:tcPr>
            <w:tcW w:w="7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11,225</w:t>
            </w: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374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26,898</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54,316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64"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$13.00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56"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Executive Chairman, and Chris Richardson, our General Counsel and a director. Pursuant to this agreement, Mind Streams identifies qualified applicants for admission to Grand</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We previously were a party to an agreement with 21st Century Learning, which was owned by Gail Richardson, Brent Richardson, and Chris Richardson, providing for a similar revenue sharing arrangement. This agreement was terminated in 2005 when we entered into the agreement with Mind Streams. For the years ended December 31, 2005, 2006 and 2007, and for the nine months ended September 30, 2008, we expensed $2.8 million, $3.7 million, $4.3 million, and $4.3 million, respectively, to these parties pursuant to this arrangement for students enrolled and expenses reimbursed.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320" w:firstLine="399"/>
        <w:spacing w:after="0" w:line="334" w:lineRule="auto"/>
        <w:rPr>
          <w:sz w:val="20"/>
          <w:szCs w:val="20"/>
          <w:color w:val="auto"/>
        </w:rPr>
      </w:pPr>
      <w:r>
        <w:rPr>
          <w:rFonts w:ascii="Arial" w:cs="Arial" w:eastAsia="Arial" w:hAnsi="Arial"/>
          <w:sz w:val="11"/>
          <w:szCs w:val="11"/>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nine months ended September 30, 2008, we paid approximately $0.6 million and $0, respectively, of expenses incurred by The Center for Educational Excellence, LLC, of which $0.3 million and $0, respectively, were reimbursed to us.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and the nine months ended September 30, 2008, we paid to Youth in Motion, Inc. $0.2 million, $0.1 million, $0,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nine months ended September 30, 2008, we paid $0.1 million, $0.4 million, $0, and $0, respectively, to Significant Ventures for services rendered and expenses reimbursed pursuant to this arrangement.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nine months ended September 30, 2008, we paid $0.3 million, $0.3 million, $0, and $0, respectively, to 220 Partners, LLC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September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September 30, 2008:</w:t>
      </w:r>
    </w:p>
    <w:p>
      <w:pPr>
        <w:spacing w:after="0" w:line="96" w:lineRule="exact"/>
        <w:rPr>
          <w:sz w:val="20"/>
          <w:szCs w:val="20"/>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A convertible preferred stock are converted into 10,870,178 shares of common stock;</w:t>
      </w:r>
    </w:p>
    <w:p>
      <w:pPr>
        <w:spacing w:after="0" w:line="9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2,061,538 shares of common stock at an initial public offering price of $13.00 per share, which is the midpoint of the range set forth on the cover page of this prospectus;</w:t>
      </w:r>
    </w:p>
    <w:p>
      <w:pPr>
        <w:spacing w:after="0" w:line="66" w:lineRule="exact"/>
        <w:rPr>
          <w:rFonts w:ascii="Arial" w:cs="Arial" w:eastAsia="Arial" w:hAnsi="Arial"/>
          <w:sz w:val="13"/>
          <w:szCs w:val="13"/>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issue 10,500,000 shares of common stock in the offering;</w:t>
      </w:r>
    </w:p>
    <w:p>
      <w:pPr>
        <w:spacing w:after="0" w:line="9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grant 108,899 shares of fully vested restricted stock to Brian E. Mueller, and fully vested options to purchase 29,347 shares of our common stock to each of Timothy N. Fischer, Michael S. Lacrosse, and Kathy Player, immediately following the effectiveness of the offering; and</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Brent and Chris Richardson will be granted the right to vote an additional 12,436,358 shares of our common stock as a result of the voting agreement that will be effective upon the closing of this offering, as described in the notes below the table.</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4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2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5100" w:type="dxa"/>
            <w:vAlign w:val="bottom"/>
          </w:tcPr>
          <w:p>
            <w:pPr>
              <w:spacing w:after="0"/>
              <w:rPr>
                <w:sz w:val="9"/>
                <w:szCs w:val="9"/>
                <w:color w:val="auto"/>
              </w:rPr>
            </w:pPr>
          </w:p>
        </w:tc>
        <w:tc>
          <w:tcPr>
            <w:tcW w:w="174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98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w w:val="97"/>
              </w:rPr>
              <w:t>Owned After</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rPr>
              <w:t>Owned After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5100" w:type="dxa"/>
            <w:vAlign w:val="bottom"/>
          </w:tcPr>
          <w:p>
            <w:pPr>
              <w:spacing w:after="0"/>
              <w:rPr>
                <w:sz w:val="10"/>
                <w:szCs w:val="10"/>
                <w:color w:val="auto"/>
              </w:rPr>
            </w:pPr>
          </w:p>
        </w:tc>
        <w:tc>
          <w:tcPr>
            <w:tcW w:w="1040" w:type="dxa"/>
            <w:vAlign w:val="bottom"/>
            <w:gridSpan w:val="2"/>
          </w:tcPr>
          <w:p>
            <w:pPr>
              <w:jc w:val="center"/>
              <w:ind w:left="368"/>
              <w:spacing w:after="0"/>
              <w:rPr>
                <w:sz w:val="20"/>
                <w:szCs w:val="20"/>
                <w:color w:val="auto"/>
              </w:rPr>
            </w:pPr>
            <w:r>
              <w:rPr>
                <w:rFonts w:ascii="Arial" w:cs="Arial" w:eastAsia="Arial" w:hAnsi="Arial"/>
                <w:sz w:val="10"/>
                <w:szCs w:val="10"/>
                <w:b w:val="1"/>
                <w:bCs w:val="1"/>
                <w:color w:val="auto"/>
              </w:rPr>
              <w:t>Offering</w:t>
            </w:r>
            <w:r>
              <w:rPr>
                <w:rFonts w:ascii="Arial" w:cs="Arial" w:eastAsia="Arial" w:hAnsi="Arial"/>
                <w:sz w:val="8"/>
                <w:szCs w:val="8"/>
                <w:b w:val="1"/>
                <w:bCs w:val="1"/>
                <w:color w:val="auto"/>
              </w:rPr>
              <w:t>(1)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7"/>
              </w:rPr>
              <w:t>Offering</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r>
      <w:tr>
        <w:trPr>
          <w:trHeight w:val="98"/>
        </w:trPr>
        <w:tc>
          <w:tcPr>
            <w:tcW w:w="5100" w:type="dxa"/>
            <w:vAlign w:val="bottom"/>
          </w:tcPr>
          <w:p>
            <w:pPr>
              <w:spacing w:after="0"/>
              <w:rPr>
                <w:sz w:val="8"/>
                <w:szCs w:val="8"/>
                <w:color w:val="auto"/>
              </w:rPr>
            </w:pPr>
          </w:p>
        </w:tc>
        <w:tc>
          <w:tcPr>
            <w:tcW w:w="1040" w:type="dxa"/>
            <w:vAlign w:val="bottom"/>
            <w:tcBorders>
              <w:top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00" w:type="dxa"/>
            <w:vAlign w:val="bottom"/>
          </w:tcPr>
          <w:p>
            <w:pPr>
              <w:spacing w:after="0"/>
              <w:rPr>
                <w:sz w:val="8"/>
                <w:szCs w:val="8"/>
                <w:color w:val="auto"/>
              </w:rPr>
            </w:pPr>
          </w:p>
        </w:tc>
        <w:tc>
          <w:tcPr>
            <w:tcW w:w="98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Percent</w:t>
            </w:r>
          </w:p>
        </w:tc>
        <w:tc>
          <w:tcPr>
            <w:tcW w:w="280" w:type="dxa"/>
            <w:vAlign w:val="bottom"/>
          </w:tcPr>
          <w:p>
            <w:pPr>
              <w:spacing w:after="0"/>
              <w:rPr>
                <w:sz w:val="8"/>
                <w:szCs w:val="8"/>
                <w:color w:val="auto"/>
              </w:rPr>
            </w:pPr>
          </w:p>
        </w:tc>
        <w:tc>
          <w:tcPr>
            <w:tcW w:w="1000" w:type="dxa"/>
            <w:vAlign w:val="bottom"/>
            <w:tcBorders>
              <w:top w:val="single" w:sz="8" w:color="auto"/>
            </w:tcBorders>
            <w:gridSpan w:val="2"/>
          </w:tcPr>
          <w:p>
            <w:pPr>
              <w:ind w:left="20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r>
      <w:tr>
        <w:trPr>
          <w:trHeight w:val="29"/>
        </w:trPr>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b w:val="1"/>
                <w:bCs w:val="1"/>
                <w:color w:val="auto"/>
              </w:rPr>
              <w:t>Principal Stockholders:</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8"/>
                <w:szCs w:val="8"/>
                <w:color w:val="auto"/>
              </w:rPr>
              <w:t>(3)</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9,936,976</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30.1%</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22.8%</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22.0%</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8"/>
                <w:szCs w:val="8"/>
                <w:color w:val="auto"/>
              </w:rPr>
              <w:t>(4)</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7,094,737</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21.5%</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7,094,737</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16.3%</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7,094,737</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15.7%</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Staci L. Buse</w:t>
            </w:r>
            <w:r>
              <w:rPr>
                <w:rFonts w:ascii="Arial" w:cs="Arial" w:eastAsia="Arial" w:hAnsi="Arial"/>
                <w:sz w:val="8"/>
                <w:szCs w:val="8"/>
                <w:color w:val="auto"/>
              </w:rPr>
              <w:t>(5)</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3,491,193</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3,491,193</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3,491,193</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7.7%</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Significant Ventures, LLC</w:t>
            </w:r>
            <w:r>
              <w:rPr>
                <w:rFonts w:ascii="Arial" w:cs="Arial" w:eastAsia="Arial" w:hAnsi="Arial"/>
                <w:sz w:val="8"/>
                <w:szCs w:val="8"/>
                <w:color w:val="auto"/>
              </w:rPr>
              <w:t>(6)</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2,955,465</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2,955,465</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6.8%</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2,955,465</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6.5%</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Directors and Executive Officers:</w:t>
            </w: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Brent D. Richardson</w:t>
            </w:r>
            <w:r>
              <w:rPr>
                <w:rFonts w:ascii="Arial" w:cs="Arial" w:eastAsia="Arial" w:hAnsi="Arial"/>
                <w:sz w:val="8"/>
                <w:szCs w:val="8"/>
                <w:color w:val="auto"/>
              </w:rPr>
              <w:t>(7)(10)</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3,491,193</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19,419,609</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44.5%</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19,419,609</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42.9%</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Brian E. Mueller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108,899</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108,899</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John E. Crowley</w:t>
            </w:r>
            <w:r>
              <w:rPr>
                <w:rFonts w:ascii="Arial" w:cs="Arial" w:eastAsia="Arial" w:hAnsi="Arial"/>
                <w:sz w:val="8"/>
                <w:szCs w:val="8"/>
                <w:color w:val="auto"/>
              </w:rPr>
              <w:t>(8)</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400,402</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400,402</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400,402</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8"/>
                <w:szCs w:val="8"/>
                <w:color w:val="auto"/>
              </w:rPr>
              <w:t>(9)(10)</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3,492,058</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19,419,609</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19,419,609</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42.9%</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Daniel E. Bachus</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 Stan Meyer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Timothy N. Fischer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Michael S. Lacrosse</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Kathy Player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29,347</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Chad N. Heath</w:t>
            </w:r>
            <w:r>
              <w:rPr>
                <w:rFonts w:ascii="Arial" w:cs="Arial" w:eastAsia="Arial" w:hAnsi="Arial"/>
                <w:sz w:val="8"/>
                <w:szCs w:val="8"/>
                <w:color w:val="auto"/>
              </w:rPr>
              <w:t>(11)</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9,936,976</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30.1%</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22.8%</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22.0%</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 Mark Dorman</w:t>
            </w:r>
            <w:r>
              <w:rPr>
                <w:rFonts w:ascii="Arial" w:cs="Arial" w:eastAsia="Arial" w:hAnsi="Arial"/>
                <w:sz w:val="8"/>
                <w:szCs w:val="8"/>
                <w:color w:val="auto"/>
              </w:rPr>
              <w:t>(11)</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9,936,976</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30.1%</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9,936,976</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22.0%</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David J. Johnson</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Jack A. Henry</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All directors, director-nominees, and executive officers as a group (12 persons)</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17,320,629</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52.4%</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29,553,525</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29,553,525</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0"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60" w:hanging="191"/>
        <w:spacing w:after="0" w:line="276" w:lineRule="auto"/>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7,692,938 shares of common stock issuable upon the conversion of shares of Series A convertible preferred stock and approximately 767,895 shares of common stock issuable upon the conversion of shares of Series C preferred stock, in each case held of record by Endeavour Capital Fund IV, L.P.;</w:t>
      </w:r>
    </w:p>
    <w:p>
      <w:pPr>
        <w:spacing w:after="0" w:line="19" w:lineRule="exact"/>
        <w:rPr>
          <w:rFonts w:ascii="Arial" w:cs="Arial" w:eastAsia="Arial" w:hAnsi="Arial"/>
          <w:sz w:val="13"/>
          <w:szCs w:val="13"/>
          <w:color w:val="auto"/>
        </w:rPr>
      </w:pP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471,108 shares of common stock issuable upon the conversion of shares of Series A convertible preferred stock and approximately 47,083 shares of common stock issuable upon the conversion of shares of Series C preferred stock, in each case held of record by Endeavour Associates Fund IV, L.P.; and</w:t>
      </w: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871,002 shares of common stock issuable upon the conversion of shares of Series A convertible preferred stock and approximately 86,951 shares of common stock issuable upon the conversion of shares of Series C preferred stock, in each case held of record by Endeavour Capital Parallel Fund IV, L.P.</w:t>
      </w:r>
    </w:p>
    <w:p>
      <w:pPr>
        <w:ind w:left="1600" w:right="8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Consists of</w:t>
      </w:r>
    </w:p>
    <w:p>
      <w:pPr>
        <w:spacing w:after="0" w:line="57" w:lineRule="exact"/>
        <w:rPr>
          <w:sz w:val="20"/>
          <w:szCs w:val="20"/>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1,835,130 shares of common stock issuable upon the conversion of shares of Series A convertible preferred stock and approximately 183,190 shares of common stock issuable upon the conversion of shares of Series C preferred stock, in each case held of record by 220 GCU,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1,297,172 shares of common stock and approximately 87,295 shares of common stock issuable upon the conversion of shares of Series C preferred stock, in each case held of record by 220 Education,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1,037,752 shares of common stock and approximately 69,838 shares of common stock issuable upon the conversion of shares of Series C preferred stock, in each case held of record by 220-SigEd, L.P.; and</w:t>
      </w:r>
    </w:p>
    <w:p>
      <w:pPr>
        <w:spacing w:after="0" w:line="19" w:lineRule="exact"/>
        <w:rPr>
          <w:rFonts w:ascii="Arial" w:cs="Arial" w:eastAsia="Arial" w:hAnsi="Arial"/>
          <w:sz w:val="13"/>
          <w:szCs w:val="13"/>
          <w:color w:val="auto"/>
        </w:rPr>
      </w:pPr>
    </w:p>
    <w:p>
      <w:pPr>
        <w:ind w:left="1880" w:right="24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2,421,404 shares of common stock and approximately 162,955 shares of common stock issuable upon the conversion of shares of Series C preferred stock, in each case held of record by SV One, L.P.</w:t>
      </w:r>
    </w:p>
    <w:p>
      <w:pPr>
        <w:spacing w:after="0" w:line="20" w:lineRule="exact"/>
        <w:rPr>
          <w:sz w:val="20"/>
          <w:szCs w:val="20"/>
          <w:color w:val="auto"/>
        </w:rPr>
      </w:pPr>
    </w:p>
    <w:p>
      <w:pPr>
        <w:ind w:left="1600" w:right="60"/>
        <w:spacing w:after="0" w:line="280" w:lineRule="auto"/>
        <w:rPr>
          <w:sz w:val="20"/>
          <w:szCs w:val="20"/>
          <w:color w:val="auto"/>
        </w:rPr>
      </w:pPr>
      <w:r>
        <w:rPr>
          <w:rFonts w:ascii="Arial" w:cs="Arial" w:eastAsia="Arial" w:hAnsi="Arial"/>
          <w:sz w:val="12"/>
          <w:szCs w:val="12"/>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19" w:lineRule="exact"/>
        <w:rPr>
          <w:sz w:val="20"/>
          <w:szCs w:val="20"/>
          <w:color w:val="auto"/>
        </w:rPr>
      </w:pPr>
    </w:p>
    <w:p>
      <w:pPr>
        <w:ind w:left="1000" w:right="4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3,347,452 shares of common stock held of record by Rich Crow Enterprises, LLC and Masters Online, LLC and 143,741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31"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2,767,321 shares of common stock and approximately 188,144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31" w:lineRule="exact"/>
        <w:rPr>
          <w:rFonts w:ascii="Arial" w:cs="Arial" w:eastAsia="Arial" w:hAnsi="Arial"/>
          <w:sz w:val="13"/>
          <w:szCs w:val="13"/>
          <w:color w:val="auto"/>
        </w:rPr>
      </w:pPr>
    </w:p>
    <w:p>
      <w:pPr>
        <w:ind w:left="1000" w:right="22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Prior to this offering, the total for Brent D. Richardson consists of 3,347,452 shares of common stock held of record by Rich Crow Enterprises, LLC and Masters Online, LLC and 143,741 shares of common stock issuable upon the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382,435 shares of common stock and approximately 17,968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spacing w:after="0" w:line="276" w:lineRule="auto"/>
        <w:rPr>
          <w:sz w:val="20"/>
          <w:szCs w:val="20"/>
          <w:color w:val="auto"/>
        </w:rPr>
      </w:pPr>
      <w:r>
        <w:rPr>
          <w:rFonts w:ascii="Arial" w:cs="Arial" w:eastAsia="Arial" w:hAnsi="Arial"/>
          <w:sz w:val="13"/>
          <w:szCs w:val="13"/>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20" w:lineRule="exact"/>
        <w:rPr>
          <w:sz w:val="20"/>
          <w:szCs w:val="20"/>
          <w:color w:val="auto"/>
        </w:rPr>
      </w:pPr>
    </w:p>
    <w:p>
      <w:pPr>
        <w:jc w:val="both"/>
        <w:ind w:left="1000" w:right="180" w:hanging="259"/>
        <w:spacing w:after="0" w:line="264" w:lineRule="auto"/>
        <w:tabs>
          <w:tab w:leader="none" w:pos="10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Prior to this offering, the total for Christopher C. Richardson consists of 3,348,317 shares of common stock held of record by Rich Crow Enterprises, LLC and Masters Online, LLC and 143,741 shares of common stock issuable upon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80" w:hanging="307"/>
        <w:spacing w:after="0"/>
        <w:tabs>
          <w:tab w:leader="none" w:pos="10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Following this offering, the total for Brent D. Richardson and Christopher C. Richardson consists of:</w:t>
      </w:r>
    </w:p>
    <w:p>
      <w:pPr>
        <w:spacing w:after="0" w:line="56" w:lineRule="exact"/>
        <w:rPr>
          <w:rFonts w:ascii="Arial" w:cs="Arial" w:eastAsia="Arial" w:hAnsi="Arial"/>
          <w:sz w:val="13"/>
          <w:szCs w:val="13"/>
          <w:color w:val="auto"/>
        </w:rPr>
      </w:pPr>
    </w:p>
    <w:p>
      <w:pPr>
        <w:ind w:left="1880" w:right="8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143,741 shares of common stock issuable upon the conversion of Series C preferred stock held of record by Rich Crow Enterprises, LLC, in each case which are attributable to, and beneficially owned by, Mr. Brent D. Richardson.</w:t>
      </w:r>
    </w:p>
    <w:p>
      <w:pPr>
        <w:spacing w:after="0" w:line="27" w:lineRule="exact"/>
        <w:rPr>
          <w:rFonts w:ascii="Arial" w:cs="Arial" w:eastAsia="Arial" w:hAnsi="Arial"/>
          <w:sz w:val="13"/>
          <w:szCs w:val="13"/>
          <w:color w:val="auto"/>
        </w:rPr>
      </w:pPr>
    </w:p>
    <w:p>
      <w:pPr>
        <w:ind w:left="1880" w:right="360" w:hanging="191"/>
        <w:spacing w:after="0" w:line="280"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3,348,317 shares of common stock held of record by Rich Crow Enterprises, LLC and Masters Online, LLC and 143,741 shares of common stock issuable upon conversion of Series C preferred stock held of record by Rich Crow Enterprises, LLC, in each case which are attributable to, and beneficially owned by,</w:t>
      </w:r>
    </w:p>
    <w:p>
      <w:pPr>
        <w:ind w:left="1880"/>
        <w:spacing w:after="0"/>
        <w:rPr>
          <w:rFonts w:ascii="Arial" w:cs="Arial" w:eastAsia="Arial" w:hAnsi="Arial"/>
          <w:sz w:val="12"/>
          <w:szCs w:val="12"/>
          <w:color w:val="auto"/>
        </w:rPr>
      </w:pPr>
      <w:r>
        <w:rPr>
          <w:rFonts w:ascii="Arial" w:cs="Arial" w:eastAsia="Arial" w:hAnsi="Arial"/>
          <w:sz w:val="13"/>
          <w:szCs w:val="13"/>
          <w:color w:val="auto"/>
        </w:rPr>
        <w:t>Mr. Christopher C. Richardson.</w:t>
      </w:r>
    </w:p>
    <w:p>
      <w:pPr>
        <w:spacing w:after="0" w:line="49" w:lineRule="exact"/>
        <w:rPr>
          <w:rFonts w:ascii="Arial" w:cs="Arial" w:eastAsia="Arial" w:hAnsi="Arial"/>
          <w:sz w:val="12"/>
          <w:szCs w:val="12"/>
          <w:color w:val="auto"/>
        </w:rPr>
      </w:pPr>
    </w:p>
    <w:p>
      <w:pPr>
        <w:jc w:val="both"/>
        <w:ind w:left="1880" w:right="14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143,741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27" w:lineRule="exact"/>
        <w:rPr>
          <w:rFonts w:ascii="Arial" w:cs="Arial" w:eastAsia="Arial" w:hAnsi="Arial"/>
          <w:sz w:val="13"/>
          <w:szCs w:val="13"/>
          <w:color w:val="auto"/>
        </w:rPr>
      </w:pPr>
    </w:p>
    <w:p>
      <w:pPr>
        <w:ind w:left="1880" w:right="160" w:hanging="191"/>
        <w:spacing w:after="0" w:line="316"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382,435 shares of common stock held of record by Rich Crow Enterprises, LLC and approximately 17,968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The shares held by the 220 Entities and the shares held by Significant Ventures, as described in Notes (4) and (6) above.</w:t>
      </w:r>
    </w:p>
    <w:p>
      <w:pPr>
        <w:spacing w:after="0" w:line="56" w:lineRule="exact"/>
        <w:rPr>
          <w:rFonts w:ascii="Arial" w:cs="Arial" w:eastAsia="Arial" w:hAnsi="Arial"/>
          <w:sz w:val="13"/>
          <w:szCs w:val="13"/>
          <w:color w:val="auto"/>
        </w:rPr>
      </w:pPr>
    </w:p>
    <w:p>
      <w:pPr>
        <w:ind w:left="1880" w:hanging="191"/>
        <w:spacing w:after="0"/>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310,694 shares of common stock and 18,997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329" w:lineRule="auto"/>
        <w:rPr>
          <w:sz w:val="20"/>
          <w:szCs w:val="20"/>
          <w:color w:val="auto"/>
        </w:rPr>
      </w:pPr>
      <w:r>
        <w:rPr>
          <w:rFonts w:ascii="Arial" w:cs="Arial" w:eastAsia="Arial" w:hAnsi="Arial"/>
          <w:sz w:val="11"/>
          <w:szCs w:val="11"/>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1" w:lineRule="exact"/>
        <w:rPr>
          <w:sz w:val="20"/>
          <w:szCs w:val="20"/>
          <w:color w:val="auto"/>
        </w:rPr>
      </w:pPr>
    </w:p>
    <w:p>
      <w:pPr>
        <w:ind w:left="1080" w:hanging="302"/>
        <w:spacing w:after="0" w:line="260" w:lineRule="auto"/>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9,035,048 shares of common stock issuable upon conversion of Series A convertible preferred stock and 767,895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As of September 30, 2008, there were 33,059,714 shares of our common stock outstanding and held of record by fifteen stockholders, reflecting the exercise in November 2008 of a warrant to purchase 909,348 shares of our common stock and assuming the conversion of all outstanding shares of Series A preferred stock into 10,870,178 shares of common stock, and the conversion of all outstanding shares of Series C preferred stock into 2,061,538 shares of common stock based on a conversion price equal to the initial public offering price per share, which is estimated to be $13.00 per share, which is the midpoint of the range set forth on the cover page of this prospectus.</w:t>
      </w:r>
    </w:p>
    <w:p>
      <w:pPr>
        <w:spacing w:after="0" w:line="53"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delaying, deferring or preventing a change in control of our company and may adversely affect the market price of our common stock and the voting and other rights of the holders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As of September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prior to its expiration in 2024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for a period equal to the earlier of three years from such issuance or the expiration of the warrant, in each case for $16.0 million, was transferred to a holding company owned by our original investors and then assigned back to us. This warrant was exercised in November 2008 and, following this offering, we will retain such repurchase rights with respect to the 909,348 shares of common stock issued upon exercise.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Advance Notice Requirements. </w:t>
      </w:r>
      <w:r>
        <w:rPr>
          <w:rFonts w:ascii="Arial" w:cs="Arial" w:eastAsia="Arial" w:hAnsi="Arial"/>
          <w:sz w:val="13"/>
          <w:szCs w:val="13"/>
          <w:color w:val="auto"/>
        </w:rPr>
        <w:t>Our bylaws will establish advance notice procedures with regard to stockholder proposals relating to the nomination of candidates for election as</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 120th day, nor later than the close of business on the 90th day, prior to the first anniversary date of the annual meeting for the preceding year. The notice must contain certain information specified in the bylaws.</w:t>
      </w:r>
    </w:p>
    <w:p>
      <w:pPr>
        <w:spacing w:after="0" w:line="71"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10,000,000 authorized shares of preferred stock. The existence of authorized but unissued shares of preferred stock may</w:t>
      </w:r>
      <w:r>
        <w:rPr>
          <w:rFonts w:ascii="Arial" w:cs="Arial" w:eastAsia="Arial" w:hAnsi="Arial"/>
          <w:sz w:val="13"/>
          <w:szCs w:val="13"/>
          <w:i w:val="1"/>
          <w:iCs w:val="1"/>
          <w:color w:val="auto"/>
        </w:rPr>
        <w:t xml:space="preserve"> </w:t>
      </w:r>
      <w:r>
        <w:rPr>
          <w:rFonts w:ascii="Arial" w:cs="Arial" w:eastAsia="Arial" w:hAnsi="Arial"/>
          <w:sz w:val="13"/>
          <w:szCs w:val="13"/>
          <w:color w:val="auto"/>
        </w:rPr>
        <w:t>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combination between a corporation and an interested stockholder is prohibited unless it satisfies one of the following conditions:</w:t>
      </w:r>
    </w:p>
    <w:p>
      <w:pPr>
        <w:spacing w:after="0" w:line="96" w:lineRule="exact"/>
        <w:rPr>
          <w:sz w:val="20"/>
          <w:szCs w:val="20"/>
          <w:color w:val="auto"/>
        </w:rPr>
      </w:pPr>
    </w:p>
    <w:p>
      <w:pPr>
        <w:ind w:left="168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have received approval to have our common stock listed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Upon the closing of this offering, we will have outstanding an aggregate of 43,668,613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3,316,886 shares of common stock.</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on the date of this prospectus;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under Rule 144 or Rule 701 beginning 90 days after the date of this prospectus; and</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436,686 shares immediately after this offering; and</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33,168,613 shares of our outstanding restricted securities will be eligible for sale under Rule 144.</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subject to the lock-up agreements and manner of sale and notice requirements that apply to affiliates under Rule 144 described above.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4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4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 w:type="dxa"/>
            <w:vAlign w:val="bottom"/>
          </w:tcPr>
          <w:p>
            <w:pPr>
              <w:spacing w:after="0"/>
              <w:rPr>
                <w:sz w:val="14"/>
                <w:szCs w:val="14"/>
                <w:color w:val="auto"/>
              </w:rPr>
            </w:pPr>
          </w:p>
        </w:tc>
        <w:tc>
          <w:tcPr>
            <w:tcW w:w="832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8320" w:type="dxa"/>
            <w:vAlign w:val="bottom"/>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10,500,000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32"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have received approval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3"/>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5"/>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147">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51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48">
              <w:r>
                <w:rPr>
                  <w:rFonts w:ascii="Arial" w:cs="Arial" w:eastAsia="Arial" w:hAnsi="Arial"/>
                  <w:sz w:val="13"/>
                  <w:szCs w:val="13"/>
                  <w:color w:val="0000EE"/>
                  <w:w w:val="89"/>
                </w:rPr>
                <w:t>Balance Sheets as of December 31, 2006 and 2007 (restated) and September 30, 2008 (unaudited)</w:t>
              </w:r>
            </w:hyperlink>
          </w:p>
        </w:tc>
        <w:tc>
          <w:tcPr>
            <w:tcW w:w="452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06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149">
              <w:r>
                <w:rPr>
                  <w:rFonts w:ascii="Arial" w:cs="Arial" w:eastAsia="Arial" w:hAnsi="Arial"/>
                  <w:sz w:val="13"/>
                  <w:szCs w:val="13"/>
                  <w:color w:val="0000EE"/>
                  <w:w w:val="89"/>
                </w:rPr>
                <w:t>Statements of Operations for the years ended December 31, 2005, 2006, and 2007 (restated) and for the nine month periods ended September 30, 2007 and 2008 (unaudited)</w:t>
              </w:r>
            </w:hyperlink>
          </w:p>
        </w:tc>
        <w:tc>
          <w:tcPr>
            <w:tcW w:w="600" w:type="dxa"/>
            <w:vAlign w:val="bottom"/>
            <w:gridSpan w:val="2"/>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w w:val="95"/>
              </w:rPr>
            </w:pPr>
            <w:hyperlink w:anchor="page150">
              <w:r>
                <w:rPr>
                  <w:rFonts w:ascii="Arial" w:cs="Arial" w:eastAsia="Arial" w:hAnsi="Arial"/>
                  <w:sz w:val="13"/>
                  <w:szCs w:val="13"/>
                  <w:color w:val="0000EE"/>
                  <w:w w:val="95"/>
                </w:rPr>
                <w:t>Statements of Preferred Stock and Stockholders’ Deficit for the years ended December 31, 2005, 2006, and 2007 (restated) and for the nine month period ended September 30,</w:t>
              </w:r>
            </w:hyperlink>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9"/>
              </w:rPr>
            </w:pPr>
            <w:hyperlink w:anchor="page150">
              <w:r>
                <w:rPr>
                  <w:rFonts w:ascii="Arial" w:cs="Arial" w:eastAsia="Arial" w:hAnsi="Arial"/>
                  <w:sz w:val="13"/>
                  <w:szCs w:val="13"/>
                  <w:color w:val="0000EE"/>
                  <w:w w:val="89"/>
                </w:rPr>
                <w:t>2008 (unaudited)</w:t>
              </w:r>
            </w:hyperlink>
          </w:p>
        </w:tc>
        <w:tc>
          <w:tcPr>
            <w:tcW w:w="8140" w:type="dxa"/>
            <w:vAlign w:val="bottom"/>
            <w:tcBorders>
              <w:top w:val="single" w:sz="8" w:color="0000EE"/>
            </w:tcBorders>
            <w:gridSpan w:val="6"/>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85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151">
              <w:r>
                <w:rPr>
                  <w:rFonts w:ascii="Arial" w:cs="Arial" w:eastAsia="Arial" w:hAnsi="Arial"/>
                  <w:sz w:val="13"/>
                  <w:szCs w:val="13"/>
                  <w:color w:val="0000EE"/>
                  <w:w w:val="90"/>
                </w:rPr>
                <w:t>Statements of Cash Flows for the years ended December 31, 2005, 2006, and 2007 (restated) and for the nine month period ended September 30, 2008 (unaudited)</w:t>
              </w:r>
            </w:hyperlink>
          </w:p>
        </w:tc>
        <w:tc>
          <w:tcPr>
            <w:tcW w:w="1120" w:type="dxa"/>
            <w:vAlign w:val="bottom"/>
            <w:gridSpan w:val="3"/>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2">
              <w:r>
                <w:rPr>
                  <w:rFonts w:ascii="Arial" w:cs="Arial" w:eastAsia="Arial" w:hAnsi="Arial"/>
                  <w:sz w:val="13"/>
                  <w:szCs w:val="13"/>
                  <w:color w:val="0000EE"/>
                </w:rPr>
                <w:t>Notes to Financial Statements</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5"/>
          </w:tcPr>
          <w:p>
            <w:pPr>
              <w:ind w:left="182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3, as to which the date is August 11, 2008, and Note 17, as to which the date is September 29,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tcPr>
          <w:p>
            <w:pPr>
              <w:jc w:val="right"/>
              <w:ind w:right="520"/>
              <w:spacing w:after="0"/>
              <w:rPr>
                <w:sz w:val="20"/>
                <w:szCs w:val="20"/>
                <w:color w:val="auto"/>
              </w:rPr>
            </w:pPr>
            <w:r>
              <w:rPr>
                <w:rFonts w:ascii="Arial" w:cs="Arial" w:eastAsia="Arial" w:hAnsi="Arial"/>
                <w:sz w:val="8"/>
                <w:szCs w:val="8"/>
                <w:b w:val="1"/>
                <w:bCs w:val="1"/>
                <w:color w:val="auto"/>
              </w:rPr>
              <w:t>As of December 31,</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87"/>
              </w:rPr>
              <w:t>September 30,</w:t>
            </w:r>
          </w:p>
        </w:tc>
        <w:tc>
          <w:tcPr>
            <w:tcW w:w="120" w:type="dxa"/>
            <w:vAlign w:val="bottom"/>
          </w:tcPr>
          <w:p>
            <w:pPr>
              <w:spacing w:after="0"/>
              <w:rPr>
                <w:sz w:val="8"/>
                <w:szCs w:val="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Pro forma</w:t>
            </w:r>
          </w:p>
        </w:tc>
      </w:tr>
      <w:tr>
        <w:trPr>
          <w:trHeight w:val="78"/>
        </w:trPr>
        <w:tc>
          <w:tcPr>
            <w:tcW w:w="6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2006</w:t>
            </w: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ind w:right="54"/>
              <w:spacing w:after="0" w:line="79" w:lineRule="exact"/>
              <w:rPr>
                <w:sz w:val="20"/>
                <w:szCs w:val="20"/>
                <w:color w:val="auto"/>
              </w:rPr>
            </w:pPr>
            <w:r>
              <w:rPr>
                <w:rFonts w:ascii="Arial" w:cs="Arial" w:eastAsia="Arial" w:hAnsi="Arial"/>
                <w:sz w:val="8"/>
                <w:szCs w:val="8"/>
                <w:b w:val="1"/>
                <w:bCs w:val="1"/>
                <w:color w:val="auto"/>
              </w:rPr>
              <w:t>2007</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jc w:val="center"/>
              <w:ind w:right="55"/>
              <w:spacing w:after="0" w:line="79" w:lineRule="exact"/>
              <w:rPr>
                <w:sz w:val="20"/>
                <w:szCs w:val="20"/>
                <w:color w:val="auto"/>
              </w:rPr>
            </w:pPr>
            <w:r>
              <w:rPr>
                <w:rFonts w:ascii="Arial" w:cs="Arial" w:eastAsia="Arial" w:hAnsi="Arial"/>
                <w:sz w:val="8"/>
                <w:szCs w:val="8"/>
                <w:b w:val="1"/>
                <w:bCs w:val="1"/>
                <w:color w:val="auto"/>
                <w:w w:val="89"/>
              </w:rPr>
              <w:t>2008</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5"/>
              </w:rPr>
              <w:t>September 30, 2008</w:t>
            </w:r>
          </w:p>
        </w:tc>
      </w:tr>
      <w:tr>
        <w:trPr>
          <w:trHeight w:val="90"/>
        </w:trPr>
        <w:tc>
          <w:tcPr>
            <w:tcW w:w="6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jc w:val="right"/>
              <w:spacing w:after="0" w:line="81" w:lineRule="exact"/>
              <w:rPr>
                <w:sz w:val="20"/>
                <w:szCs w:val="20"/>
                <w:color w:val="auto"/>
              </w:rPr>
            </w:pPr>
            <w:r>
              <w:rPr>
                <w:rFonts w:ascii="Arial" w:cs="Arial" w:eastAsia="Arial" w:hAnsi="Arial"/>
                <w:sz w:val="8"/>
                <w:szCs w:val="8"/>
                <w:b w:val="1"/>
                <w:bCs w:val="1"/>
                <w:color w:val="auto"/>
                <w:w w:val="71"/>
              </w:rPr>
              <w:t>(Restated)</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ind w:right="55"/>
              <w:spacing w:after="0" w:line="90" w:lineRule="exact"/>
              <w:rPr>
                <w:sz w:val="20"/>
                <w:szCs w:val="20"/>
                <w:color w:val="auto"/>
              </w:rPr>
            </w:pPr>
            <w:r>
              <w:rPr>
                <w:rFonts w:ascii="Arial" w:cs="Arial" w:eastAsia="Arial" w:hAnsi="Arial"/>
                <w:sz w:val="8"/>
                <w:szCs w:val="8"/>
                <w:b w:val="1"/>
                <w:bCs w:val="1"/>
                <w:color w:val="auto"/>
                <w:w w:val="89"/>
              </w:rPr>
              <w:t>(Unaudited)</w:t>
            </w:r>
          </w:p>
        </w:tc>
        <w:tc>
          <w:tcPr>
            <w:tcW w:w="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75"/>
              <w:spacing w:after="0" w:line="90"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7"/>
                <w:szCs w:val="7"/>
                <w:color w:val="auto"/>
              </w:rPr>
            </w:pPr>
          </w:p>
        </w:tc>
      </w:tr>
      <w:tr>
        <w:trPr>
          <w:trHeight w:val="28"/>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ASSETS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14,361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23,210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22,227</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22,753</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w w:val="99"/>
              </w:rPr>
              <w:t>Accounts receivable, net of allowance for doubtful accounts of $7,380 and $12,158 at December 31, 2006 and 2007, and $16,327 at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4,798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7,114</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10,097</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10,097</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from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6,001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2,984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7,436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7,436</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Prepaid expenses and other current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893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2,164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2,164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assets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23,036</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42,314</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41,924</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42,450</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Property and equipment,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29,017</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33,849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38,984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38,984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Restricted cash and investments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3,074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3,298</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3,391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3,391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Prepaid royalties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317</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8,226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8,226</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2,941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5,553</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5,553</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Deposit with former owner</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43</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4,599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4,599</w:t>
            </w:r>
          </w:p>
        </w:tc>
      </w:tr>
      <w:tr>
        <w:trPr>
          <w:trHeight w:val="107"/>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61,232</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88,568</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105,618</w:t>
            </w: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106,144</w:t>
            </w:r>
          </w:p>
        </w:tc>
        <w:tc>
          <w:tcPr>
            <w:tcW w:w="100" w:type="dxa"/>
            <w:vAlign w:val="bottom"/>
          </w:tcPr>
          <w:p>
            <w:pPr>
              <w:spacing w:after="0"/>
              <w:rPr>
                <w:sz w:val="9"/>
                <w:szCs w:val="9"/>
                <w:color w:val="auto"/>
              </w:rPr>
            </w:pPr>
          </w:p>
        </w:tc>
      </w:tr>
      <w:tr>
        <w:trPr>
          <w:trHeight w:val="59"/>
        </w:trPr>
        <w:tc>
          <w:tcPr>
            <w:tcW w:w="6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LIABILITIES, PREFERRED STOCK AND 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3,181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3,434</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3,733</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3,733</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Accrued liabilities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3,044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6,893</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12,006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114,381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Income taxes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241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4,046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4,046</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revenue and student deposits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6,133</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10,369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25,583</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25,583</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Royalty payable to former owner</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3,646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7,428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to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836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1,005</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2,379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2,379</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Line of credit</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Current portion of capital lease obligations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949</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1,150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1,100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1,100</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Current portion of notes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374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392</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392</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liabilities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20,698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37,166</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49,239</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151,614</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lease obligations, less current portion</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28,779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28,078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29,675</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29,675</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Notes payable, less current portion</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2,088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1,762</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1,422</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1,422</w:t>
            </w: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51,565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67,006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80,336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182,711</w:t>
            </w:r>
          </w:p>
        </w:tc>
      </w:tr>
      <w:tr>
        <w:trPr>
          <w:trHeight w:val="104"/>
        </w:trPr>
        <w:tc>
          <w:tcPr>
            <w:tcW w:w="6300" w:type="dxa"/>
            <w:vAlign w:val="bottom"/>
          </w:tcPr>
          <w:p>
            <w:pPr>
              <w:spacing w:after="0"/>
              <w:rPr>
                <w:sz w:val="20"/>
                <w:szCs w:val="20"/>
                <w:color w:val="auto"/>
              </w:rPr>
            </w:pPr>
            <w:r>
              <w:rPr>
                <w:rFonts w:ascii="Arial" w:cs="Arial" w:eastAsia="Arial" w:hAnsi="Arial"/>
                <w:sz w:val="9"/>
                <w:szCs w:val="9"/>
                <w:color w:val="auto"/>
              </w:rPr>
              <w:t>Commitments and contingencies</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43"/>
        </w:trPr>
        <w:tc>
          <w:tcPr>
            <w:tcW w:w="6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A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7,500 shares at December 31, 2006, and 9,700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5,953 shares at December 31, 2006,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$57,750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B 12%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2,200 shares at December 31, 2006,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865 shares at December 31, 2006, and 0 shares at December 31, 2007 and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C 8%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0 shares at December 31, 2006, and 3,900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1"/>
              </w:rPr>
              <w:t>Issued and outstanding — 0 shares at December 31, 2006, and 3,829 shares at December 31,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6"/>
        </w:trPr>
        <w:tc>
          <w:tcPr>
            <w:tcW w:w="6300" w:type="dxa"/>
            <w:vAlign w:val="bottom"/>
          </w:tcPr>
          <w:p>
            <w:pPr>
              <w:ind w:left="100"/>
              <w:spacing w:after="0"/>
              <w:rPr>
                <w:sz w:val="20"/>
                <w:szCs w:val="20"/>
                <w:color w:val="auto"/>
              </w:rPr>
            </w:pPr>
            <w:r>
              <w:rPr>
                <w:rFonts w:ascii="Arial" w:cs="Arial" w:eastAsia="Arial" w:hAnsi="Arial"/>
                <w:sz w:val="9"/>
                <w:szCs w:val="9"/>
                <w:color w:val="auto"/>
              </w:rPr>
              <w:t>Liquidation value — $26,829 at December 31, 2007 and September 30, 2008</w:t>
            </w:r>
          </w:p>
        </w:tc>
        <w:tc>
          <w:tcPr>
            <w:tcW w:w="100" w:type="dxa"/>
            <w:vAlign w:val="bottom"/>
          </w:tcPr>
          <w:p>
            <w:pPr>
              <w:spacing w:after="0"/>
              <w:rPr>
                <w:sz w:val="10"/>
                <w:szCs w:val="10"/>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13,338</w:t>
            </w:r>
          </w:p>
        </w:tc>
        <w:tc>
          <w:tcPr>
            <w:tcW w:w="10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14,129</w:t>
            </w:r>
          </w:p>
        </w:tc>
        <w:tc>
          <w:tcPr>
            <w:tcW w:w="12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32"/>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Common stock, $0.01 par value: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Authorized — 100,000,000 shares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6300" w:type="dxa"/>
            <w:vAlign w:val="bottom"/>
          </w:tcPr>
          <w:p>
            <w:pPr>
              <w:ind w:left="280"/>
              <w:spacing w:after="0" w:line="88" w:lineRule="exact"/>
              <w:rPr>
                <w:sz w:val="20"/>
                <w:szCs w:val="20"/>
                <w:color w:val="auto"/>
              </w:rPr>
            </w:pPr>
            <w:r>
              <w:rPr>
                <w:rFonts w:ascii="Arial" w:cs="Arial" w:eastAsia="Arial" w:hAnsi="Arial"/>
                <w:sz w:val="9"/>
                <w:szCs w:val="9"/>
                <w:color w:val="auto"/>
                <w:w w:val="94"/>
              </w:rPr>
              <w:t>Issued and outstanding — 18,853,450 shares at December 31, 2006, 19,036,050 shares at December 31, 2007, and 19,218,650 shares at September 30, 2008;</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6300" w:type="dxa"/>
            <w:vAlign w:val="bottom"/>
          </w:tcPr>
          <w:p>
            <w:pPr>
              <w:ind w:left="380"/>
              <w:spacing w:after="0"/>
              <w:rPr>
                <w:sz w:val="20"/>
                <w:szCs w:val="20"/>
                <w:color w:val="auto"/>
              </w:rPr>
            </w:pPr>
            <w:r>
              <w:rPr>
                <w:rFonts w:ascii="Arial" w:cs="Arial" w:eastAsia="Arial" w:hAnsi="Arial"/>
                <w:sz w:val="9"/>
                <w:szCs w:val="9"/>
                <w:color w:val="auto"/>
              </w:rPr>
              <w:t>33,059,714 shares pro forma at September 30, 2008</w:t>
            </w:r>
          </w:p>
        </w:tc>
        <w:tc>
          <w:tcPr>
            <w:tcW w:w="100" w:type="dxa"/>
            <w:vAlign w:val="bottom"/>
          </w:tcPr>
          <w:p>
            <w:pPr>
              <w:spacing w:after="0"/>
              <w:rPr>
                <w:sz w:val="9"/>
                <w:szCs w:val="9"/>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189</w:t>
            </w:r>
          </w:p>
        </w:tc>
        <w:tc>
          <w:tcPr>
            <w:tcW w:w="8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190</w:t>
            </w:r>
          </w:p>
        </w:tc>
        <w:tc>
          <w:tcPr>
            <w:tcW w:w="100" w:type="dxa"/>
            <w:vAlign w:val="bottom"/>
          </w:tcPr>
          <w:p>
            <w:pPr>
              <w:spacing w:after="0"/>
              <w:rPr>
                <w:sz w:val="9"/>
                <w:szCs w:val="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192</w:t>
            </w:r>
          </w:p>
        </w:tc>
        <w:tc>
          <w:tcPr>
            <w:tcW w:w="120" w:type="dxa"/>
            <w:vAlign w:val="bottom"/>
          </w:tcPr>
          <w:p>
            <w:pPr>
              <w:spacing w:after="0"/>
              <w:rPr>
                <w:sz w:val="9"/>
                <w:szCs w:val="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331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Additional paid-in capital</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7,953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7,719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6,238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(63,011)</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Accumulated other comprehensive income</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Accumulated deficit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1"/>
              <w:spacing w:after="0" w:line="98" w:lineRule="exact"/>
              <w:rPr>
                <w:sz w:val="20"/>
                <w:szCs w:val="20"/>
                <w:color w:val="auto"/>
              </w:rPr>
            </w:pPr>
            <w:r>
              <w:rPr>
                <w:rFonts w:ascii="Arial" w:cs="Arial" w:eastAsia="Arial" w:hAnsi="Arial"/>
                <w:sz w:val="9"/>
                <w:szCs w:val="9"/>
                <w:color w:val="auto"/>
              </w:rPr>
              <w:t>(19,900)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95"/>
              </w:rPr>
              <w:t>(18,374)</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(13,898)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(13,898)</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stockholders’ deficit</w:t>
            </w: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(11,723)</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(10,386)</w:t>
            </w:r>
          </w:p>
        </w:tc>
        <w:tc>
          <w:tcPr>
            <w:tcW w:w="3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(7,457)</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(76,567)</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 preferred stock and stockholders’ deficit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61,232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88,568</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105,618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106,144</w:t>
            </w: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35"/>
              <w:spacing w:after="0" w:line="98" w:lineRule="exact"/>
              <w:rPr>
                <w:sz w:val="20"/>
                <w:szCs w:val="20"/>
                <w:color w:val="auto"/>
              </w:rPr>
            </w:pPr>
            <w:r>
              <w:rPr>
                <w:rFonts w:ascii="Arial" w:cs="Arial" w:eastAsia="Arial" w:hAnsi="Arial"/>
                <w:sz w:val="10"/>
                <w:szCs w:val="10"/>
                <w:b w:val="1"/>
                <w:bCs w:val="1"/>
                <w:color w:val="auto"/>
              </w:rPr>
              <w:t>(Restated)</w:t>
            </w: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51,793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72,111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99,326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68,472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31,287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39,050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27,531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48"/>
        </w:trPr>
        <w:tc>
          <w:tcPr>
            <w:tcW w:w="52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Selling and promotional, including $2,839 in 2005; $3,742 in 2006, and $4,293 in 2007,</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w w:val="97"/>
              </w:rPr>
              <w:t>$3,120 and $4,323 for the nine months ended September 30, 2007 and 2008, to related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parties</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14,047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20,093</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35,148</w:t>
            </w:r>
          </w:p>
        </w:tc>
        <w:tc>
          <w:tcPr>
            <w:tcW w:w="120" w:type="dxa"/>
            <w:vAlign w:val="bottom"/>
          </w:tcPr>
          <w:p>
            <w:pPr>
              <w:spacing w:after="0"/>
              <w:rPr>
                <w:sz w:val="14"/>
                <w:szCs w:val="14"/>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24,291</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11,848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2,585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94,981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66,255</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2,217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(2,236)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887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868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347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521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(251)</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18,885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35,189</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Pro forma earnings per common share (Unaudited)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 (Unaudited)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40,321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40,455</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45,015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41,722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vMerge w:val="restart"/>
          </w:tcPr>
          <w:p>
            <w:pPr>
              <w:jc w:val="right"/>
              <w:ind w:right="44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9"/>
                <w:szCs w:val="9"/>
                <w:b w:val="1"/>
                <w:bCs w:val="1"/>
                <w:color w:val="auto"/>
              </w:rPr>
              <w:t>Members’/Stockholders’ Deficit</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7"/>
          </w:tcPr>
          <w:p>
            <w:pPr>
              <w:jc w:val="right"/>
              <w:ind w:right="320"/>
              <w:spacing w:after="0" w:line="75" w:lineRule="exact"/>
              <w:rPr>
                <w:sz w:val="20"/>
                <w:szCs w:val="20"/>
                <w:color w:val="auto"/>
              </w:rPr>
            </w:pPr>
            <w:r>
              <w:rPr>
                <w:rFonts w:ascii="Arial" w:cs="Arial" w:eastAsia="Arial" w:hAnsi="Arial"/>
                <w:sz w:val="8"/>
                <w:szCs w:val="8"/>
                <w:b w:val="1"/>
                <w:bCs w:val="1"/>
                <w:color w:val="auto"/>
              </w:rPr>
              <w:t>Series A Convertible</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6"/>
          </w:tcPr>
          <w:p>
            <w:pPr>
              <w:jc w:val="right"/>
              <w:ind w:right="320"/>
              <w:spacing w:after="0" w:line="75" w:lineRule="exact"/>
              <w:rPr>
                <w:sz w:val="20"/>
                <w:szCs w:val="20"/>
                <w:color w:val="auto"/>
              </w:rPr>
            </w:pPr>
            <w:r>
              <w:rPr>
                <w:rFonts w:ascii="Arial" w:cs="Arial" w:eastAsia="Arial" w:hAnsi="Arial"/>
                <w:sz w:val="8"/>
                <w:szCs w:val="8"/>
                <w:b w:val="1"/>
                <w:bCs w:val="1"/>
                <w:color w:val="auto"/>
              </w:rPr>
              <w:t>Series B Convertible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4"/>
          </w:tcPr>
          <w:p>
            <w:pPr>
              <w:jc w:val="center"/>
              <w:ind w:left="334"/>
              <w:spacing w:after="0" w:line="75" w:lineRule="exact"/>
              <w:rPr>
                <w:sz w:val="20"/>
                <w:szCs w:val="20"/>
                <w:color w:val="auto"/>
              </w:rPr>
            </w:pPr>
            <w:r>
              <w:rPr>
                <w:rFonts w:ascii="Arial" w:cs="Arial" w:eastAsia="Arial" w:hAnsi="Arial"/>
                <w:sz w:val="8"/>
                <w:szCs w:val="8"/>
                <w:b w:val="1"/>
                <w:bCs w:val="1"/>
                <w:color w:val="auto"/>
                <w:w w:val="99"/>
              </w:rPr>
              <w:t>Series C</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ind w:left="20"/>
              <w:spacing w:after="0" w:line="75"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48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7"/>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right w:val="single" w:sz="8" w:color="auto"/>
            </w:tcBorders>
            <w:gridSpan w:val="7"/>
          </w:tcPr>
          <w:p>
            <w:pPr>
              <w:jc w:val="center"/>
              <w:ind w:right="260"/>
              <w:spacing w:after="0"/>
              <w:rPr>
                <w:sz w:val="20"/>
                <w:szCs w:val="20"/>
                <w:color w:val="auto"/>
              </w:rPr>
            </w:pPr>
            <w:r>
              <w:rPr>
                <w:rFonts w:ascii="Arial" w:cs="Arial" w:eastAsia="Arial" w:hAnsi="Arial"/>
                <w:sz w:val="9"/>
                <w:szCs w:val="9"/>
                <w:b w:val="1"/>
                <w:bCs w:val="1"/>
                <w:color w:val="auto"/>
                <w:w w:val="92"/>
              </w:rPr>
              <w:t>Preferred Stock</w:t>
            </w:r>
          </w:p>
        </w:tc>
        <w:tc>
          <w:tcPr>
            <w:tcW w:w="60" w:type="dxa"/>
            <w:vAlign w:val="bottom"/>
          </w:tcPr>
          <w:p>
            <w:pPr>
              <w:spacing w:after="0"/>
              <w:rPr>
                <w:sz w:val="9"/>
                <w:szCs w:val="9"/>
                <w:color w:val="auto"/>
              </w:rPr>
            </w:pPr>
          </w:p>
        </w:tc>
        <w:tc>
          <w:tcPr>
            <w:tcW w:w="108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rPr>
              <w:t>Membership Interests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gridSpan w:val="4"/>
          </w:tcPr>
          <w:p>
            <w:pPr>
              <w:ind w:left="60"/>
              <w:spacing w:after="0"/>
              <w:rPr>
                <w:sz w:val="20"/>
                <w:szCs w:val="20"/>
                <w:color w:val="auto"/>
              </w:rPr>
            </w:pPr>
            <w:r>
              <w:rPr>
                <w:rFonts w:ascii="Arial" w:cs="Arial" w:eastAsia="Arial" w:hAnsi="Arial"/>
                <w:sz w:val="9"/>
                <w:szCs w:val="9"/>
                <w:b w:val="1"/>
                <w:bCs w:val="1"/>
                <w:color w:val="auto"/>
              </w:rPr>
              <w:t>Paid-in</w:t>
            </w:r>
          </w:p>
        </w:tc>
        <w:tc>
          <w:tcPr>
            <w:tcW w:w="1180" w:type="dxa"/>
            <w:vAlign w:val="bottom"/>
            <w:gridSpan w:val="8"/>
          </w:tcPr>
          <w:p>
            <w:pPr>
              <w:spacing w:after="0"/>
              <w:rPr>
                <w:sz w:val="20"/>
                <w:szCs w:val="20"/>
                <w:color w:val="auto"/>
              </w:rPr>
            </w:pPr>
            <w:r>
              <w:rPr>
                <w:rFonts w:ascii="Arial" w:cs="Arial" w:eastAsia="Arial" w:hAnsi="Arial"/>
                <w:sz w:val="9"/>
                <w:szCs w:val="9"/>
                <w:b w:val="1"/>
                <w:bCs w:val="1"/>
                <w:color w:val="auto"/>
                <w:w w:val="91"/>
              </w:rPr>
              <w:t>Comprehensive Accumulated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7"/>
              </w:rPr>
              <w:t>Units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92"/>
              </w:rPr>
              <w:t>Par Value</w:t>
            </w:r>
          </w:p>
        </w:tc>
        <w:tc>
          <w:tcPr>
            <w:tcW w:w="20" w:type="dxa"/>
            <w:vAlign w:val="bottom"/>
          </w:tcPr>
          <w:p>
            <w:pPr>
              <w:spacing w:after="0"/>
              <w:rPr>
                <w:sz w:val="7"/>
                <w:szCs w:val="7"/>
                <w:color w:val="auto"/>
              </w:rPr>
            </w:pPr>
          </w:p>
        </w:tc>
        <w:tc>
          <w:tcPr>
            <w:tcW w:w="400" w:type="dxa"/>
            <w:vAlign w:val="bottom"/>
            <w:tcBorders>
              <w:bottom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5"/>
              </w:rPr>
              <w:t>Income</w:t>
            </w: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14"/>
              <w:spacing w:after="0" w:line="88" w:lineRule="exact"/>
              <w:rPr>
                <w:sz w:val="20"/>
                <w:szCs w:val="20"/>
                <w:color w:val="auto"/>
              </w:rPr>
            </w:pPr>
            <w:r>
              <w:rPr>
                <w:rFonts w:ascii="Arial" w:cs="Arial" w:eastAsia="Arial" w:hAnsi="Arial"/>
                <w:sz w:val="9"/>
                <w:szCs w:val="9"/>
                <w:b w:val="1"/>
                <w:bCs w:val="1"/>
                <w:color w:val="auto"/>
                <w:w w:val="87"/>
              </w:rPr>
              <w:t>Deficit</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28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2004</w:t>
            </w:r>
          </w:p>
        </w:tc>
        <w:tc>
          <w:tcPr>
            <w:tcW w:w="160" w:type="dxa"/>
            <w:vAlign w:val="bottom"/>
            <w:shd w:val="clear" w:color="auto" w:fill="CCEEFF"/>
          </w:tcPr>
          <w:p>
            <w:pPr>
              <w:spacing w:after="0"/>
              <w:rPr>
                <w:sz w:val="7"/>
                <w:szCs w:val="7"/>
                <w:color w:val="auto"/>
              </w:rPr>
            </w:pPr>
          </w:p>
        </w:tc>
        <w:tc>
          <w:tcPr>
            <w:tcW w:w="5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20" w:type="dxa"/>
            <w:vAlign w:val="bottom"/>
            <w:tcBorders>
              <w:right w:val="single" w:sz="8" w:color="auto"/>
            </w:tcBorders>
            <w:gridSpan w:val="3"/>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620" w:type="dxa"/>
            <w:vAlign w:val="bottom"/>
            <w:gridSpan w:val="3"/>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1,000,000</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w w:val="97"/>
              </w:rPr>
              <w:t>8,567</w:t>
            </w: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CCEEFF"/>
            </w:tcBorders>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88" w:lineRule="exact"/>
              <w:rPr>
                <w:sz w:val="20"/>
                <w:szCs w:val="20"/>
                <w:color w:val="auto"/>
              </w:rPr>
            </w:pPr>
            <w:r>
              <w:rPr>
                <w:rFonts w:ascii="Arial" w:cs="Arial" w:eastAsia="Arial" w:hAnsi="Arial"/>
                <w:sz w:val="9"/>
                <w:szCs w:val="9"/>
                <w:color w:val="auto"/>
              </w:rPr>
              <w:t>$(16,212)</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(7,645)</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Distribution to members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(240)</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(240)</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Exchange of membership interests for common shares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(1,000,000)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(8,327)</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18,260,000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8,144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w w:val="96"/>
              </w:rPr>
              <w:t>Conversion of Promissory Notes into Series A Convertible Preferred Stock</w:t>
            </w:r>
          </w:p>
        </w:tc>
        <w:tc>
          <w:tcPr>
            <w:tcW w:w="6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4,329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14,000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services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593,450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400" w:type="dxa"/>
            <w:vAlign w:val="bottom"/>
            <w:tcBorders>
              <w:right w:val="single" w:sz="8" w:color="auto"/>
            </w:tcBorders>
            <w:gridSpan w:val="26"/>
          </w:tcPr>
          <w:p>
            <w:pPr>
              <w:spacing w:after="0" w:line="88" w:lineRule="exact"/>
              <w:rPr>
                <w:sz w:val="20"/>
                <w:szCs w:val="20"/>
                <w:color w:val="auto"/>
              </w:rPr>
            </w:pPr>
            <w:r>
              <w:rPr>
                <w:rFonts w:ascii="Arial" w:cs="Arial" w:eastAsia="Arial" w:hAnsi="Arial"/>
                <w:sz w:val="9"/>
                <w:szCs w:val="9"/>
                <w:color w:val="auto"/>
                <w:w w:val="96"/>
              </w:rPr>
              <w:t>Issuance of Series A Convertible Preferred Stock for cash, net of issuance</w:t>
            </w:r>
          </w:p>
        </w:tc>
        <w:tc>
          <w:tcPr>
            <w:tcW w:w="4060" w:type="dxa"/>
            <w:vAlign w:val="bottom"/>
            <w:gridSpan w:val="3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tcPr>
          <w:p>
            <w:pPr>
              <w:ind w:left="100"/>
              <w:spacing w:after="0"/>
              <w:rPr>
                <w:sz w:val="20"/>
                <w:szCs w:val="20"/>
                <w:color w:val="auto"/>
              </w:rPr>
            </w:pPr>
            <w:r>
              <w:rPr>
                <w:rFonts w:ascii="Arial" w:cs="Arial" w:eastAsia="Arial" w:hAnsi="Arial"/>
                <w:sz w:val="9"/>
                <w:szCs w:val="9"/>
                <w:color w:val="auto"/>
              </w:rPr>
              <w:t>costs of $639</w:t>
            </w:r>
          </w:p>
        </w:tc>
        <w:tc>
          <w:tcPr>
            <w:tcW w:w="620" w:type="dxa"/>
            <w:vAlign w:val="bottom"/>
            <w:gridSpan w:val="3"/>
          </w:tcPr>
          <w:p>
            <w:pPr>
              <w:jc w:val="right"/>
              <w:ind w:right="20"/>
              <w:spacing w:after="0"/>
              <w:rPr>
                <w:sz w:val="20"/>
                <w:szCs w:val="20"/>
                <w:color w:val="auto"/>
              </w:rPr>
            </w:pPr>
            <w:r>
              <w:rPr>
                <w:rFonts w:ascii="Arial" w:cs="Arial" w:eastAsia="Arial" w:hAnsi="Arial"/>
                <w:sz w:val="9"/>
                <w:szCs w:val="9"/>
                <w:color w:val="auto"/>
              </w:rPr>
              <w:t>1,624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4,610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w w:val="96"/>
              </w:rPr>
              <w:t>Issuance of Series B Convertible Preferred Stock for cash, net of issuance</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costs of $20</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loss (Restated)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74"/>
              <w:spacing w:after="0" w:line="98" w:lineRule="exact"/>
              <w:rPr>
                <w:sz w:val="20"/>
                <w:szCs w:val="20"/>
                <w:color w:val="auto"/>
              </w:rPr>
            </w:pPr>
            <w:r>
              <w:rPr>
                <w:rFonts w:ascii="Arial" w:cs="Arial" w:eastAsia="Arial" w:hAnsi="Arial"/>
                <w:sz w:val="9"/>
                <w:szCs w:val="9"/>
                <w:color w:val="auto"/>
              </w:rPr>
              <w:t>(4,286)</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(4,286)</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2005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76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18,853,450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8,198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(20,498)</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(12,111)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94"/>
              <w:spacing w:after="0" w:line="98" w:lineRule="exact"/>
              <w:rPr>
                <w:sz w:val="20"/>
                <w:szCs w:val="20"/>
                <w:color w:val="auto"/>
              </w:rPr>
            </w:pPr>
            <w:r>
              <w:rPr>
                <w:rFonts w:ascii="Arial" w:cs="Arial" w:eastAsia="Arial" w:hAnsi="Arial"/>
                <w:sz w:val="9"/>
                <w:szCs w:val="9"/>
                <w:color w:val="auto"/>
              </w:rPr>
              <w:t>598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598</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$23</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w:t>
            </w:r>
          </w:p>
        </w:tc>
        <w:tc>
          <w:tcPr>
            <w:tcW w:w="4060" w:type="dxa"/>
            <w:vAlign w:val="bottom"/>
            <w:gridSpan w:val="32"/>
          </w:tcPr>
          <w:p>
            <w:pPr>
              <w:jc w:val="right"/>
              <w:ind w:right="4060"/>
              <w:spacing w:after="0"/>
              <w:rPr>
                <w:sz w:val="20"/>
                <w:szCs w:val="20"/>
                <w:color w:val="auto"/>
              </w:rPr>
            </w:pPr>
            <w:r>
              <w:rPr>
                <w:rFonts w:ascii="Arial" w:cs="Arial" w:eastAsia="Arial" w:hAnsi="Arial"/>
                <w:sz w:val="9"/>
                <w:szCs w:val="9"/>
                <w:color w:val="auto"/>
              </w:rPr>
              <w:t>633</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Redemption of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(1,298)</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Value assigned to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282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282</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(527)</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December 31, 2006 (Restated)</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865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18,853,450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7,953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7"/>
              </w:rPr>
              <w:t>(19,900)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$30</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00" w:type="dxa"/>
            <w:vAlign w:val="bottom"/>
            <w:tcBorders>
              <w:right w:val="single" w:sz="8" w:color="CCEEFF"/>
            </w:tcBorders>
            <w:gridSpan w:val="7"/>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1520" w:type="dxa"/>
            <w:vAlign w:val="bottom"/>
            <w:tcBorders>
              <w:right w:val="single" w:sz="8" w:color="CCEEFF"/>
            </w:tcBorders>
            <w:gridSpan w:val="8"/>
            <w:shd w:val="clear" w:color="auto" w:fill="CCEEFF"/>
          </w:tcPr>
          <w:p>
            <w:pPr>
              <w:spacing w:after="0"/>
              <w:rPr>
                <w:sz w:val="8"/>
                <w:szCs w:val="8"/>
                <w:color w:val="auto"/>
              </w:rPr>
            </w:pPr>
          </w:p>
        </w:tc>
        <w:tc>
          <w:tcPr>
            <w:tcW w:w="2080" w:type="dxa"/>
            <w:vAlign w:val="bottom"/>
            <w:tcBorders>
              <w:right w:val="single" w:sz="8" w:color="auto"/>
            </w:tcBorders>
            <w:gridSpan w:val="11"/>
            <w:shd w:val="clear" w:color="auto" w:fill="CCEEFF"/>
          </w:tcPr>
          <w:p>
            <w:pPr>
              <w:spacing w:after="0"/>
              <w:rPr>
                <w:sz w:val="8"/>
                <w:szCs w:val="8"/>
                <w:color w:val="auto"/>
              </w:rPr>
            </w:pPr>
          </w:p>
        </w:tc>
        <w:tc>
          <w:tcPr>
            <w:tcW w:w="1820" w:type="dxa"/>
            <w:vAlign w:val="bottom"/>
            <w:tcBorders>
              <w:right w:val="single" w:sz="8" w:color="CCEEFF"/>
            </w:tcBorders>
            <w:gridSpan w:val="14"/>
            <w:shd w:val="clear" w:color="auto" w:fill="CCEEFF"/>
          </w:tcPr>
          <w:p>
            <w:pPr>
              <w:spacing w:after="0"/>
              <w:rPr>
                <w:sz w:val="8"/>
                <w:szCs w:val="8"/>
                <w:color w:val="auto"/>
              </w:rPr>
            </w:pPr>
          </w:p>
        </w:tc>
        <w:tc>
          <w:tcPr>
            <w:tcW w:w="380" w:type="dxa"/>
            <w:vAlign w:val="bottom"/>
            <w:tcBorders>
              <w:right w:val="single" w:sz="8" w:color="CCEEFF"/>
            </w:tcBorders>
            <w:gridSpan w:val="4"/>
            <w:shd w:val="clear" w:color="auto" w:fill="CCEEFF"/>
          </w:tcPr>
          <w:p>
            <w:pPr>
              <w:spacing w:after="0"/>
              <w:rPr>
                <w:sz w:val="8"/>
                <w:szCs w:val="8"/>
                <w:color w:val="auto"/>
              </w:rPr>
            </w:pPr>
          </w:p>
        </w:tc>
        <w:tc>
          <w:tcPr>
            <w:tcW w:w="1860" w:type="dxa"/>
            <w:vAlign w:val="bottom"/>
            <w:gridSpan w:val="14"/>
            <w:shd w:val="clear" w:color="auto" w:fill="CCEEFF"/>
          </w:tcPr>
          <w:p>
            <w:pPr>
              <w:jc w:val="right"/>
              <w:ind w:right="1860"/>
              <w:spacing w:after="0"/>
              <w:rPr>
                <w:sz w:val="20"/>
                <w:szCs w:val="20"/>
                <w:color w:val="auto"/>
              </w:rPr>
            </w:pPr>
            <w:r>
              <w:rPr>
                <w:rFonts w:ascii="Arial" w:cs="Arial" w:eastAsia="Arial" w:hAnsi="Arial"/>
                <w:sz w:val="9"/>
                <w:szCs w:val="9"/>
                <w:color w:val="auto"/>
              </w:rPr>
              <w:t>1,570</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Conversion of Series B Convertible Preferred Stock to</w:t>
            </w:r>
          </w:p>
        </w:tc>
        <w:tc>
          <w:tcPr>
            <w:tcW w:w="406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Series C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(865)</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(2,780)</w:t>
            </w:r>
          </w:p>
        </w:tc>
        <w:tc>
          <w:tcPr>
            <w:tcW w:w="72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2,780</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Payment of amounts due to related party with Series C Preferred Stock</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4"/>
              </w:rPr>
              <w:t>Issuance of Series C Preferred Stock for cash, net of issuance costs of $36</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2,995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10,409</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Accretion of Series C Preferred Stock Dividend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2007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13,338</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19,036,050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190</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7,719</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79</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(18,374)</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(10,386)</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color w:val="auto"/>
              </w:rPr>
              <w:t>4,476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4,476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rPr>
              <w:t>Unrealized losses on available for-sale securities, net of taxes of $45</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(unaudited)</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(68)</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(68)</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 (unaudited)</w:t>
            </w:r>
          </w:p>
        </w:tc>
        <w:tc>
          <w:tcPr>
            <w:tcW w:w="3740" w:type="dxa"/>
            <w:vAlign w:val="bottom"/>
            <w:gridSpan w:val="30"/>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4,408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Undeclared dividends on Series C Preferred Stock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791</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(791)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(791)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7"/>
              </w:rPr>
              <w:t>2,994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2,996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Cancellation of IAS warrant, net of $2,316 deferred taxes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83"/>
              </w:rPr>
              <w:t>(3,684)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(3,684)</w:t>
            </w:r>
          </w:p>
        </w:tc>
        <w:tc>
          <w:tcPr>
            <w:tcW w:w="0" w:type="dxa"/>
            <w:vAlign w:val="bottom"/>
          </w:tcPr>
          <w:p>
            <w:pPr>
              <w:spacing w:after="0"/>
              <w:rPr>
                <w:sz w:val="1"/>
                <w:szCs w:val="1"/>
                <w:color w:val="auto"/>
              </w:rPr>
            </w:pPr>
          </w:p>
        </w:tc>
      </w:tr>
      <w:tr>
        <w:trPr>
          <w:trHeight w:val="117"/>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September 30, 2008 (unaudited)</w:t>
            </w: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14,129</w:t>
            </w: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60" w:type="dxa"/>
            <w:vAlign w:val="bottom"/>
            <w:gridSpan w:val="2"/>
          </w:tcPr>
          <w:p>
            <w:pPr>
              <w:ind w:left="100"/>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19,218,650</w:t>
            </w:r>
          </w:p>
        </w:tc>
        <w:tc>
          <w:tcPr>
            <w:tcW w:w="40" w:type="dxa"/>
            <w:vAlign w:val="bottom"/>
          </w:tcPr>
          <w:p>
            <w:pPr>
              <w:spacing w:after="0"/>
              <w:rPr>
                <w:sz w:val="10"/>
                <w:szCs w:val="10"/>
                <w:color w:val="auto"/>
              </w:rPr>
            </w:pPr>
          </w:p>
        </w:tc>
        <w:tc>
          <w:tcPr>
            <w:tcW w:w="180" w:type="dxa"/>
            <w:vAlign w:val="bottom"/>
            <w:gridSpan w:val="2"/>
          </w:tcPr>
          <w:p>
            <w:pPr>
              <w:jc w:val="right"/>
              <w:ind w:right="14"/>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192</w:t>
            </w:r>
          </w:p>
        </w:tc>
        <w:tc>
          <w:tcPr>
            <w:tcW w:w="60" w:type="dxa"/>
            <w:vAlign w:val="bottom"/>
          </w:tcPr>
          <w:p>
            <w:pPr>
              <w:spacing w:after="0"/>
              <w:rPr>
                <w:sz w:val="10"/>
                <w:szCs w:val="10"/>
                <w:color w:val="auto"/>
              </w:rPr>
            </w:pP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6,238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140" w:type="dxa"/>
            <w:vAlign w:val="bottom"/>
          </w:tcPr>
          <w:p>
            <w:pPr>
              <w:spacing w:after="0"/>
              <w:rPr>
                <w:sz w:val="10"/>
                <w:szCs w:val="10"/>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5"/>
              </w:rPr>
              <w:t>(13,898</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(7,457)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restart"/>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Nine Months</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7"/>
              </w:rPr>
              <w:t>(Restated)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7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(4,286)</w:t>
            </w:r>
          </w:p>
        </w:tc>
        <w:tc>
          <w:tcPr>
            <w:tcW w:w="1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521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4,476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4,664</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6,257</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4,335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5,301</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2,319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(2,148)</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(3,227)</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(8,573)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(7,573)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(8,284)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(442)</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(273)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Due to/from related parties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362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1,650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1,663</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253</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3,596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Income taxes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(2,294)</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(3,386)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3,805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revenue and student deposits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9,668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15,214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royalties to former owner</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(5,920)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Royalty payable to former owner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2,678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3,782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2,584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(7,428)</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Deposit with former owner</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7,103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12,209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18,140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(2,387)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(5,136)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(6,015)</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Purchases of investments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 or maturity of 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2,570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(9,969)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6,658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(7,555)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(5,266)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(6,065)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Principal payments on notes payable and capital lease obligations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(1,179)</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(1,230)</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(954)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(1,165)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 on line of credit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line of credit and other debt obligations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Institute Warrant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Repayment of Institute Note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(1,250)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proceeds from issuances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related party payable on preferred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4,200</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Distributions to members and dividends on preferred stock</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(497)</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(125)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Amounts paid related to initial public offering</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(4,368)</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16,044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(1,676)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9,301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(1,079)</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(13,058)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11,782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5,864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(983)</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3,476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2,579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7"/>
              </w:rPr>
              <w:t>14,361</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w w:val="97"/>
              </w:rPr>
              <w:t>14,361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23,210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14,361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23,210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20,225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22,227</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during the year for: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Interest paid</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2,994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2,523</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2,645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1,930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3,019</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Income taxes paid</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397</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4,964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13" w:lineRule="exact"/>
              <w:rPr>
                <w:sz w:val="20"/>
                <w:szCs w:val="20"/>
                <w:color w:val="auto"/>
              </w:rPr>
            </w:pPr>
            <w:r>
              <w:rPr>
                <w:rFonts w:ascii="Arial" w:cs="Arial" w:eastAsia="Arial" w:hAnsi="Arial"/>
                <w:sz w:val="10"/>
                <w:szCs w:val="10"/>
                <w:color w:val="auto"/>
              </w:rPr>
              <w:t>3,803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2,169</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equipment through capital lease obligations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858</w:t>
            </w:r>
          </w:p>
        </w:tc>
        <w:tc>
          <w:tcPr>
            <w:tcW w:w="1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657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2,481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B convertible preferred stock and Series C preferred stock for notes receivable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5,725</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senior secured notes to Series A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Exchange of membership interest into common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Receipt of marketable securities for Series B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C preferred stock for settlement of balances owed</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Accretion of dividends on Series B and C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Value assigned to Blanchard shares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116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Assumption of future obligations under gift annuities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887</w:t>
            </w:r>
          </w:p>
        </w:tc>
        <w:tc>
          <w:tcPr>
            <w:tcW w:w="0" w:type="dxa"/>
            <w:vAlign w:val="bottom"/>
          </w:tcPr>
          <w:p>
            <w:pPr>
              <w:spacing w:after="0"/>
              <w:rPr>
                <w:sz w:val="1"/>
                <w:szCs w:val="1"/>
                <w:color w:val="auto"/>
              </w:rPr>
            </w:pPr>
          </w:p>
        </w:tc>
      </w:tr>
      <w:tr>
        <w:trPr>
          <w:trHeight w:val="131"/>
        </w:trPr>
        <w:tc>
          <w:tcPr>
            <w:tcW w:w="7000" w:type="dxa"/>
            <w:vAlign w:val="bottom"/>
          </w:tcPr>
          <w:p>
            <w:pPr>
              <w:ind w:left="120"/>
              <w:spacing w:after="0"/>
              <w:rPr>
                <w:sz w:val="20"/>
                <w:szCs w:val="20"/>
                <w:color w:val="auto"/>
              </w:rPr>
            </w:pPr>
            <w:r>
              <w:rPr>
                <w:rFonts w:ascii="Arial" w:cs="Arial" w:eastAsia="Arial" w:hAnsi="Arial"/>
                <w:sz w:val="10"/>
                <w:szCs w:val="10"/>
                <w:color w:val="auto"/>
              </w:rPr>
              <w:t>Deferred tax on repurchase of Institute Warrant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(2,316)</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w:t>
      </w:r>
    </w:p>
    <w:p>
      <w:pPr>
        <w:spacing w:after="0" w:line="140"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The accompanying unaudited interim financial statements as of September 30, 2008 and for the nine month periods ended September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New Accounting Standards</w:t>
      </w:r>
      <w:r>
        <w:rPr>
          <w:rFonts w:ascii="Arial" w:cs="Arial" w:eastAsia="Arial" w:hAnsi="Arial"/>
          <w:sz w:val="12"/>
          <w:szCs w:val="12"/>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30" w:lineRule="exact"/>
        <w:rPr>
          <w:sz w:val="20"/>
          <w:szCs w:val="20"/>
          <w:color w:val="auto"/>
        </w:rPr>
      </w:pPr>
    </w:p>
    <w:p>
      <w:pPr>
        <w:ind w:left="1000" w:hanging="313"/>
        <w:spacing w:after="0"/>
        <w:tabs>
          <w:tab w:leader="none" w:pos="10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280" w:right="180" w:hanging="190"/>
        <w:spacing w:after="0" w:line="32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repurchase of the Institute Warrant;</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acquisition by the Company of the real property and related building located on the Campus that was owned by the Institute and not transferred in connection with the Ancillary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the April 15, 2008 Settlement of the Standstill Agreement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1"/>
              </w:rPr>
              <w:t>in thousands)</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Payment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Optional Payment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19,500</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Payment to be allocated</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166"/>
        </w:trPr>
        <w:tc>
          <w:tcPr>
            <w:tcW w:w="120" w:type="dxa"/>
            <w:vAlign w:val="bottom"/>
          </w:tcPr>
          <w:p>
            <w:pPr>
              <w:spacing w:after="0"/>
              <w:rPr>
                <w:sz w:val="20"/>
                <w:szCs w:val="20"/>
                <w:color w:val="auto"/>
              </w:rPr>
            </w:pPr>
            <w:r>
              <w:rPr>
                <w:rFonts w:ascii="Arial" w:cs="Arial" w:eastAsia="Arial" w:hAnsi="Arial"/>
                <w:sz w:val="13"/>
                <w:szCs w:val="13"/>
                <w:i w:val="1"/>
                <w:iCs w:val="1"/>
                <w:color w:val="auto"/>
                <w:w w:val="86"/>
              </w:rPr>
              <w:t>1)</w:t>
            </w:r>
          </w:p>
        </w:tc>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Obligations settled</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royalties due under Royalty Agreement (as of April 15, 2008)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8,730</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—Repurchase of Institute Warrant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Institute Loan, including accrued interest</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—Other amounts due to the Institute</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2)</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assumed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—Assumption of gift annuities obligation, at fair value</w:t>
            </w:r>
          </w:p>
        </w:tc>
        <w:tc>
          <w:tcPr>
            <w:tcW w:w="3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(887)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3)</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 to be allocated to assets acquired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—Real property and prepaid royalty asset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6,073</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fair value estimates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3"/>
          <w:szCs w:val="13"/>
          <w:i w:val="1"/>
          <w:iCs w:val="1"/>
          <w:color w:val="auto"/>
        </w:rPr>
        <w:t>i.e.</w:t>
      </w:r>
      <w:r>
        <w:rPr>
          <w:rFonts w:ascii="Arial" w:cs="Arial" w:eastAsia="Arial" w:hAnsi="Arial"/>
          <w:sz w:val="13"/>
          <w:szCs w:val="13"/>
          <w:color w:val="auto"/>
        </w:rPr>
        <w:t>, land) and related building acquired from the Institute in the transaction as an asset at the option exercise date and these assets totaling $129 and $24, respectively, have been classified within “Property and Equipment” on the Company’s balance sheet at September 30, 2008.</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$5,920 value of the settlement of future royalty payment obligations to the Institute was determined based on its relative fair value at the option exercise date and is included in the accompanying balance sheet at September 30, 2008 as a “Prepaid Royalty,” and will be amortized over a period of 20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of prior year amounts have been made to the prior year balances to conform to the current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6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At September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53"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also Note 3, “Restatement of Financial Statements,” for the discussion of the restatement to the allowance for doubtful accounts.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nine months ended September 30, 2007 and 2008 are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r>
      <w:tr>
        <w:trPr>
          <w:trHeight w:val="98"/>
        </w:trPr>
        <w:tc>
          <w:tcPr>
            <w:tcW w:w="5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2,331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2,236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2,156</w:t>
            </w:r>
          </w:p>
        </w:tc>
      </w:tr>
      <w:tr>
        <w:trPr>
          <w:trHeight w:val="29"/>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Goodwill represents the excess of the cost over the fair market value of net assets acquired, including identified intangible assets. Goodwill is tested annually or more frequently if circumstances indicate potential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impairment, by comparing its fair value to its carrying amount as defined by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 xml:space="preserve">Effective January 1, 2008, the Company adopted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Textbook sales and other revenues are recognized as sales occur or services are performed and represent less than 10% of total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$3,423, $4,674, and $10,213 respectively, and for the nine months ended September 30, 2007 and 2008 were $7,052 and $13,656, respectively.</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nine months ended September 30, 2007 and 2008, $3,120 and $4,323, respectively, pursuant to these arrangements. As of December 31, 2006 and 2007, and as of the nine months ended September 30, 2008, $475, $416, and $1,534, respectively, were due to these related parties.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1"/>
          <w:szCs w:val="11"/>
          <w:i w:val="1"/>
          <w:iCs w:val="1"/>
          <w:color w:val="auto"/>
        </w:rPr>
        <w:t>Formation and Transactions with Former Owner.</w:t>
      </w:r>
      <w:r>
        <w:rPr>
          <w:rFonts w:ascii="Arial" w:cs="Arial" w:eastAsia="Arial" w:hAnsi="Arial"/>
          <w:sz w:val="11"/>
          <w:szCs w:val="11"/>
          <w:color w:val="auto"/>
        </w:rPr>
        <w:t xml:space="preserve"> The royalties accrued through April 2008 were applied against the payments made to the former owner.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$11 (net of taxes of $7) at September 30,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September 2006, the FASB issued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Restatement of Financial Statements</w:t>
      </w:r>
    </w:p>
    <w:p>
      <w:pPr>
        <w:spacing w:after="0" w:line="100" w:lineRule="exact"/>
        <w:rPr>
          <w:sz w:val="20"/>
          <w:szCs w:val="20"/>
          <w:color w:val="auto"/>
        </w:rPr>
      </w:pPr>
    </w:p>
    <w:p>
      <w:pPr>
        <w:ind w:left="680" w:right="820" w:firstLine="399"/>
        <w:spacing w:after="0" w:line="308" w:lineRule="auto"/>
        <w:rPr>
          <w:sz w:val="20"/>
          <w:szCs w:val="20"/>
          <w:color w:val="auto"/>
        </w:rPr>
      </w:pPr>
      <w:r>
        <w:rPr>
          <w:rFonts w:ascii="Arial" w:cs="Arial" w:eastAsia="Arial" w:hAnsi="Arial"/>
          <w:sz w:val="11"/>
          <w:szCs w:val="11"/>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summary of the impact of the restatement: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7"/>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25,339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23,036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46,046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275"/>
        </w:trPr>
        <w:tc>
          <w:tcPr>
            <w:tcW w:w="6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Arial" w:cs="Arial" w:eastAsia="Arial" w:hAnsi="Arial"/>
                <w:sz w:val="13"/>
                <w:szCs w:val="13"/>
                <w:b w:val="1"/>
                <w:bCs w:val="1"/>
                <w:color w:val="auto"/>
              </w:rPr>
              <w:t>LIABILITIES, PREFERRED STOCK AND STOCKHOLDERS’ DEFICIT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stockholders’ deficit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(11,723)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(10,386)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preferred stock and stockholders’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F-15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2005</w:t>
            </w:r>
          </w:p>
        </w:tc>
        <w:tc>
          <w:tcPr>
            <w:tcW w:w="100" w:type="dxa"/>
            <w:vAlign w:val="bottom"/>
          </w:tcPr>
          <w:p>
            <w:pPr>
              <w:spacing w:after="0"/>
              <w:rPr>
                <w:sz w:val="10"/>
                <w:szCs w:val="10"/>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3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94,981</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4,345</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(2,975)</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(5,707)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2,542</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1,526</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12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34"/>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0.03</w:t>
            </w:r>
          </w:p>
        </w:tc>
      </w:tr>
      <w:tr>
        <w:trPr>
          <w:trHeight w:val="29"/>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880"/>
              <w:spacing w:after="0"/>
              <w:rPr>
                <w:sz w:val="20"/>
                <w:szCs w:val="20"/>
                <w:color w:val="auto"/>
              </w:rPr>
            </w:pPr>
            <w:r>
              <w:rPr>
                <w:rFonts w:ascii="Arial" w:cs="Arial" w:eastAsia="Arial" w:hAnsi="Arial"/>
                <w:sz w:val="13"/>
                <w:szCs w:val="13"/>
                <w:color w:val="auto"/>
              </w:rPr>
              <w:t>F-16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ind w:left="1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6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1,567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1,572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r>
      <w:tr>
        <w:trPr>
          <w:trHeight w:val="29"/>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Gross realized gains and losses resulting from the sale of available-for-sale securities were $0 for the years ended December 31, 2005, 2006, and 2007, and $111 for the nine months ended September 30, 2008. For the years ended December 31, 2005, 2006, and 2007, respectively the net unrealized gain (loss) on available-for-sale securities were $0, $35, and $44, net of tax effect, respectively, and $(68), net of tax effect, for the nine months ended September 30, 2008.</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1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61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1,726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2,236</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3,974</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8,073</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11,206</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5,225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9,515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12,528</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1,168</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42,211</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50,671</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(5,215)</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(8,362)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(11,687)</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33,849</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38,984</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$1,849, $2,298, and $3,270 for the years ended December 31, 2005, 2006, and 2007, respectively, and $2,294 and $3,356 for the nine months ended September 30, 2007 and 2008.</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Accrued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consist of the following:</w:t>
      </w:r>
    </w:p>
    <w:p>
      <w:pPr>
        <w:spacing w:after="0" w:line="98" w:lineRule="exact"/>
        <w:rPr>
          <w:sz w:val="20"/>
          <w:szCs w:val="20"/>
          <w:color w:val="auto"/>
        </w:rPr>
      </w:pPr>
    </w:p>
    <w:p>
      <w:pPr>
        <w:jc w:val="center"/>
        <w:ind w:left="730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6350</wp:posOffset>
            </wp:positionV>
            <wp:extent cx="88646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ind w:left="7440"/>
        <w:spacing w:after="0"/>
        <w:tabs>
          <w:tab w:leader="none" w:pos="830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wp:posOffset>
            </wp:positionV>
            <wp:extent cx="32448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-635</wp:posOffset>
            </wp:positionV>
            <wp:extent cx="31178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2080"/>
          </w:cols>
          <w:pgMar w:left="220" w:top="344" w:right="219" w:bottom="1440" w:gutter="0" w:footer="0" w:header="0"/>
        </w:sectPr>
      </w:pPr>
    </w:p>
    <w:tbl>
      <w:tblPr>
        <w:tblLayout w:type="fixed"/>
        <w:tblInd w:w="680" w:type="dxa"/>
        <w:tblCellMar>
          <w:top w:w="0" w:type="dxa"/>
          <w:left w:w="0" w:type="dxa"/>
          <w:bottom w:w="0" w:type="dxa"/>
          <w:right w:w="0" w:type="dxa"/>
        </w:tblCellMar>
      </w:tblP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w:t>
            </w: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1,096</w:t>
            </w:r>
          </w:p>
        </w:tc>
        <w:tc>
          <w:tcPr>
            <w:tcW w:w="6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4,600</w:t>
            </w:r>
          </w:p>
        </w:tc>
      </w:tr>
      <w:tr>
        <w:trPr>
          <w:trHeight w:val="20"/>
        </w:trPr>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6,893</w:t>
            </w:r>
          </w:p>
        </w:tc>
        <w:tc>
          <w:tcPr>
            <w:tcW w:w="400" w:type="dxa"/>
            <w:vAlign w:val="bottom"/>
          </w:tcPr>
          <w:p>
            <w:pPr>
              <w:spacing w:after="0"/>
              <w:rPr>
                <w:sz w:val="13"/>
                <w:szCs w:val="13"/>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12,006</w:t>
            </w:r>
          </w:p>
        </w:tc>
      </w:tr>
      <w:tr>
        <w:trPr>
          <w:trHeight w:val="30"/>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September 30, 2008, the Company was obligated to spend $2,287 and $1,258, respectively, by July 2010 on such improvements.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280" w:type="dxa"/>
            <w:vAlign w:val="bottom"/>
          </w:tcPr>
          <w:p>
            <w:pPr>
              <w:ind w:left="20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28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2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$301 at an implicit interest rate of 8.7% through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29,161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28,451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30,319</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8"/>
              </w:rPr>
              <w:t>Capital leases for equipment (various leases extending into 2012, with implicit interest rates ranging from 7.4% to</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9.3%, monthly payments totaling $35)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29,228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28,779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28,078</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29,675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76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p>
      <w:pPr>
        <w:jc w:val="center"/>
        <w:ind w:left="712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6350</wp:posOffset>
            </wp:positionV>
            <wp:extent cx="101092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ind w:left="7280"/>
        <w:spacing w:after="0"/>
        <w:tabs>
          <w:tab w:leader="none" w:pos="826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wp:posOffset>
            </wp:positionV>
            <wp:extent cx="101092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4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1280"/>
          </w:cols>
          <w:pgMar w:left="220" w:top="344"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400" w:type="dxa"/>
            <w:vAlign w:val="bottom"/>
          </w:tcPr>
          <w:p>
            <w:pPr>
              <w:spacing w:after="0" w:line="149" w:lineRule="exact"/>
              <w:rPr>
                <w:sz w:val="20"/>
                <w:szCs w:val="20"/>
                <w:color w:val="auto"/>
              </w:rPr>
            </w:pPr>
            <w:r>
              <w:rPr>
                <w:rFonts w:ascii="Arial" w:cs="Arial" w:eastAsia="Arial" w:hAnsi="Arial"/>
                <w:sz w:val="13"/>
                <w:szCs w:val="13"/>
                <w:color w:val="auto"/>
                <w:w w:val="96"/>
              </w:rPr>
              <w:t>Institute Loan; 8 quarterly payments of $60 through June 2006 and $120 for 20 quarters through June 2011; implicit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400" w:type="dxa"/>
            <w:vAlign w:val="bottom"/>
          </w:tcPr>
          <w:p>
            <w:pPr>
              <w:ind w:left="140"/>
              <w:spacing w:after="0"/>
              <w:rPr>
                <w:sz w:val="20"/>
                <w:szCs w:val="20"/>
                <w:color w:val="auto"/>
              </w:rPr>
            </w:pPr>
            <w:r>
              <w:rPr>
                <w:rFonts w:ascii="Arial" w:cs="Arial" w:eastAsia="Arial" w:hAnsi="Arial"/>
                <w:sz w:val="13"/>
                <w:szCs w:val="13"/>
                <w:color w:val="auto"/>
              </w:rPr>
              <w:t>interest at 23.6%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Various Gift Annuities; quarterly payments of $34 extending through 2018; interest at 10%</w:t>
            </w:r>
          </w:p>
        </w:tc>
        <w:tc>
          <w:tcPr>
            <w:tcW w:w="2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874</w:t>
            </w:r>
          </w:p>
        </w:tc>
      </w:tr>
      <w:tr>
        <w:trPr>
          <w:trHeight w:val="148"/>
        </w:trPr>
        <w:tc>
          <w:tcPr>
            <w:tcW w:w="6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Notes payable for vehicles requiring monthly payments with interest rates ranging from 9.5% to 11.0% extending into</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January 2013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2,462</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2,408</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1,814</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1,762</w:t>
            </w:r>
          </w:p>
        </w:tc>
        <w:tc>
          <w:tcPr>
            <w:tcW w:w="40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1,422</w:t>
            </w:r>
          </w:p>
        </w:tc>
      </w:tr>
      <w:tr>
        <w:trPr>
          <w:trHeight w:val="30"/>
        </w:trPr>
        <w:tc>
          <w:tcPr>
            <w:tcW w:w="6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2"/>
          <w:szCs w:val="12"/>
          <w:i w:val="1"/>
          <w:iCs w:val="1"/>
          <w:color w:val="auto"/>
        </w:rPr>
        <w:t>Accounting for Leases</w:t>
      </w:r>
      <w:r>
        <w:rPr>
          <w:rFonts w:ascii="Arial" w:cs="Arial" w:eastAsia="Arial" w:hAnsi="Arial"/>
          <w:sz w:val="12"/>
          <w:szCs w:val="12"/>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September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September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Capital Lease</w:t>
            </w:r>
          </w:p>
        </w:tc>
        <w:tc>
          <w:tcPr>
            <w:tcW w:w="120" w:type="dxa"/>
            <w:vAlign w:val="bottom"/>
          </w:tcPr>
          <w:p>
            <w:pPr>
              <w:spacing w:after="0"/>
              <w:rPr>
                <w:sz w:val="7"/>
                <w:szCs w:val="7"/>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Notes Payable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2,153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20,326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30,389</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Total rent expense and related taxes and operating expenses under operating leases for the years ended December 31, 2005, 2006 and 2007 and for the nine months ended September 30, 2007 and 2008 was $2,052, $2,136, $2,260, $1,571 and $1,663,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 xml:space="preserve">counterclaimed alleging breach of contract relating to the parties’ technology services agreement. Following discovery, the arbitration occurred in late May 2008 and final arguments were heard in July 2008. See Note 17 </w:t>
      </w:r>
      <w:r>
        <w:rPr>
          <w:rFonts w:ascii="Arial" w:cs="Arial" w:eastAsia="Arial" w:hAnsi="Arial"/>
          <w:sz w:val="13"/>
          <w:szCs w:val="13"/>
          <w:i w:val="1"/>
          <w:iCs w:val="1"/>
          <w:color w:val="auto"/>
        </w:rPr>
        <w:t>SunGard Arbitration Settlement (unaudited)</w:t>
      </w:r>
      <w:r>
        <w:rPr>
          <w:rFonts w:ascii="Arial" w:cs="Arial" w:eastAsia="Arial" w:hAnsi="Arial"/>
          <w:sz w:val="13"/>
          <w:szCs w:val="13"/>
          <w:color w:val="auto"/>
        </w:rPr>
        <w: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balance sheet as of December 31, 2007.</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34"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occurred on January 1, 2005 combined with the weighted number of shares of common stock outstanding after the conversion to a corporation.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3"/>
          </w:tcPr>
          <w:p>
            <w:pPr>
              <w:jc w:val="center"/>
              <w:ind w:left="538"/>
              <w:spacing w:after="0"/>
              <w:rPr>
                <w:sz w:val="20"/>
                <w:szCs w:val="20"/>
                <w:color w:val="auto"/>
              </w:rPr>
            </w:pPr>
            <w:r>
              <w:rPr>
                <w:rFonts w:ascii="Arial" w:cs="Arial" w:eastAsia="Arial" w:hAnsi="Arial"/>
                <w:sz w:val="10"/>
                <w:szCs w:val="10"/>
                <w:b w:val="1"/>
                <w:bCs w:val="1"/>
                <w:color w:val="auto"/>
                <w:w w:val="97"/>
              </w:rPr>
              <w:t>Nine Month Period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0"/>
                <w:szCs w:val="10"/>
                <w:b w:val="1"/>
                <w:bCs w:val="1"/>
                <w:color w:val="auto"/>
                <w:w w:val="94"/>
              </w:rPr>
              <w:t>Ended September 30,</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9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8"/>
                <w:szCs w:val="8"/>
                <w:color w:val="auto"/>
              </w:rPr>
            </w:pPr>
          </w:p>
        </w:tc>
        <w:tc>
          <w:tcPr>
            <w:tcW w:w="116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90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18,853,450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18,922,838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18,884,887</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19,132,681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14,494,788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12,393,062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12,449,668</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10,870,178</w:t>
            </w: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Effect of dilutive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3,509,572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3,805,384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3,824,845</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2,068,987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30,210</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36,857,810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35,189,610</w:t>
            </w:r>
          </w:p>
        </w:tc>
        <w:tc>
          <w:tcPr>
            <w:tcW w:w="2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32,097,356</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securities that could potentially dilute earnings</w:t>
            </w: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per share in the future that are not included above as they are anti-</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2,120</w:t>
            </w:r>
          </w:p>
        </w:tc>
        <w:tc>
          <w:tcPr>
            <w:tcW w:w="26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Arial" w:cs="Arial" w:eastAsia="Arial" w:hAnsi="Arial"/>
                <w:sz w:val="13"/>
                <w:szCs w:val="13"/>
                <w:color w:val="auto"/>
              </w:rPr>
              <w:t>Common stock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4,267,362</w:t>
            </w:r>
          </w:p>
        </w:tc>
        <w:tc>
          <w:tcPr>
            <w:tcW w:w="2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 and Equity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and September 30, 2008, the following series of preferred stock have been authorized: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Series A was originally convertible into common stock on a one for one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Convertible Preferred Stock</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is non-voting.</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September 30, 2008, no shares of Series B remain outstanding.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5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September 30, 2008,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5"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September 30, 2008.</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w w:val="96"/>
              </w:rPr>
              <w:t>For the Nine Months Ended</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2,221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2,194</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$ 306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2,677</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2,672</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6,054</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(1,792)</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(1,358)</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(3,693)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(2,148)</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(1,656)</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(3,186)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$ 347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income tax computed at the U.S. statutory rate to the effective income tax rate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6"/>
              </w:rPr>
              <w:t>For the 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0"/>
                <w:szCs w:val="10"/>
                <w:b w:val="1"/>
                <w:bCs w:val="1"/>
                <w:color w:val="auto"/>
                <w:w w:val="90"/>
              </w:rPr>
              <w:t>September 30,</w:t>
            </w: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8"/>
                <w:szCs w:val="8"/>
                <w:color w:val="auto"/>
              </w:rPr>
            </w:pPr>
          </w:p>
        </w:tc>
        <w:tc>
          <w:tcPr>
            <w:tcW w:w="60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240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(34.0)%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2400" w:type="dxa"/>
            <w:vAlign w:val="bottom"/>
            <w:gridSpan w:val="3"/>
          </w:tcPr>
          <w:p>
            <w:pPr>
              <w:jc w:val="right"/>
              <w:ind w:right="348"/>
              <w:spacing w:after="0"/>
              <w:rPr>
                <w:sz w:val="20"/>
                <w:szCs w:val="20"/>
                <w:color w:val="auto"/>
              </w:rPr>
            </w:pPr>
            <w:r>
              <w:rPr>
                <w:rFonts w:ascii="Arial" w:cs="Arial" w:eastAsia="Arial" w:hAnsi="Arial"/>
                <w:sz w:val="13"/>
                <w:szCs w:val="13"/>
                <w:color w:val="auto"/>
              </w:rPr>
              <w:t>(2.5)</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5.5</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24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(24.1)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Loss prior to charter conversion not subject to tax</w:t>
            </w:r>
          </w:p>
        </w:tc>
        <w:tc>
          <w:tcPr>
            <w:tcW w:w="2400" w:type="dxa"/>
            <w:vAlign w:val="bottom"/>
            <w:gridSpan w:val="3"/>
          </w:tcPr>
          <w:p>
            <w:pPr>
              <w:jc w:val="right"/>
              <w:ind w:right="388"/>
              <w:spacing w:after="0"/>
              <w:rPr>
                <w:sz w:val="20"/>
                <w:szCs w:val="20"/>
                <w:color w:val="auto"/>
              </w:rPr>
            </w:pPr>
            <w:r>
              <w:rPr>
                <w:rFonts w:ascii="Arial" w:cs="Arial" w:eastAsia="Arial" w:hAnsi="Arial"/>
                <w:sz w:val="13"/>
                <w:szCs w:val="13"/>
                <w:color w:val="auto"/>
              </w:rPr>
              <w:t>15.2</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 deductible expenses</w:t>
            </w:r>
          </w:p>
        </w:tc>
        <w:tc>
          <w:tcPr>
            <w:tcW w:w="240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0.7</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42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(44.5)%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Arial" w:cs="Arial" w:eastAsia="Arial" w:hAnsi="Arial"/>
                <w:sz w:val="13"/>
                <w:szCs w:val="13"/>
                <w:color w:val="auto"/>
              </w:rPr>
              <w:t>F-26</w:t>
            </w: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and at September 30,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As of September 30,</w:t>
            </w: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jc w:val="right"/>
              <w:ind w:right="5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4,981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6,418</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7,436</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2,204</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Redemption of Institute warrant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1,146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80"/>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5,819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7,446</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12,989</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As of January 1, 2008, the Company adopted FASB interpretation No. 48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FASB Statement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which clarifies the accounting for uncertainty in tax positions. FIN 48 requires that the Company recognize the impact of a tax position in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if that position is more-likely-than-not of being sustained on audit, based on the technical merits of the position.</w:t>
      </w:r>
    </w:p>
    <w:p>
      <w:pPr>
        <w:spacing w:after="0" w:line="67"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adoption of FIN 48 did not result in an adjustment to opening retained earnings. The Company recognizes interest and penalties related to uncertain tax positions in income tax expense. As of September 30, 2008, the unrecognized tax benefit recorded was approximately $52, which, if reversed, would impact the effective tax rate. The Company’s uncertain tax positions are related to tax years that remain subject to examination by tax authorities. As of September 30, 2008, the earliest tax year still subject to examination for federal and state purposes is 2005. During the second quarter ended June 30, 2008, the Internal Revenue Service (“IRS”) commenced an examination of our 2005 income tax return.</w:t>
      </w:r>
    </w:p>
    <w:p>
      <w:pPr>
        <w:spacing w:after="0" w:line="128"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and September 30, 2008, management believes the Company is in compliance with the applicable regulations in all material respects.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60" w:right="198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5"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28"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nine months of 2007 or 2008.</w:t>
      </w:r>
    </w:p>
    <w:p>
      <w:pPr>
        <w:spacing w:after="0" w:line="14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As of and for the years ended December 31, 2005, 2006, and 2007, and as of and for the nine months ended September 30, 2008, related party transactions consisted of the following:</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and September 30, 2008, Sig Ed holds 18,260,000 shares of the Company’s common stock. The Company has</w:t>
      </w:r>
      <w:r>
        <w:rPr>
          <w:rFonts w:ascii="Arial" w:cs="Arial" w:eastAsia="Arial" w:hAnsi="Arial"/>
          <w:sz w:val="13"/>
          <w:szCs w:val="13"/>
          <w:i w:val="1"/>
          <w:iCs w:val="1"/>
          <w:color w:val="auto"/>
        </w:rPr>
        <w:t xml:space="preserve"> </w:t>
      </w:r>
      <w:r>
        <w:rPr>
          <w:rFonts w:ascii="Arial" w:cs="Arial" w:eastAsia="Arial" w:hAnsi="Arial"/>
          <w:sz w:val="13"/>
          <w:szCs w:val="13"/>
          <w:color w:val="auto"/>
        </w:rPr>
        <w:t>not engaged in any transactions with Sig Ed, but has engaged in certain transactions with members of Sig Ed, as discussed below.</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220 Partners, LLC (220 Partners) </w:t>
      </w:r>
      <w:r>
        <w:rPr>
          <w:rFonts w:ascii="Arial" w:cs="Arial" w:eastAsia="Arial" w:hAnsi="Arial"/>
          <w:sz w:val="12"/>
          <w:szCs w:val="12"/>
          <w:color w:val="auto"/>
        </w:rPr>
        <w:t>— 220 Partners, which is affiliated with several entities that hold membership interests in Sig Ed and a former director of the Company,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consulting fees, and reimbursed expenses of $299, $299, $0 and $0 in the years ended December 31, 2005, 2006, and 2007, and in the nine months ended September 30, 2008, respectively. There were no amounts due from or payable to 220 Partners at December 31, 2006, and 2007 or at September 30, 2008.</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September 30, 2008.</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Executive Chairman and General Counsel of the Company who are also both Directors. Rich Crow</w:t>
      </w:r>
      <w:r>
        <w:rPr>
          <w:rFonts w:ascii="Arial" w:cs="Arial" w:eastAsia="Arial" w:hAnsi="Arial"/>
          <w:sz w:val="12"/>
          <w:szCs w:val="12"/>
          <w:i w:val="1"/>
          <w:iCs w:val="1"/>
          <w:color w:val="auto"/>
        </w:rPr>
        <w:t xml:space="preserve"> </w:t>
      </w:r>
      <w:r>
        <w:rPr>
          <w:rFonts w:ascii="Arial" w:cs="Arial" w:eastAsia="Arial" w:hAnsi="Arial"/>
          <w:sz w:val="12"/>
          <w:szCs w:val="12"/>
          <w:color w:val="auto"/>
        </w:rPr>
        <w:t>also is a member of Sig Ed. A member of Rich Crow is also related to the owner of a company that provided marketing services totaling $454 and $309 in the year ended December 31, 2007, and the nine months ended September 30, 2008, respectively, of which $72 and $0 were owed at December 31, 2007, and September 30, 2008, respectively.</w:t>
      </w:r>
    </w:p>
    <w:p>
      <w:pPr>
        <w:spacing w:after="0" w:line="5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nine months ended September 30, 2008, respectively.</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Significant Ventures, LLC (Significant Ventures) </w:t>
      </w:r>
      <w:r>
        <w:rPr>
          <w:rFonts w:ascii="Arial" w:cs="Arial" w:eastAsia="Arial" w:hAnsi="Arial"/>
          <w:sz w:val="13"/>
          <w:szCs w:val="13"/>
          <w:color w:val="auto"/>
        </w:rPr>
        <w:t>— Significant Ventures is a member of Sig Ed. In the years ended December 31, 2005, 2006, and 2007, and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2008, the Company made payments of $124, $390, $0, and $0, respectively, to Significant Ventures for services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reimbursement of expenses. There were no amounts due from or payable to Significant Ventures as of December 31, 2006, and 2007 or September 30, 2008.</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Endeavour Capital Fund IV, LP, Endeavour Associated Fund IV, LP, and Endeavour Capital Parallel Fund IV, LP (Endeavour) </w:t>
      </w:r>
      <w:r>
        <w:rPr>
          <w:rFonts w:ascii="Arial" w:cs="Arial" w:eastAsia="Arial" w:hAnsi="Arial"/>
          <w:sz w:val="12"/>
          <w:szCs w:val="12"/>
          <w:color w:val="auto"/>
        </w:rPr>
        <w:t>— Members of the Company’s Board of Directors are</w:t>
      </w:r>
      <w:r>
        <w:rPr>
          <w:rFonts w:ascii="Arial" w:cs="Arial" w:eastAsia="Arial" w:hAnsi="Arial"/>
          <w:sz w:val="12"/>
          <w:szCs w:val="12"/>
          <w:i w:val="1"/>
          <w:iCs w:val="1"/>
          <w:color w:val="auto"/>
        </w:rPr>
        <w:t xml:space="preserve"> </w:t>
      </w:r>
      <w:r>
        <w:rPr>
          <w:rFonts w:ascii="Arial" w:cs="Arial" w:eastAsia="Arial" w:hAnsi="Arial"/>
          <w:sz w:val="12"/>
          <w:szCs w:val="12"/>
          <w:color w:val="auto"/>
        </w:rPr>
        <w:t>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$288 for the years ended December 31, 2005, 2006 and 2007, and the nine months ended September 30, 2008, respectively. As of December 31, 2006 and 2007 and September 30, 2008 there were no amounts due from or payable to Endeavour.</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Chairman and General Counsel. See further discussion in Note 2, Summary of Significant Accounting Policies — Selling and Promotional.</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$0 and $0 in the years ended December 31, 2005, 2006, and 2007, and the nine months ended September 30, 2008, respectively. There were no amounts due from or payable to Youth In Motion at December 31, 2006 and 2007 or September 30, 2008.</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The Center for Educational Excellence, LLC (CEE) </w:t>
      </w:r>
      <w:r>
        <w:rPr>
          <w:rFonts w:ascii="Arial" w:cs="Arial" w:eastAsia="Arial" w:hAnsi="Arial"/>
          <w:sz w:val="13"/>
          <w:szCs w:val="13"/>
          <w:color w:val="auto"/>
        </w:rPr>
        <w:t>— Members of CEE include the COO of the Company. The Company paid $607 and $0 of expenses on CEE’s behalf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2007 and the nine months ended September 30, 2008, respectively, and was reimbursed $331, and $4, respectively, and was owed $276 and $0, respectively, included in due from related parties at December 31, 2007 and September 30, 2008.</w:t>
      </w:r>
    </w:p>
    <w:p>
      <w:pPr>
        <w:spacing w:after="0" w:line="102"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2,632</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7,380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6,257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Nine months ended September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5,301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Higher Education Opportunity Act: </w:t>
      </w:r>
      <w:r>
        <w:rPr>
          <w:rFonts w:ascii="Arial" w:cs="Arial" w:eastAsia="Arial" w:hAnsi="Arial"/>
          <w:sz w:val="13"/>
          <w:szCs w:val="13"/>
          <w:color w:val="auto"/>
        </w:rPr>
        <w:t>On July 31, 2008, Congress passed the Higher Education Opportunity Act (the “2008 Act”), which reauthorized and made numerous changes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 and its programs. President Bush signed the 2008 Act on August 14, 2008. The HEA, as reauthorized and amended</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3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Litigation: </w:t>
      </w:r>
      <w:r>
        <w:rPr>
          <w:rFonts w:ascii="Arial" w:cs="Arial" w:eastAsia="Arial" w:hAnsi="Arial"/>
          <w:sz w:val="12"/>
          <w:szCs w:val="12"/>
          <w:color w:val="auto"/>
        </w:rPr>
        <w:t>On August 14, 2008, the Office of Inspector General (“OIG”) served an administrative subpoena on the Company requiring it to provide certain records and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related to performance reviews and salary adjustments for all of its enrollment counselors and managers from January 1, 2004 to the present. The Company is cooperating with the Office of Inspector General to facilitate its investigation, but cannot presently predict the ultimate outcome of the investigation or any liability or other sanctions that may result.</w:t>
      </w:r>
    </w:p>
    <w:p>
      <w:pPr>
        <w:spacing w:after="0" w:line="1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On September 11, 2008, the Company was served with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was initially filed under seal in August 2007 and was unsealed and served on the Company following the government’s decision not to intervene at this time.</w:t>
      </w:r>
    </w:p>
    <w:p>
      <w:pPr>
        <w:spacing w:after="0" w:line="32"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2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w:t>
      </w:r>
    </w:p>
    <w:p>
      <w:pPr>
        <w:spacing w:after="0" w:line="20" w:lineRule="exact"/>
        <w:rPr>
          <w:sz w:val="20"/>
          <w:szCs w:val="20"/>
          <w:color w:val="auto"/>
        </w:rPr>
      </w:pPr>
    </w:p>
    <w:p>
      <w:pPr>
        <w:ind w:left="680" w:right="100" w:firstLine="399"/>
        <w:spacing w:after="0" w:line="345" w:lineRule="auto"/>
        <w:rPr>
          <w:sz w:val="20"/>
          <w:szCs w:val="20"/>
          <w:color w:val="auto"/>
        </w:rPr>
      </w:pPr>
      <w:r>
        <w:rPr>
          <w:rFonts w:ascii="Arial" w:cs="Arial" w:eastAsia="Arial" w:hAnsi="Arial"/>
          <w:sz w:val="11"/>
          <w:szCs w:val="11"/>
          <w:b w:val="1"/>
          <w:bCs w:val="1"/>
          <w:i w:val="1"/>
          <w:iCs w:val="1"/>
          <w:color w:val="auto"/>
        </w:rPr>
        <w:t xml:space="preserve">Charter Amendment: </w:t>
      </w:r>
      <w:r>
        <w:rPr>
          <w:rFonts w:ascii="Arial" w:cs="Arial" w:eastAsia="Arial" w:hAnsi="Arial"/>
          <w:sz w:val="11"/>
          <w:szCs w:val="11"/>
          <w:color w:val="auto"/>
        </w:rPr>
        <w:t>On September 26, 2008 the Company’s Board of Directors approved an amendment to the Company’s charter to increase the Company’s authorized common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to 100,000,000 common shares. This charter amendment was approved by the Company’s stockholders on September 27, 2008 and became effective on September 29, 2008.</w:t>
      </w:r>
    </w:p>
    <w:p>
      <w:pPr>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Stock Split: </w:t>
      </w:r>
      <w:r>
        <w:rPr>
          <w:rFonts w:ascii="Arial" w:cs="Arial" w:eastAsia="Arial" w:hAnsi="Arial"/>
          <w:sz w:val="12"/>
          <w:szCs w:val="12"/>
          <w:color w:val="auto"/>
        </w:rPr>
        <w:t>On September 26, 2008, the Company’s Board of Directors declared a 1,826 for one stock split of its outstanding common stock, which became effective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On September 26, 2008 the Company’s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Adoption of Equity Plans: </w:t>
      </w:r>
      <w:r>
        <w:rPr>
          <w:rFonts w:ascii="Arial" w:cs="Arial" w:eastAsia="Arial" w:hAnsi="Arial"/>
          <w:sz w:val="13"/>
          <w:szCs w:val="13"/>
          <w:color w:val="auto"/>
        </w:rPr>
        <w:t>On September 27, 2008 the Company’s stockholders approved the adoption of the 2008 Equity Incentive Plan (“Incentive Plan”) and the 2008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Purchase (“ESPP”).</w:t>
      </w:r>
    </w:p>
    <w:p>
      <w:pPr>
        <w:spacing w:after="0" w:line="2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 total of 4,199,937 shares of our common stock has been authorized for issuance under the Incentive Plan. This reserve will automatically increase on a cumulative basis on January 1, 2009 and each subsequent anniversary through 2017, by an amount equal to the smaller of (a) 2.5% of the number of shares of common stock issued and outstanding on the immediately preceding December 31, or (b) a lesser amount determined by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2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SunGard Arbitration Settlement (unaudited): </w:t>
      </w:r>
      <w:r>
        <w:rPr>
          <w:rFonts w:ascii="Arial" w:cs="Arial" w:eastAsia="Arial" w:hAnsi="Arial"/>
          <w:sz w:val="13"/>
          <w:szCs w:val="13"/>
          <w:color w:val="auto"/>
        </w:rPr>
        <w:t>In connection with the SunGard litigation described in Note 9 above, on October 22, 2008, the arbitration panel awarded SunGard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damages in the amount of approximately $250 plus interest. In connection with the settlement, the Company will also be responsible for paying a share of the related arbitration expenses. As a result, the Company has reduced its reserve for litigation by $300 in the nine month period ended September 30, 2008 given that there is no further legal recourse for either party and the remaining actions necessary to settle the matters are administrative in nature.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Dividend Distribution (unaudited): </w:t>
      </w:r>
      <w:r>
        <w:rPr>
          <w:rFonts w:ascii="Arial" w:cs="Arial" w:eastAsia="Arial" w:hAnsi="Arial"/>
          <w:sz w:val="13"/>
          <w:szCs w:val="13"/>
          <w:color w:val="auto"/>
        </w:rPr>
        <w:t>On November 3, 2008, the Company’s Board of Directors approved the revision of the date of record for the possible special distribution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described in </w:t>
      </w:r>
      <w:r>
        <w:rPr>
          <w:rFonts w:ascii="Arial" w:cs="Arial" w:eastAsia="Arial" w:hAnsi="Arial"/>
          <w:sz w:val="13"/>
          <w:szCs w:val="13"/>
          <w:i w:val="1"/>
          <w:iCs w:val="1"/>
          <w:color w:val="auto"/>
        </w:rPr>
        <w:t>Initial Public Offering and Distribution of Dividends</w:t>
      </w:r>
      <w:r>
        <w:rPr>
          <w:rFonts w:ascii="Arial" w:cs="Arial" w:eastAsia="Arial" w:hAnsi="Arial"/>
          <w:sz w:val="13"/>
          <w:szCs w:val="13"/>
          <w:color w:val="auto"/>
        </w:rPr>
        <w:t xml:space="preserve"> above to November 18, 2008.</w:t>
      </w:r>
    </w:p>
    <w:p>
      <w:pPr>
        <w:spacing w:after="0" w:line="134"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Information (Unaudited)</w:t>
      </w:r>
    </w:p>
    <w:p>
      <w:pPr>
        <w:spacing w:after="0" w:line="61" w:lineRule="exact"/>
        <w:rPr>
          <w:sz w:val="20"/>
          <w:szCs w:val="20"/>
          <w:color w:val="auto"/>
        </w:rPr>
      </w:pPr>
    </w:p>
    <w:p>
      <w:pPr>
        <w:ind w:left="680" w:right="820" w:firstLine="399"/>
        <w:spacing w:after="0" w:line="289" w:lineRule="auto"/>
        <w:rPr>
          <w:sz w:val="20"/>
          <w:szCs w:val="20"/>
          <w:color w:val="auto"/>
        </w:rPr>
      </w:pPr>
      <w:r>
        <w:rPr>
          <w:rFonts w:ascii="Arial" w:cs="Arial" w:eastAsia="Arial" w:hAnsi="Arial"/>
          <w:sz w:val="12"/>
          <w:szCs w:val="12"/>
          <w:color w:val="auto"/>
        </w:rPr>
        <w:t>As the special distribution referred to in Note 17 represents distributions to existing shareholders to be made from the proceeds of an initial public offering, the accompanying pro forma balance sheet as of September 30, 2008 reflecting the distribution, but not giving effect to the offering proceeds, is presented. The pro forma September 30, 2008 balance sheet also assumes conversion of all outstanding shares of Series A convertible preferred stock into 10,870,178 shares of common stock, conversion of all outstanding shares of Series C preferred stock into 2,061,538 shares of common stock, and that the warrant holder exercises the option to purchase 909,348 shares of the Company’s common stock (see Note 11).</w:t>
      </w:r>
    </w:p>
    <w:p>
      <w:pPr>
        <w:spacing w:after="0" w:line="53" w:lineRule="exact"/>
        <w:rPr>
          <w:sz w:val="20"/>
          <w:szCs w:val="20"/>
          <w:color w:val="auto"/>
        </w:rPr>
      </w:pPr>
    </w:p>
    <w:p>
      <w:pPr>
        <w:ind w:left="680" w:right="900" w:firstLine="399"/>
        <w:spacing w:after="0" w:line="282" w:lineRule="auto"/>
        <w:rPr>
          <w:sz w:val="20"/>
          <w:szCs w:val="20"/>
          <w:color w:val="auto"/>
        </w:rPr>
      </w:pPr>
      <w:r>
        <w:rPr>
          <w:rFonts w:ascii="Arial" w:cs="Arial" w:eastAsia="Arial" w:hAnsi="Arial"/>
          <w:sz w:val="12"/>
          <w:szCs w:val="12"/>
          <w:color w:val="auto"/>
        </w:rPr>
        <w:t>In addition, as the amount of distribution exceeds net income for the twelve-month period ended September 30, 2008, pro forma earnings per common share, basic and diluted, are presented in the accompanying statements of operations for the year ended December 31, 2007 and for the nine-month period ended September 30, 2008, giving effect to the number of shares that would be required to be issued at an assumed initial public offering price of $13.00 per share to pay the amount of dividends, net of warrant exercise proceeds, that exceeds net income for the twelve-month period ended September 30, 2008. The calculations of the pro forma earnings per common share, basic and diluted, discussed above assume conversion of all outstanding shares of Series A convertible preferred stock into 10,870,178 shares of common stock, conversion of all outstanding shares of Series C preferred stock into 2,061,538 shares of common stock, and the exercise of the warrant to purchase 909,348 shares of the Company’s common stock, and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b w:val="1"/>
                <w:bCs w:val="1"/>
                <w:color w:val="auto"/>
              </w:rPr>
              <w:t>Calculation of number of additional shares to be issued: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00"/>
        </w:trPr>
        <w:tc>
          <w:tcPr>
            <w:tcW w:w="68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 for the year ended December 31, 2007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Less net income available to common stockholders for the nine-month period ended September 30, 2007</w:t>
            </w: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Plus net income available to common stockholders for the nine-month period ended September 30, 2008</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Net income available to common stockholders for the twelve-month period ended September 30, 2008</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4,592</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of dividends to be paid, net of proceeds of $526 from the exercise of the warrant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101,849</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Excess of dividends over earnings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97,257</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4"/>
        </w:trPr>
        <w:tc>
          <w:tcPr>
            <w:tcW w:w="68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Number of shares required to be issued at $13 per share to pay excess of dividends over earnings</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7,481,308</w:t>
            </w:r>
          </w:p>
        </w:tc>
        <w:tc>
          <w:tcPr>
            <w:tcW w:w="800" w:type="dxa"/>
            <w:vAlign w:val="bottom"/>
          </w:tcPr>
          <w:p>
            <w:pPr>
              <w:spacing w:after="0"/>
              <w:rPr>
                <w:sz w:val="15"/>
                <w:szCs w:val="15"/>
                <w:color w:val="auto"/>
              </w:rPr>
            </w:pPr>
          </w:p>
        </w:tc>
      </w:tr>
      <w:tr>
        <w:trPr>
          <w:trHeight w:val="461"/>
        </w:trPr>
        <w:tc>
          <w:tcPr>
            <w:tcW w:w="680" w:type="dxa"/>
            <w:vAlign w:val="bottom"/>
          </w:tcPr>
          <w:p>
            <w:pPr>
              <w:spacing w:after="0"/>
              <w:rPr>
                <w:sz w:val="24"/>
                <w:szCs w:val="24"/>
                <w:color w:val="auto"/>
              </w:rPr>
            </w:pPr>
          </w:p>
        </w:tc>
        <w:tc>
          <w:tcPr>
            <w:tcW w:w="8520" w:type="dxa"/>
            <w:vAlign w:val="bottom"/>
          </w:tcPr>
          <w:p>
            <w:pPr>
              <w:ind w:left="4880"/>
              <w:spacing w:after="0"/>
              <w:rPr>
                <w:sz w:val="20"/>
                <w:szCs w:val="20"/>
                <w:color w:val="auto"/>
              </w:rPr>
            </w:pPr>
            <w:r>
              <w:rPr>
                <w:rFonts w:ascii="Arial" w:cs="Arial" w:eastAsia="Arial" w:hAnsi="Arial"/>
                <w:sz w:val="13"/>
                <w:szCs w:val="13"/>
                <w:color w:val="auto"/>
              </w:rPr>
              <w:t>F-33</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Calculation of pro forma earnings per common share, basic and diluted: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4"/>
              </w:rPr>
              <w:t>Year Ended</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8"/>
              </w:rPr>
              <w:t>Nine-Month 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tcPr>
          <w:p>
            <w:pPr>
              <w:jc w:val="center"/>
              <w:ind w:right="1200"/>
              <w:spacing w:after="0" w:line="108" w:lineRule="exact"/>
              <w:rPr>
                <w:sz w:val="20"/>
                <w:szCs w:val="20"/>
                <w:color w:val="auto"/>
              </w:rPr>
            </w:pPr>
            <w:r>
              <w:rPr>
                <w:rFonts w:ascii="Arial" w:cs="Arial" w:eastAsia="Arial" w:hAnsi="Arial"/>
                <w:sz w:val="10"/>
                <w:szCs w:val="10"/>
                <w:b w:val="1"/>
                <w:bCs w:val="1"/>
                <w:color w:val="auto"/>
                <w:w w:val="98"/>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3"/>
              </w:rPr>
              <w:t>December 31, 2007</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4"/>
              </w:rPr>
              <w:t>September 30,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1,177</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3,685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18,922,838</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19,132,681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32,097,356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40,321,465</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40,455,053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45,014,803</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41,722,347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3"/>
                <w:szCs w:val="13"/>
                <w:color w:val="auto"/>
              </w:rPr>
              <w:t>F-34</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9" w:name="page180"/>
    <w:bookmarkEnd w:id="179"/>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613283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0" w:name="page181"/>
    <w:bookmarkEnd w:id="18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2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71"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Authority,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08" w:hanging="608"/>
        <w:spacing w:after="0"/>
        <w:tabs>
          <w:tab w:leader="none" w:pos="608" w:val="left"/>
        </w:tabs>
        <w:numPr>
          <w:ilvl w:val="0"/>
          <w:numId w:val="107"/>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24,650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2,500,000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2,600,000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240,859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6,100,000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88"/>
          </w:cols>
          <w:pgMar w:left="220" w:top="343" w:right="1019" w:bottom="1440" w:gutter="0" w:footer="0" w:header="0"/>
          <w:type w:val="continuous"/>
        </w:sectPr>
      </w:pPr>
    </w:p>
    <w:p>
      <w:pPr>
        <w:spacing w:after="0" w:line="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VIII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preferred stock was paid in part by the exchange of the 865 outstanding shares of Series B preferred stock it purchased in 2006. The sales were made in reliance on Rule 506 of Regulation D promulgated under the Securities Act.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November 2008, we issued, in reliance on Section 4(2) of the Securities Act, 909,348 shares of our common stock upon the exercise of a warrant that was issued in June 2004. The exercise price of the warrant was approximately $0.58 per share, or $526,316 of the aggregate.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900" w:hanging="213"/>
        <w:spacing w:after="0"/>
        <w:tabs>
          <w:tab w:leader="none" w:pos="9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November 19,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2"/>
              </w:rPr>
              <w:t>Executive Chairman</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Chief Executive Officer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740" w:type="dxa"/>
            <w:vAlign w:val="bottom"/>
          </w:tcPr>
          <w:p>
            <w:pPr>
              <w:jc w:val="center"/>
              <w:ind w:left="354"/>
              <w:spacing w:after="0" w:line="145" w:lineRule="exact"/>
              <w:rPr>
                <w:sz w:val="20"/>
                <w:szCs w:val="20"/>
                <w:color w:val="auto"/>
              </w:rPr>
            </w:pPr>
            <w:r>
              <w:rPr>
                <w:rFonts w:ascii="Arial" w:cs="Arial" w:eastAsia="Arial" w:hAnsi="Arial"/>
                <w:sz w:val="13"/>
                <w:szCs w:val="13"/>
                <w:color w:val="auto"/>
                <w:w w:val="94"/>
              </w:rPr>
              <w:t>(Principal Executive Officer)</w:t>
            </w:r>
          </w:p>
        </w:tc>
        <w:tc>
          <w:tcPr>
            <w:tcW w:w="292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Chief Financial Officer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740" w:type="dxa"/>
            <w:vAlign w:val="bottom"/>
          </w:tcPr>
          <w:p>
            <w:pPr>
              <w:jc w:val="center"/>
              <w:ind w:left="35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92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40" w:type="dxa"/>
            <w:vAlign w:val="bottom"/>
          </w:tcPr>
          <w:p>
            <w:pPr>
              <w:jc w:val="center"/>
              <w:ind w:left="374"/>
              <w:spacing w:after="0"/>
              <w:rPr>
                <w:sz w:val="20"/>
                <w:szCs w:val="20"/>
                <w:color w:val="auto"/>
              </w:rPr>
            </w:pPr>
            <w:r>
              <w:rPr>
                <w:rFonts w:ascii="Arial" w:cs="Arial" w:eastAsia="Arial" w:hAnsi="Arial"/>
                <w:sz w:val="13"/>
                <w:szCs w:val="13"/>
                <w:color w:val="auto"/>
                <w:w w:val="95"/>
              </w:rPr>
              <w:t>Accounting Officer)</w:t>
            </w:r>
          </w:p>
        </w:tc>
        <w:tc>
          <w:tcPr>
            <w:tcW w:w="292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0"/>
              </w:rPr>
              <w:t>General Counsel and 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740" w:type="dxa"/>
            <w:vAlign w:val="bottom"/>
          </w:tcPr>
          <w:p>
            <w:pPr>
              <w:jc w:val="center"/>
              <w:ind w:left="354"/>
              <w:spacing w:after="0"/>
              <w:rPr>
                <w:sz w:val="20"/>
                <w:szCs w:val="20"/>
                <w:color w:val="auto"/>
              </w:rPr>
            </w:pPr>
            <w:r>
              <w:rPr>
                <w:rFonts w:ascii="Arial" w:cs="Arial" w:eastAsia="Arial" w:hAnsi="Arial"/>
                <w:sz w:val="13"/>
                <w:szCs w:val="13"/>
                <w:color w:val="auto"/>
                <w:w w:val="96"/>
              </w:rPr>
              <w:t>Director</w:t>
            </w:r>
          </w:p>
        </w:tc>
        <w:tc>
          <w:tcPr>
            <w:tcW w:w="2920" w:type="dxa"/>
            <w:vAlign w:val="bottom"/>
          </w:tcPr>
          <w:p>
            <w:pPr>
              <w:ind w:left="760"/>
              <w:spacing w:after="0"/>
              <w:rPr>
                <w:sz w:val="20"/>
                <w:szCs w:val="20"/>
                <w:color w:val="auto"/>
              </w:rPr>
            </w:pPr>
            <w:r>
              <w:rPr>
                <w:rFonts w:ascii="Arial" w:cs="Arial" w:eastAsia="Arial" w:hAnsi="Arial"/>
                <w:sz w:val="13"/>
                <w:szCs w:val="13"/>
                <w:color w:val="auto"/>
              </w:rPr>
              <w:t>November 19,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74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306"/>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7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color w:val="auto"/>
              </w:rPr>
              <w:t>Christopher C. Richardson</w:t>
            </w:r>
          </w:p>
        </w:tc>
        <w:tc>
          <w:tcPr>
            <w:tcW w:w="374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74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40" w:type="dxa"/>
            <w:vAlign w:val="bottom"/>
          </w:tcPr>
          <w:p>
            <w:pPr>
              <w:ind w:left="780"/>
              <w:spacing w:after="0"/>
              <w:rPr>
                <w:sz w:val="20"/>
                <w:szCs w:val="20"/>
                <w:color w:val="auto"/>
              </w:rPr>
            </w:pPr>
            <w:r>
              <w:rPr>
                <w:rFonts w:ascii="Arial" w:cs="Arial" w:eastAsia="Arial" w:hAnsi="Arial"/>
                <w:sz w:val="13"/>
                <w:szCs w:val="13"/>
                <w:color w:val="auto"/>
              </w:rPr>
              <w:t>II-5</w:t>
            </w:r>
          </w:p>
        </w:tc>
        <w:tc>
          <w:tcPr>
            <w:tcW w:w="292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900" w:hanging="213"/>
        <w:spacing w:after="0"/>
        <w:tabs>
          <w:tab w:leader="none" w:pos="9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900" w:hanging="213"/>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239"/>
          </w:cols>
          <w:pgMar w:left="220" w:top="343"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3, as to which the date is August 11, 2008, and Note 17, as to which the date is September 29, 2008), in Amendment No. 7 to the Registration Statement (Form S-1 No. 333-150876) and related Prospectus of Grand Canyon Education, Inc. for the registration of 10,500,000 shares of its common stock.</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November 17,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lowerLetter"/>
      <w:start w:val="1"/>
    </w:lvl>
  </w:abstractNum>
  <w:abstractNum w:abstractNumId="7">
    <w:nsid w:val="D34B6A8"/>
    <w:multiLevelType w:val="hybridMultilevel"/>
    <w:lvl w:ilvl="0">
      <w:lvlJc w:val="left"/>
      <w:lvlText w:val="%1"/>
      <w:numFmt w:val="decimal"/>
      <w:start w:val="1"/>
    </w:lvl>
    <w:lvl w:ilvl="1">
      <w:lvlJc w:val="left"/>
      <w:lvlText w:val="(%2)"/>
      <w:numFmt w:val="lowerLetter"/>
      <w:start w:val="2"/>
    </w:lvl>
  </w:abstractNum>
  <w:abstractNum w:abstractNumId="8">
    <w:nsid w:val="10233C99"/>
    <w:multiLevelType w:val="hybridMultilevel"/>
    <w:lvl w:ilvl="0">
      <w:lvlJc w:val="left"/>
      <w:lvlText w:val="(%1)"/>
      <w:numFmt w:val="decimal"/>
      <w:start w:val="5"/>
    </w:lvl>
    <w:lvl w:ilvl="1">
      <w:lvlJc w:val="left"/>
      <w:lvlText w:val="%2"/>
      <w:numFmt w:val="lowerLetter"/>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
      <w:numFmt w:val="bullet"/>
      <w:start w:val="1"/>
    </w:lvl>
    <w:lvl w:ilvl="1">
      <w:lvlJc w:val="left"/>
      <w:lvlText w:val="(%2)"/>
      <w:numFmt w:val="lowerRoman"/>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5"/>
    </w:lvl>
    <w:lvl w:ilvl="1">
      <w:lvlJc w:val="left"/>
      <w:lvlText w:val="•"/>
      <w:numFmt w:val="bullet"/>
      <w:start w:val="1"/>
    </w:lvl>
  </w:abstractNum>
  <w:abstractNum w:abstractNumId="21">
    <w:nsid w:val="1381823A"/>
    <w:multiLevelType w:val="hybridMultilevel"/>
    <w:lvl w:ilvl="0">
      <w:lvlJc w:val="left"/>
      <w:lvlText w:val="(%1)"/>
      <w:numFmt w:val="lowerLetter"/>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lowerLetter"/>
      <w:start w:val="1"/>
    </w:lvl>
    <w:lvl w:ilvl="1">
      <w:lvlJc w:val="left"/>
      <w:lvlText w:val="(%2)"/>
      <w:numFmt w:val="lowerLetter"/>
      <w:start w:val="3"/>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1)"/>
      <w:numFmt w:val="lowerRoman"/>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3"/>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1)"/>
      <w:numFmt w:val="decimal"/>
      <w:start w:val="3"/>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decimal"/>
      <w:start w:val="1"/>
    </w:lvl>
    <w:lvl w:ilvl="1">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1)"/>
      <w:numFmt w:val="decimal"/>
      <w:start w:val="5"/>
    </w:lvl>
  </w:abstractNum>
  <w:abstractNum w:abstractNumId="70">
    <w:nsid w:val="39EE015C"/>
    <w:multiLevelType w:val="hybridMultilevel"/>
    <w:lvl w:ilvl="0">
      <w:lvlJc w:val="left"/>
      <w:lvlText w:val="(%1)"/>
      <w:numFmt w:val="decimal"/>
      <w:start w:val="9"/>
    </w:lvl>
    <w:lvl w:ilvl="1">
      <w:lvlJc w:val="left"/>
      <w:lvlText w:val="(%2)"/>
      <w:numFmt w:val="decimal"/>
      <w:start w:val="10"/>
    </w:lvl>
    <w:lvl w:ilvl="2">
      <w:lvlJc w:val="left"/>
      <w:lvlText w:val="•"/>
      <w:numFmt w:val="bullet"/>
      <w:start w:val="1"/>
    </w:lvl>
  </w:abstractNum>
  <w:abstractNum w:abstractNumId="71">
    <w:nsid w:val="57FC4FBB"/>
    <w:multiLevelType w:val="hybridMultilevel"/>
    <w:lvl w:ilvl="0">
      <w:lvlJc w:val="left"/>
      <w:lvlText w:val="(%1)"/>
      <w:numFmt w:val="decimal"/>
      <w:start w:val="1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1"/>
      <w:numFmt w:val="decimal"/>
      <w:start w:val="1"/>
    </w:lvl>
    <w:lvl w:ilvl="1">
      <w:lvlJc w:val="left"/>
      <w:lvlText w:val="(%2)"/>
      <w:numFmt w:val="lowerLetter"/>
      <w:start w:val="2"/>
    </w:lvl>
  </w:abstractNum>
  <w:abstractNum w:abstractNumId="83">
    <w:nsid w:val="6AA78F7F"/>
    <w:multiLevelType w:val="hybridMultilevel"/>
    <w:lvl w:ilvl="0">
      <w:lvlJc w:val="left"/>
      <w:lvlText w:val="(%1)"/>
      <w:numFmt w:val="decimal"/>
      <w:start w:val="3"/>
    </w:lvl>
    <w:lvl w:ilvl="1">
      <w:lvlJc w:val="left"/>
      <w:lvlText w:val="(%2)"/>
      <w:numFmt w:val="lowerLetter"/>
      <w:start w:val="3"/>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2"/>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1."/>
      <w:numFmt w:val="decimal"/>
      <w:start w:val="3"/>
    </w:lvl>
  </w:abstractNum>
  <w:abstractNum w:abstractNumId="92">
    <w:nsid w:val="3FA62ACA"/>
    <w:multiLevelType w:val="hybridMultilevel"/>
    <w:lvl w:ilvl="0">
      <w:lvlJc w:val="left"/>
      <w:lvlText w:val="%1."/>
      <w:numFmt w:val="decimal"/>
      <w:start w:val="4"/>
    </w:lvl>
  </w:abstractNum>
  <w:abstractNum w:abstractNumId="93">
    <w:nsid w:val="14FCE74E"/>
    <w:multiLevelType w:val="hybridMultilevel"/>
    <w:lvl w:ilvl="0">
      <w:lvlJc w:val="left"/>
      <w:lvlText w:val="%1."/>
      <w:numFmt w:val="decimal"/>
      <w:start w:val="6"/>
    </w:lvl>
  </w:abstractNum>
  <w:abstractNum w:abstractNumId="94">
    <w:nsid w:val="6A3DD3E8"/>
    <w:multiLevelType w:val="hybridMultilevel"/>
    <w:lvl w:ilvl="0">
      <w:lvlJc w:val="left"/>
      <w:lvlText w:val="%1."/>
      <w:numFmt w:val="decimal"/>
      <w:start w:val="7"/>
    </w:lvl>
  </w:abstractNum>
  <w:abstractNum w:abstractNumId="95">
    <w:nsid w:val="71C91298"/>
    <w:multiLevelType w:val="hybridMultilevel"/>
    <w:lvl w:ilvl="0">
      <w:lvlJc w:val="left"/>
      <w:lvlText w:val="%1."/>
      <w:numFmt w:val="decimal"/>
      <w:start w:val="9"/>
    </w:lvl>
  </w:abstractNum>
  <w:abstractNum w:abstractNumId="96">
    <w:nsid w:val="9DAF632"/>
    <w:multiLevelType w:val="hybridMultilevel"/>
    <w:lvl w:ilvl="0">
      <w:lvlJc w:val="left"/>
      <w:lvlText w:val="%1."/>
      <w:numFmt w:val="decimal"/>
      <w:start w:val="10"/>
    </w:lvl>
  </w:abstractNum>
  <w:abstractNum w:abstractNumId="97">
    <w:nsid w:val="53299938"/>
    <w:multiLevelType w:val="hybridMultilevel"/>
    <w:lvl w:ilvl="0">
      <w:lvlJc w:val="left"/>
      <w:lvlText w:val="%1."/>
      <w:numFmt w:val="decimal"/>
      <w:start w:val="11"/>
    </w:lvl>
  </w:abstractNum>
  <w:abstractNum w:abstractNumId="98">
    <w:nsid w:val="1FBFE8E0"/>
    <w:multiLevelType w:val="hybridMultilevel"/>
    <w:lvl w:ilvl="0">
      <w:lvlJc w:val="left"/>
      <w:lvlText w:val="%1."/>
      <w:numFmt w:val="decimal"/>
      <w:start w:val="12"/>
    </w:lvl>
  </w:abstractNum>
  <w:abstractNum w:abstractNumId="99">
    <w:nsid w:val="5092CA79"/>
    <w:multiLevelType w:val="hybridMultilevel"/>
    <w:lvl w:ilvl="0">
      <w:lvlJc w:val="left"/>
      <w:lvlText w:val="%1."/>
      <w:numFmt w:val="decimal"/>
      <w:start w:val="13"/>
    </w:lvl>
  </w:abstractNum>
  <w:abstractNum w:abstractNumId="100">
    <w:nsid w:val="1D545C4D"/>
    <w:multiLevelType w:val="hybridMultilevel"/>
    <w:lvl w:ilvl="0">
      <w:lvlJc w:val="left"/>
      <w:lvlText w:val="%1."/>
      <w:numFmt w:val="decimal"/>
      <w:start w:val="14"/>
    </w:lvl>
  </w:abstractNum>
  <w:abstractNum w:abstractNumId="101">
    <w:nsid w:val="59ADEA3D"/>
    <w:multiLevelType w:val="hybridMultilevel"/>
    <w:lvl w:ilvl="0">
      <w:lvlJc w:val="left"/>
      <w:lvlText w:val="%1."/>
      <w:numFmt w:val="decimal"/>
      <w:start w:val="15"/>
    </w:lvl>
  </w:abstractNum>
  <w:abstractNum w:abstractNumId="102">
    <w:nsid w:val="288F1A34"/>
    <w:multiLevelType w:val="hybridMultilevel"/>
    <w:lvl w:ilvl="0">
      <w:lvlJc w:val="left"/>
      <w:lvlText w:val="%1."/>
      <w:numFmt w:val="decimal"/>
      <w:start w:val="16"/>
    </w:lvl>
  </w:abstractNum>
  <w:abstractNum w:abstractNumId="103">
    <w:nsid w:val="2A155DBC"/>
    <w:multiLevelType w:val="hybridMultilevel"/>
    <w:lvl w:ilvl="0">
      <w:lvlJc w:val="left"/>
      <w:lvlText w:val="%1"/>
      <w:numFmt w:val="decimal"/>
      <w:start w:val="1"/>
    </w:lvl>
    <w:lvl w:ilvl="1">
      <w:lvlJc w:val="left"/>
      <w:lvlText w:val="(%2)"/>
      <w:numFmt w:val="decimal"/>
      <w:start w:val="1"/>
    </w:lvl>
  </w:abstractNum>
  <w:abstractNum w:abstractNumId="104">
    <w:nsid w:val="1D9F6E5F"/>
    <w:multiLevelType w:val="hybridMultilevel"/>
    <w:lvl w:ilvl="0">
      <w:lvlJc w:val="left"/>
      <w:lvlText w:val="%1."/>
      <w:numFmt w:val="decimal"/>
      <w:start w:val="17"/>
    </w:lvl>
    <w:lvl w:ilvl="1">
      <w:lvlJc w:val="left"/>
      <w:lvlText w:val="%2"/>
      <w:numFmt w:val="decimal"/>
      <w:start w:val="1"/>
    </w:lvl>
  </w:abstractNum>
  <w:abstractNum w:abstractNumId="105">
    <w:nsid w:val="97E1B4E"/>
    <w:multiLevelType w:val="hybridMultilevel"/>
    <w:lvl w:ilvl="0">
      <w:lvlJc w:val="left"/>
      <w:lvlText w:val="%1."/>
      <w:numFmt w:val="decimal"/>
      <w:start w:val="18"/>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lvl w:ilvl="1">
      <w:lvlJc w:val="left"/>
      <w:lvlText w:val="(%2)"/>
      <w:numFmt w:val="lowerLetter"/>
      <w:start w:val="2"/>
    </w:lvl>
  </w:abstractNum>
  <w:abstractNum w:abstractNumId="110">
    <w:nsid w:val="7C58FD05"/>
    <w:multiLevelType w:val="hybridMultilevel"/>
    <w:lvl w:ilvl="0">
      <w:lvlJc w:val="left"/>
      <w:lvlText w:val="(%1)"/>
      <w:numFmt w:val="lowerRoman"/>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2019-12-15T16:40:54Z</dcterms:created>
  <dcterms:modified xsi:type="dcterms:W3CDTF">2019-12-15T16:40:54Z</dcterms:modified>
</cp:coreProperties>
</file>