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3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3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(Amendment No. 5)</w:t>
      </w:r>
    </w:p>
    <w:p>
      <w:pPr>
        <w:spacing w:after="0" w:line="256"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GRAND CANYON 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July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1"/>
          <w:szCs w:val="21"/>
          <w:color w:val="auto"/>
        </w:rPr>
        <w:t>(Date of Event Which Requires Filing of this Statement)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95"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219"/>
          </w:cols>
          <w:pgMar w:left="240" w:top="1440" w:right="1440" w:bottom="142"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99"/>
          </w:cols>
          <w:pgMar w:left="240" w:top="1440" w:right="1440" w:bottom="142"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92" w:lineRule="exact"/>
        <w:rPr>
          <w:sz w:val="24"/>
          <w:szCs w:val="24"/>
          <w:color w:val="auto"/>
        </w:rPr>
      </w:pPr>
    </w:p>
    <w:p>
      <w:pPr>
        <w:sectPr>
          <w:pgSz w:w="11900" w:h="16838" w:orient="portrait"/>
          <w:cols w:equalWidth="0" w:num="2">
            <w:col w:w="200" w:space="420"/>
            <w:col w:w="9599"/>
          </w:cols>
          <w:pgMar w:left="240" w:top="1440" w:right="1440" w:bottom="142" w:gutter="0" w:footer="0" w:header="0"/>
          <w:type w:val="continuous"/>
        </w:sect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right="6699"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&amp; Company</w:t>
      </w:r>
    </w:p>
    <w:p>
      <w:pPr>
        <w:spacing w:after="0" w:line="1" w:lineRule="exact"/>
        <w:rPr>
          <w:sz w:val="24"/>
          <w:szCs w:val="24"/>
          <w:color w:val="auto"/>
        </w:rPr>
      </w:pPr>
    </w:p>
    <w:p>
      <w:pPr>
        <w:ind w:left="700" w:right="8479"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1440" w:right="1440" w:bottom="142" w:gutter="0" w:footer="0" w:header="0"/>
          <w:type w:val="continuous"/>
        </w:sectPr>
      </w:pPr>
    </w:p>
    <w:bookmarkStart w:id="1" w:name="page2"/>
    <w:bookmarkEnd w:id="1"/>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15,723</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303,604</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15,723</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1,942,065</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1,957,788</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4.18 %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GRAND CANYON ED INC</w:t>
      </w:r>
    </w:p>
    <w:p>
      <w:pPr>
        <w:spacing w:after="0" w:line="80" w:lineRule="exact"/>
        <w:rPr>
          <w:rFonts w:ascii="Arial" w:cs="Arial" w:eastAsia="Arial" w:hAnsi="Arial"/>
          <w:sz w:val="22"/>
          <w:szCs w:val="22"/>
          <w:color w:val="auto"/>
        </w:rPr>
      </w:pPr>
    </w:p>
    <w:p>
      <w:pPr>
        <w:jc w:val="both"/>
        <w:ind w:left="700" w:right="5399" w:hanging="374"/>
        <w:spacing w:after="0" w:line="382"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Address of Issuer's Principal Executive Offices 3300 W. Camelback Road, Phoenix, AZ 85017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right="731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&amp; Company</w:t>
      </w:r>
    </w:p>
    <w:p>
      <w:pPr>
        <w:ind w:left="700" w:right="433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94163</w:t>
      </w:r>
    </w:p>
    <w:p>
      <w:pPr>
        <w:ind w:left="700" w:right="84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hanging="374"/>
        <w:spacing w:after="0"/>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38526M106</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60" w:lineRule="exact"/>
        <w:rPr>
          <w:rFonts w:ascii="Arial" w:cs="Arial" w:eastAsia="Arial" w:hAnsi="Arial"/>
          <w:sz w:val="22"/>
          <w:szCs w:val="22"/>
          <w:color w:val="auto"/>
        </w:rPr>
      </w:pPr>
    </w:p>
    <w:p>
      <w:pPr>
        <w:ind w:left="780" w:hanging="440"/>
        <w:spacing w:after="0"/>
        <w:tabs>
          <w:tab w:leader="none" w:pos="7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ectPr>
          <w:pgSz w:w="11900" w:h="16838" w:orient="portrait"/>
          <w:cols w:equalWidth="0" w:num="1">
            <w:col w:w="10159"/>
          </w:cols>
          <w:pgMar w:left="300" w:top="118" w:right="1440" w:bottom="0" w:gutter="0" w:footer="0" w:header="0"/>
        </w:sectPr>
      </w:pPr>
    </w:p>
    <w:bookmarkStart w:id="2" w:name="page3"/>
    <w:bookmarkEnd w:id="2"/>
    <w:p>
      <w:pPr>
        <w:ind w:left="780" w:hanging="476"/>
        <w:spacing w:after="0"/>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[X A parent holding company or control person in accordance with 240.13d-1(b)(1)(ii)(G);</w:t>
      </w:r>
    </w:p>
    <w:p>
      <w:pPr>
        <w:spacing w:after="0" w:line="42"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80"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beneficially owned: 1,957,788</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4.18%</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15,723</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303,604</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15,723</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1,942,065</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following.[X ].</w:t>
      </w:r>
    </w:p>
    <w:p>
      <w:pPr>
        <w:sectPr>
          <w:pgSz w:w="11900" w:h="16838" w:orient="portrait"/>
          <w:cols w:equalWidth="0" w:num="1">
            <w:col w:w="10159"/>
          </w:cols>
          <w:pgMar w:left="300" w:top="348" w:right="1440" w:bottom="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w:t>
      </w:r>
    </w:p>
    <w:p>
      <w:pPr>
        <w:spacing w:after="0" w:line="8" w:lineRule="exact"/>
        <w:rPr>
          <w:sz w:val="20"/>
          <w:szCs w:val="20"/>
          <w:color w:val="auto"/>
        </w:rPr>
      </w:pPr>
    </w:p>
    <w:p>
      <w:pPr>
        <w:spacing w:after="0" w:line="207" w:lineRule="auto"/>
        <w:rPr>
          <w:sz w:val="20"/>
          <w:szCs w:val="20"/>
          <w:color w:val="auto"/>
        </w:rPr>
      </w:pPr>
      <w:r>
        <w:rPr>
          <w:rFonts w:ascii="Arial" w:cs="Arial" w:eastAsia="Arial" w:hAnsi="Arial"/>
          <w:sz w:val="19"/>
          <w:szCs w:val="19"/>
          <w:color w:val="auto"/>
        </w:rPr>
        <w:t xml:space="preserve">applicable </w:t>
      </w: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Ownership of More than Five Percent on Behalf of Another Person.</w:t>
      </w:r>
    </w:p>
    <w:p>
      <w:pPr>
        <w:spacing w:after="0" w:line="200" w:lineRule="exact"/>
        <w:rPr>
          <w:sz w:val="20"/>
          <w:szCs w:val="20"/>
          <w:color w:val="auto"/>
        </w:rPr>
      </w:pPr>
    </w:p>
    <w:p>
      <w:pPr>
        <w:spacing w:after="0" w:line="263" w:lineRule="exact"/>
        <w:rPr>
          <w:sz w:val="20"/>
          <w:szCs w:val="20"/>
          <w:color w:val="auto"/>
        </w:rPr>
      </w:pPr>
    </w:p>
    <w:p>
      <w:pPr>
        <w:ind w:right="1839"/>
        <w:spacing w:after="0" w:line="329" w:lineRule="auto"/>
        <w:rPr>
          <w:sz w:val="20"/>
          <w:szCs w:val="20"/>
          <w:color w:val="auto"/>
        </w:rPr>
      </w:pP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sectPr>
          <w:pgSz w:w="11900" w:h="16838" w:orient="portrait"/>
          <w:cols w:equalWidth="0" w:num="2">
            <w:col w:w="900" w:space="100"/>
            <w:col w:w="9159"/>
          </w:cols>
          <w:pgMar w:left="300" w:top="348" w:right="1440" w:bottom="0" w:gutter="0" w:footer="0" w:header="0"/>
          <w:type w:val="continuous"/>
        </w:sectPr>
      </w:pPr>
    </w:p>
    <w:p>
      <w:pPr>
        <w:spacing w:after="0"/>
        <w:rPr>
          <w:sz w:val="20"/>
          <w:szCs w:val="20"/>
          <w:color w:val="auto"/>
        </w:rPr>
      </w:pPr>
      <w:r>
        <w:rPr>
          <w:rFonts w:ascii="Arial" w:cs="Arial" w:eastAsia="Arial" w:hAnsi="Arial"/>
          <w:sz w:val="22"/>
          <w:szCs w:val="22"/>
          <w:color w:val="auto"/>
        </w:rPr>
        <w:t>See Exhibit B</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50" w:lineRule="exact"/>
        <w:rPr>
          <w:sz w:val="20"/>
          <w:szCs w:val="20"/>
          <w:color w:val="auto"/>
        </w:rPr>
      </w:pPr>
    </w:p>
    <w:p>
      <w:pPr>
        <w:jc w:val="both"/>
        <w:ind w:left="480" w:right="1979"/>
        <w:spacing w:after="0" w:line="235"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3" w:lineRule="exact"/>
        <w:rPr>
          <w:sz w:val="20"/>
          <w:szCs w:val="20"/>
          <w:color w:val="auto"/>
        </w:rPr>
      </w:pPr>
    </w:p>
    <w:p>
      <w:pPr>
        <w:ind w:left="3940"/>
        <w:spacing w:after="0"/>
        <w:rPr>
          <w:sz w:val="20"/>
          <w:szCs w:val="20"/>
          <w:color w:val="auto"/>
        </w:rPr>
      </w:pPr>
      <w:r>
        <w:rPr>
          <w:rFonts w:ascii="Arial" w:cs="Arial" w:eastAsia="Arial" w:hAnsi="Arial"/>
          <w:sz w:val="25"/>
          <w:szCs w:val="25"/>
          <w:b w:val="1"/>
          <w:bCs w:val="1"/>
          <w:color w:val="auto"/>
        </w:rPr>
        <w:t>SIGNATURE</w:t>
      </w:r>
    </w:p>
    <w:p>
      <w:pPr>
        <w:sectPr>
          <w:pgSz w:w="11900" w:h="16838" w:orient="portrait"/>
          <w:cols w:equalWidth="0" w:num="1">
            <w:col w:w="10159"/>
          </w:cols>
          <w:pgMar w:left="300" w:top="348" w:right="1440" w:bottom="0" w:gutter="0" w:footer="0" w:header="0"/>
          <w:type w:val="continuous"/>
        </w:sectPr>
      </w:pPr>
    </w:p>
    <w:p>
      <w:pPr>
        <w:spacing w:after="0" w:line="322" w:lineRule="exact"/>
        <w:rPr>
          <w:sz w:val="20"/>
          <w:szCs w:val="20"/>
          <w:color w:val="auto"/>
        </w:rPr>
      </w:pPr>
    </w:p>
    <w:p>
      <w:pPr>
        <w:ind w:left="240" w:right="11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0159"/>
          </w:cols>
          <w:pgMar w:left="300" w:top="348" w:right="1440" w:bottom="0" w:gutter="0" w:footer="0" w:header="0"/>
          <w:type w:val="continuous"/>
        </w:sectPr>
      </w:pPr>
    </w:p>
    <w:bookmarkStart w:id="3" w:name="page4"/>
    <w:bookmarkEnd w:id="3"/>
    <w:p>
      <w:pPr>
        <w:ind w:left="3960"/>
        <w:spacing w:after="0"/>
        <w:rPr>
          <w:sz w:val="20"/>
          <w:szCs w:val="20"/>
          <w:color w:val="auto"/>
        </w:rPr>
      </w:pPr>
      <w:r>
        <w:rPr>
          <w:rFonts w:ascii="Arial" w:cs="Arial" w:eastAsia="Arial" w:hAnsi="Arial"/>
          <w:sz w:val="22"/>
          <w:szCs w:val="22"/>
          <w:color w:val="auto"/>
        </w:rPr>
        <w:t>August 10,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24765</wp:posOffset>
            </wp:positionV>
            <wp:extent cx="3395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2"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Date</w:t>
      </w:r>
    </w:p>
    <w:p>
      <w:pPr>
        <w:spacing w:after="0" w:line="44"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/s/ Michael J. Choquette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Michael J. Choquette, Designated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Name/Title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ind w:right="1379"/>
        <w:spacing w:after="0" w:line="238" w:lineRule="auto"/>
        <w:rPr>
          <w:sz w:val="20"/>
          <w:szCs w:val="20"/>
          <w:color w:val="auto"/>
        </w:rPr>
      </w:pPr>
      <w:r>
        <w:rPr>
          <w:rFonts w:ascii="Arial" w:cs="Arial" w:eastAsia="Arial" w:hAnsi="Arial"/>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B</w:t>
      </w:r>
    </w:p>
    <w:p>
      <w:pPr>
        <w:spacing w:after="0" w:line="104" w:lineRule="exact"/>
        <w:rPr>
          <w:sz w:val="20"/>
          <w:szCs w:val="20"/>
          <w:color w:val="auto"/>
        </w:rPr>
      </w:pPr>
    </w:p>
    <w:p>
      <w:pPr>
        <w:ind w:right="1299"/>
        <w:spacing w:after="0" w:line="251"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Wells Capital Management Incorporated (1)</w:t>
      </w:r>
    </w:p>
    <w:p>
      <w:pPr>
        <w:spacing w:after="0" w:line="238" w:lineRule="auto"/>
        <w:rPr>
          <w:sz w:val="20"/>
          <w:szCs w:val="20"/>
          <w:color w:val="auto"/>
        </w:rPr>
      </w:pPr>
      <w:r>
        <w:rPr>
          <w:rFonts w:ascii="Arial" w:cs="Arial" w:eastAsia="Arial" w:hAnsi="Arial"/>
          <w:sz w:val="22"/>
          <w:szCs w:val="22"/>
          <w:color w:val="auto"/>
        </w:rPr>
        <w:t>Wells Fargo Bank, National Association (2)</w:t>
      </w:r>
    </w:p>
    <w:p>
      <w:pPr>
        <w:spacing w:after="0" w:line="230" w:lineRule="auto"/>
        <w:rPr>
          <w:sz w:val="20"/>
          <w:szCs w:val="20"/>
          <w:color w:val="auto"/>
        </w:rPr>
      </w:pPr>
      <w:r>
        <w:rPr>
          <w:rFonts w:ascii="Arial" w:cs="Arial" w:eastAsia="Arial" w:hAnsi="Arial"/>
          <w:sz w:val="22"/>
          <w:szCs w:val="22"/>
          <w:color w:val="auto"/>
        </w:rPr>
        <w:t>Wells Fargo Advisors Financial Network, LLC (3)</w:t>
      </w:r>
    </w:p>
    <w:p>
      <w:pPr>
        <w:spacing w:after="0" w:line="231" w:lineRule="auto"/>
        <w:rPr>
          <w:sz w:val="20"/>
          <w:szCs w:val="20"/>
          <w:color w:val="auto"/>
        </w:rPr>
      </w:pPr>
      <w:r>
        <w:rPr>
          <w:rFonts w:ascii="Arial" w:cs="Arial" w:eastAsia="Arial" w:hAnsi="Arial"/>
          <w:sz w:val="22"/>
          <w:szCs w:val="22"/>
          <w:color w:val="auto"/>
        </w:rPr>
        <w:t>Wells Fargo Funds Management, LLC (1)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Wells Fargo Advisors, LLC (3)</w:t>
      </w:r>
    </w:p>
    <w:p>
      <w:pPr>
        <w:spacing w:after="0" w:line="215" w:lineRule="exact"/>
        <w:rPr>
          <w:sz w:val="20"/>
          <w:szCs w:val="20"/>
          <w:color w:val="auto"/>
        </w:rPr>
      </w:pPr>
    </w:p>
    <w:p>
      <w:pPr>
        <w:ind w:left="300" w:hanging="298"/>
        <w:spacing w:after="0"/>
        <w:tabs>
          <w:tab w:leader="none" w:pos="3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Classified as a registered investment advisor in accordance with Regulation 13d-1(b)(1)(ii)(E).</w:t>
      </w:r>
    </w:p>
    <w:p>
      <w:pPr>
        <w:spacing w:after="0" w:line="42" w:lineRule="exact"/>
        <w:rPr>
          <w:rFonts w:ascii="Arial" w:cs="Arial" w:eastAsia="Arial" w:hAnsi="Arial"/>
          <w:sz w:val="19"/>
          <w:szCs w:val="19"/>
          <w:color w:val="auto"/>
        </w:rPr>
      </w:pPr>
    </w:p>
    <w:p>
      <w:pPr>
        <w:ind w:left="300" w:hanging="298"/>
        <w:spacing w:after="0" w:line="230" w:lineRule="auto"/>
        <w:tabs>
          <w:tab w:leader="none" w:pos="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Classified as a bank in accordance with Regulation 13d-1(b)(1)(ii)(B).</w:t>
      </w:r>
    </w:p>
    <w:p>
      <w:pPr>
        <w:ind w:left="300" w:hanging="298"/>
        <w:spacing w:after="0"/>
        <w:tabs>
          <w:tab w:leader="none" w:pos="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Classified as a broker dealer in accordance with Regulation 13d-1(b)(1)(ii)(A).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60" w:right="1379" w:hanging="1079"/>
        <w:spacing w:after="0" w:line="256" w:lineRule="auto"/>
        <w:tabs>
          <w:tab w:leader="none" w:pos="104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sectPr>
      <w:pgSz w:w="11900" w:h="16838" w:orient="portrait"/>
      <w:cols w:equalWidth="0" w:num="1">
        <w:col w:w="10159"/>
      </w:cols>
      <w:pgMar w:left="30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lvl w:ilvl="1">
      <w:lvlJc w:val="left"/>
      <w:lvlText w:val="(%2)"/>
      <w:numFmt w:val="lowerLetter"/>
      <w:start w:val="2"/>
    </w:lvl>
  </w:abstractNum>
  <w:abstractNum w:abstractNumId="3">
    <w:nsid w:val="515F007C"/>
    <w:multiLevelType w:val="hybridMultilevel"/>
    <w:lvl w:ilvl="0">
      <w:lvlJc w:val="left"/>
      <w:lvlText w:val="%1."/>
      <w:numFmt w:val="decimal"/>
      <w:start w:val="2"/>
    </w:lvl>
    <w:lvl w:ilvl="1">
      <w:lvlJc w:val="left"/>
      <w:lvlText w:val="(%2)"/>
      <w:numFmt w:val="lowerLetter"/>
      <w:start w:val="1"/>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1"/>
    </w:lvl>
    <w:lvl w:ilvl="1">
      <w:lvlJc w:val="left"/>
      <w:lvlText w:val="%2."/>
      <w:numFmt w:val="decimal"/>
      <w:start w:val="8"/>
    </w:lvl>
  </w:abstractNum>
  <w:abstractNum w:abstractNumId="6">
    <w:nsid w:val="4DB127F8"/>
    <w:multiLevelType w:val="hybridMultilevel"/>
    <w:lvl w:ilvl="0">
      <w:lvlJc w:val="left"/>
      <w:lvlText w:val="%1."/>
      <w:numFmt w:val="decimal"/>
      <w:start w:val="9"/>
    </w:lvl>
    <w:lvl w:ilvl="1">
      <w:lvlJc w:val="left"/>
      <w:lvlText w:val="%2"/>
      <w:numFmt w:val="decimal"/>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7"/>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2019-12-08T16:42:13Z</dcterms:created>
  <dcterms:modified xsi:type="dcterms:W3CDTF">2019-12-08T16:42:13Z</dcterms:modified>
</cp:coreProperties>
</file>