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31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2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tabs>
          <w:tab w:leader="none" w:pos="40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3971290</wp:posOffset>
            </wp:positionH>
            <wp:positionV relativeFrom="paragraph">
              <wp:posOffset>-29210</wp:posOffset>
            </wp:positionV>
            <wp:extent cx="274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Grand Canyon Education,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Issuer)</w:t>
      </w:r>
    </w:p>
    <w:p>
      <w:pPr>
        <w:spacing w:after="0" w:line="200" w:lineRule="exact"/>
        <w:rPr>
          <w:sz w:val="24"/>
          <w:szCs w:val="24"/>
          <w:color w:val="auto"/>
        </w:rPr>
      </w:pPr>
    </w:p>
    <w:p>
      <w:pPr>
        <w:spacing w:after="0" w:line="20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1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38526M 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1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35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22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40"/>
          </w:cols>
          <w:pgMar w:left="240" w:top="219" w:right="319" w:bottom="1440" w:gutter="0" w:footer="0" w:header="0"/>
        </w:sectPr>
      </w:pPr>
    </w:p>
    <w:bookmarkStart w:id="1" w:name="page2"/>
    <w:bookmarkEnd w:id="1"/>
    <w:p>
      <w:pPr>
        <w:spacing w:after="0"/>
        <w:tabs>
          <w:tab w:leader="none" w:pos="105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38526M 106</w:t>
      </w:r>
      <w:r>
        <w:rPr>
          <w:sz w:val="20"/>
          <w:szCs w:val="20"/>
          <w:color w:val="auto"/>
        </w:rPr>
        <w:tab/>
      </w:r>
      <w:r>
        <w:rPr>
          <w:rFonts w:ascii="Arial" w:cs="Arial" w:eastAsia="Arial" w:hAnsi="Arial"/>
          <w:sz w:val="15"/>
          <w:szCs w:val="15"/>
          <w:b w:val="1"/>
          <w:bCs w:val="1"/>
          <w:color w:val="auto"/>
        </w:rPr>
        <w:t>Page 2 of 7</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SCHEDULE 13G</w:t>
      </w:r>
    </w:p>
    <w:p>
      <w:pPr>
        <w:spacing w:after="0" w:line="286" w:lineRule="exact"/>
        <w:rPr>
          <w:sz w:val="20"/>
          <w:szCs w:val="20"/>
          <w:color w:val="auto"/>
        </w:rPr>
      </w:pPr>
    </w:p>
    <w:p>
      <w:pPr>
        <w:ind w:left="380" w:hanging="284"/>
        <w:spacing w:after="0"/>
        <w:tabs>
          <w:tab w:leader="none" w:pos="3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Significant Ventures, LLC</w:t>
      </w:r>
    </w:p>
    <w:p>
      <w:pPr>
        <w:spacing w:after="0" w:line="30" w:lineRule="exact"/>
        <w:rPr>
          <w:sz w:val="20"/>
          <w:szCs w:val="20"/>
          <w:color w:val="auto"/>
        </w:rPr>
      </w:pPr>
    </w:p>
    <w:p>
      <w:pPr>
        <w:ind w:left="380" w:hanging="284"/>
        <w:spacing w:after="0"/>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b w:val="1"/>
          <w:bCs w:val="1"/>
          <w:color w:val="auto"/>
        </w:rPr>
      </w:pPr>
    </w:p>
    <w:p>
      <w:pPr>
        <w:ind w:left="660" w:hanging="287"/>
        <w:spacing w:after="0" w:line="207" w:lineRule="exact"/>
        <w:tabs>
          <w:tab w:leader="none" w:pos="6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b w:val="1"/>
          <w:bCs w:val="1"/>
          <w:color w:val="auto"/>
        </w:rPr>
      </w:pPr>
    </w:p>
    <w:p>
      <w:pPr>
        <w:ind w:left="380" w:hanging="284"/>
        <w:spacing w:after="0"/>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-871855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Delaware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20" w:type="dxa"/>
            <w:vAlign w:val="bottom"/>
            <w:tcBorders>
              <w:top w:val="single" w:sz="8" w:color="auto"/>
            </w:tcBorders>
          </w:tcPr>
          <w:p>
            <w:pPr>
              <w:spacing w:after="0"/>
              <w:rPr>
                <w:sz w:val="19"/>
                <w:szCs w:val="19"/>
                <w:color w:val="auto"/>
              </w:rPr>
            </w:pPr>
          </w:p>
        </w:tc>
        <w:tc>
          <w:tcPr>
            <w:tcW w:w="980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color w:val="auto"/>
              </w:rPr>
              <w:t>.  SOLE VOTING POWER</w:t>
            </w:r>
          </w:p>
        </w:tc>
        <w:tc>
          <w:tcPr>
            <w:tcW w:w="0" w:type="dxa"/>
            <w:vAlign w:val="bottom"/>
          </w:tcPr>
          <w:p>
            <w:pPr>
              <w:spacing w:after="0"/>
              <w:rPr>
                <w:sz w:val="1"/>
                <w:szCs w:val="1"/>
                <w:color w:val="auto"/>
              </w:rPr>
            </w:pPr>
          </w:p>
        </w:tc>
      </w:tr>
      <w:tr>
        <w:trPr>
          <w:trHeight w:val="444"/>
        </w:trPr>
        <w:tc>
          <w:tcPr>
            <w:tcW w:w="1620" w:type="dxa"/>
            <w:vAlign w:val="bottom"/>
          </w:tcPr>
          <w:p>
            <w:pPr>
              <w:jc w:val="center"/>
              <w:spacing w:after="0"/>
              <w:rPr>
                <w:sz w:val="20"/>
                <w:szCs w:val="20"/>
                <w:color w:val="auto"/>
              </w:rPr>
            </w:pPr>
            <w:r>
              <w:rPr>
                <w:rFonts w:ascii="Arial" w:cs="Arial" w:eastAsia="Arial" w:hAnsi="Arial"/>
                <w:sz w:val="18"/>
                <w:szCs w:val="18"/>
                <w:color w:val="auto"/>
                <w:w w:val="94"/>
              </w:rPr>
              <w:t>NUMBER OF</w:t>
            </w:r>
          </w:p>
        </w:tc>
        <w:tc>
          <w:tcPr>
            <w:tcW w:w="42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8"/>
        </w:trPr>
        <w:tc>
          <w:tcPr>
            <w:tcW w:w="1620" w:type="dxa"/>
            <w:vAlign w:val="bottom"/>
          </w:tcPr>
          <w:p>
            <w:pPr>
              <w:jc w:val="center"/>
              <w:spacing w:after="0"/>
              <w:rPr>
                <w:sz w:val="20"/>
                <w:szCs w:val="20"/>
                <w:color w:val="auto"/>
              </w:rPr>
            </w:pPr>
            <w:r>
              <w:rPr>
                <w:rFonts w:ascii="Arial" w:cs="Arial" w:eastAsia="Arial" w:hAnsi="Arial"/>
                <w:sz w:val="18"/>
                <w:szCs w:val="18"/>
                <w:color w:val="auto"/>
                <w:w w:val="89"/>
              </w:rPr>
              <w:t>SHARES</w:t>
            </w:r>
          </w:p>
        </w:tc>
        <w:tc>
          <w:tcPr>
            <w:tcW w:w="420" w:type="dxa"/>
            <w:vAlign w:val="bottom"/>
          </w:tcPr>
          <w:p>
            <w:pPr>
              <w:ind w:left="200"/>
              <w:spacing w:after="0"/>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color w:val="auto"/>
              </w:rPr>
              <w:t>.</w:t>
            </w:r>
          </w:p>
        </w:tc>
        <w:tc>
          <w:tcPr>
            <w:tcW w:w="938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7"/>
              </w:rPr>
              <w:t>BENEFICIALLY</w:t>
            </w:r>
          </w:p>
        </w:tc>
        <w:tc>
          <w:tcPr>
            <w:tcW w:w="420" w:type="dxa"/>
            <w:vAlign w:val="bottom"/>
          </w:tcPr>
          <w:p>
            <w:pPr>
              <w:spacing w:after="0"/>
              <w:rPr>
                <w:sz w:val="18"/>
                <w:szCs w:val="18"/>
                <w:color w:val="auto"/>
              </w:rPr>
            </w:pPr>
          </w:p>
        </w:tc>
        <w:tc>
          <w:tcPr>
            <w:tcW w:w="9380" w:type="dxa"/>
            <w:vAlign w:val="bottom"/>
            <w:vMerge w:val="restart"/>
          </w:tcPr>
          <w:p>
            <w:pPr>
              <w:ind w:left="120"/>
              <w:spacing w:after="0"/>
              <w:rPr>
                <w:sz w:val="20"/>
                <w:szCs w:val="20"/>
                <w:color w:val="auto"/>
              </w:rPr>
            </w:pPr>
            <w:r>
              <w:rPr>
                <w:rFonts w:ascii="Arial" w:cs="Arial" w:eastAsia="Arial" w:hAnsi="Arial"/>
                <w:sz w:val="22"/>
                <w:szCs w:val="22"/>
                <w:color w:val="auto"/>
              </w:rPr>
              <w:t>2,971,144</w:t>
            </w:r>
          </w:p>
        </w:tc>
        <w:tc>
          <w:tcPr>
            <w:tcW w:w="0" w:type="dxa"/>
            <w:vAlign w:val="bottom"/>
          </w:tcPr>
          <w:p>
            <w:pPr>
              <w:spacing w:after="0"/>
              <w:rPr>
                <w:sz w:val="1"/>
                <w:szCs w:val="1"/>
                <w:color w:val="auto"/>
              </w:rPr>
            </w:pPr>
          </w:p>
        </w:tc>
      </w:tr>
      <w:tr>
        <w:trPr>
          <w:trHeight w:val="222"/>
        </w:trPr>
        <w:tc>
          <w:tcPr>
            <w:tcW w:w="1620" w:type="dxa"/>
            <w:vAlign w:val="bottom"/>
          </w:tcPr>
          <w:p>
            <w:pPr>
              <w:jc w:val="center"/>
              <w:spacing w:after="0"/>
              <w:rPr>
                <w:sz w:val="20"/>
                <w:szCs w:val="20"/>
                <w:color w:val="auto"/>
              </w:rPr>
            </w:pPr>
            <w:r>
              <w:rPr>
                <w:rFonts w:ascii="Arial" w:cs="Arial" w:eastAsia="Arial" w:hAnsi="Arial"/>
                <w:sz w:val="18"/>
                <w:szCs w:val="18"/>
                <w:color w:val="auto"/>
                <w:w w:val="95"/>
              </w:rPr>
              <w:t>OWNED BY</w:t>
            </w:r>
          </w:p>
        </w:tc>
        <w:tc>
          <w:tcPr>
            <w:tcW w:w="420" w:type="dxa"/>
            <w:vAlign w:val="bottom"/>
            <w:tcBorders>
              <w:bottom w:val="single" w:sz="8" w:color="auto"/>
            </w:tcBorders>
          </w:tcPr>
          <w:p>
            <w:pPr>
              <w:spacing w:after="0"/>
              <w:rPr>
                <w:sz w:val="19"/>
                <w:szCs w:val="19"/>
                <w:color w:val="auto"/>
              </w:rPr>
            </w:pPr>
          </w:p>
        </w:tc>
        <w:tc>
          <w:tcPr>
            <w:tcW w:w="93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620" w:type="dxa"/>
            <w:vAlign w:val="bottom"/>
          </w:tcPr>
          <w:p>
            <w:pPr>
              <w:jc w:val="center"/>
              <w:ind w:right="12"/>
              <w:spacing w:after="0" w:line="190" w:lineRule="exact"/>
              <w:rPr>
                <w:sz w:val="20"/>
                <w:szCs w:val="20"/>
                <w:color w:val="auto"/>
              </w:rPr>
            </w:pPr>
            <w:r>
              <w:rPr>
                <w:rFonts w:ascii="Arial" w:cs="Arial" w:eastAsia="Arial" w:hAnsi="Arial"/>
                <w:sz w:val="18"/>
                <w:szCs w:val="18"/>
                <w:color w:val="auto"/>
                <w:w w:val="95"/>
              </w:rPr>
              <w:t>EACH</w:t>
            </w:r>
          </w:p>
        </w:tc>
        <w:tc>
          <w:tcPr>
            <w:tcW w:w="420" w:type="dxa"/>
            <w:vAlign w:val="bottom"/>
          </w:tcPr>
          <w:p>
            <w:pPr>
              <w:ind w:left="200"/>
              <w:spacing w:after="0" w:line="190" w:lineRule="exact"/>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w:t>
            </w:r>
          </w:p>
        </w:tc>
        <w:tc>
          <w:tcPr>
            <w:tcW w:w="938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1"/>
              </w:rPr>
              <w:t>REPORTING</w:t>
            </w:r>
          </w:p>
        </w:tc>
        <w:tc>
          <w:tcPr>
            <w:tcW w:w="420" w:type="dxa"/>
            <w:vAlign w:val="bottom"/>
          </w:tcPr>
          <w:p>
            <w:pPr>
              <w:spacing w:after="0"/>
              <w:rPr>
                <w:sz w:val="18"/>
                <w:szCs w:val="18"/>
                <w:color w:val="auto"/>
              </w:rPr>
            </w:pPr>
          </w:p>
        </w:tc>
        <w:tc>
          <w:tcPr>
            <w:tcW w:w="9380" w:type="dxa"/>
            <w:vAlign w:val="bottom"/>
            <w:vMerge w:val="restart"/>
          </w:tcPr>
          <w:p>
            <w:pPr>
              <w:ind w:left="120"/>
              <w:spacing w:after="0"/>
              <w:rPr>
                <w:sz w:val="20"/>
                <w:szCs w:val="20"/>
                <w:color w:val="auto"/>
              </w:rPr>
            </w:pPr>
            <w:r>
              <w:rPr>
                <w:rFonts w:ascii="Arial" w:cs="Arial" w:eastAsia="Arial" w:hAnsi="Arial"/>
                <w:sz w:val="22"/>
                <w:szCs w:val="22"/>
                <w:color w:val="auto"/>
              </w:rPr>
              <w:t>2,971,144</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86"/>
              </w:rPr>
              <w:t>PERSON</w:t>
            </w:r>
          </w:p>
        </w:tc>
        <w:tc>
          <w:tcPr>
            <w:tcW w:w="420" w:type="dxa"/>
            <w:vAlign w:val="bottom"/>
          </w:tcPr>
          <w:p>
            <w:pPr>
              <w:spacing w:after="0"/>
              <w:rPr>
                <w:sz w:val="18"/>
                <w:szCs w:val="18"/>
                <w:color w:val="auto"/>
              </w:rPr>
            </w:pPr>
          </w:p>
        </w:tc>
        <w:tc>
          <w:tcPr>
            <w:tcW w:w="9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420" w:type="dxa"/>
            <w:vAlign w:val="bottom"/>
            <w:tcBorders>
              <w:bottom w:val="single" w:sz="8" w:color="auto"/>
            </w:tcBorders>
          </w:tcPr>
          <w:p>
            <w:pPr>
              <w:spacing w:after="0"/>
              <w:rPr>
                <w:sz w:val="4"/>
                <w:szCs w:val="4"/>
                <w:color w:val="auto"/>
              </w:rPr>
            </w:pPr>
          </w:p>
        </w:tc>
        <w:tc>
          <w:tcPr>
            <w:tcW w:w="9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620" w:type="dxa"/>
            <w:vAlign w:val="bottom"/>
            <w:vMerge w:val="continue"/>
          </w:tcPr>
          <w:p>
            <w:pPr>
              <w:spacing w:after="0"/>
              <w:rPr>
                <w:sz w:val="19"/>
                <w:szCs w:val="19"/>
                <w:color w:val="auto"/>
              </w:rPr>
            </w:pPr>
          </w:p>
        </w:tc>
        <w:tc>
          <w:tcPr>
            <w:tcW w:w="420" w:type="dxa"/>
            <w:vAlign w:val="bottom"/>
          </w:tcPr>
          <w:p>
            <w:pPr>
              <w:ind w:left="200"/>
              <w:spacing w:after="0"/>
              <w:rPr>
                <w:sz w:val="20"/>
                <w:szCs w:val="20"/>
                <w:color w:val="auto"/>
              </w:rPr>
            </w:pPr>
            <w:r>
              <w:rPr>
                <w:rFonts w:ascii="Arial" w:cs="Arial" w:eastAsia="Arial" w:hAnsi="Arial"/>
                <w:sz w:val="18"/>
                <w:szCs w:val="18"/>
                <w:b w:val="1"/>
                <w:bCs w:val="1"/>
                <w:color w:val="auto"/>
              </w:rPr>
              <w:t>8</w:t>
            </w:r>
            <w:r>
              <w:rPr>
                <w:rFonts w:ascii="Arial" w:cs="Arial" w:eastAsia="Arial" w:hAnsi="Arial"/>
                <w:sz w:val="18"/>
                <w:szCs w:val="18"/>
                <w:color w:val="auto"/>
              </w:rPr>
              <w:t>.</w:t>
            </w:r>
          </w:p>
        </w:tc>
        <w:tc>
          <w:tcPr>
            <w:tcW w:w="938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0</w:t>
      </w:r>
    </w:p>
    <w:p>
      <w:pPr>
        <w:spacing w:after="0" w:line="30" w:lineRule="exact"/>
        <w:rPr>
          <w:sz w:val="20"/>
          <w:szCs w:val="20"/>
          <w:color w:val="auto"/>
        </w:rPr>
      </w:pPr>
    </w:p>
    <w:p>
      <w:pPr>
        <w:ind w:left="380" w:hanging="284"/>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ind w:left="380"/>
        <w:spacing w:after="0"/>
        <w:rPr>
          <w:sz w:val="20"/>
          <w:szCs w:val="20"/>
          <w:color w:val="auto"/>
        </w:rPr>
      </w:pPr>
      <w:r>
        <w:rPr>
          <w:rFonts w:ascii="Arial" w:cs="Arial" w:eastAsia="Arial" w:hAnsi="Arial"/>
          <w:sz w:val="22"/>
          <w:szCs w:val="22"/>
          <w:color w:val="auto"/>
        </w:rPr>
        <w:t>2,971,144</w:t>
      </w:r>
    </w:p>
    <w:p>
      <w:pPr>
        <w:spacing w:after="0" w:line="22" w:lineRule="exact"/>
        <w:rPr>
          <w:sz w:val="20"/>
          <w:szCs w:val="20"/>
          <w:color w:val="auto"/>
        </w:rPr>
      </w:pPr>
    </w:p>
    <w:p>
      <w:pPr>
        <w:spacing w:after="0" w:line="207" w:lineRule="exact"/>
        <w:tabs>
          <w:tab w:leader="none" w:pos="360" w:val="left"/>
          <w:tab w:leader="none" w:pos="112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6"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ind w:left="380"/>
        <w:spacing w:after="0"/>
        <w:rPr>
          <w:sz w:val="20"/>
          <w:szCs w:val="20"/>
          <w:color w:val="auto"/>
        </w:rPr>
      </w:pPr>
      <w:r>
        <w:rPr>
          <w:rFonts w:ascii="Arial" w:cs="Arial" w:eastAsia="Arial" w:hAnsi="Arial"/>
          <w:sz w:val="22"/>
          <w:szCs w:val="22"/>
          <w:color w:val="auto"/>
        </w:rPr>
        <w:t>6.5%*</w:t>
      </w:r>
    </w:p>
    <w:p>
      <w:pPr>
        <w:spacing w:after="0" w:line="30"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ind w:left="740" w:hanging="367"/>
        <w:spacing w:after="0"/>
        <w:tabs>
          <w:tab w:leader="none" w:pos="740" w:val="left"/>
        </w:tabs>
        <w:numPr>
          <w:ilvl w:val="1"/>
          <w:numId w:val="8"/>
        </w:numPr>
        <w:rPr>
          <w:rFonts w:ascii="Arial" w:cs="Arial" w:eastAsia="Arial" w:hAnsi="Arial"/>
          <w:sz w:val="22"/>
          <w:szCs w:val="22"/>
          <w:color w:val="auto"/>
        </w:rPr>
      </w:pPr>
      <w:r>
        <w:rPr>
          <w:rFonts w:ascii="Arial" w:cs="Arial" w:eastAsia="Arial" w:hAnsi="Arial"/>
          <w:sz w:val="22"/>
          <w:szCs w:val="22"/>
          <w:color w:val="auto"/>
        </w:rPr>
        <w:t>(Limited Liability Company)</w:t>
      </w:r>
    </w:p>
    <w:p>
      <w:pPr>
        <w:spacing w:after="0" w:line="232"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16"/>
          <w:szCs w:val="16"/>
          <w:color w:val="auto"/>
        </w:rPr>
        <w:t>*  Based on 45,465,160 shares of Grand Canyon Education, Inc. common stock, par value $0.01 per share, outstanding as of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 w:name="page3"/>
    <w:bookmarkEnd w:id="2"/>
    <w:p>
      <w:pPr>
        <w:spacing w:after="0"/>
        <w:tabs>
          <w:tab w:leader="none" w:pos="105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38526M 106</w:t>
      </w:r>
      <w:r>
        <w:rPr>
          <w:sz w:val="20"/>
          <w:szCs w:val="20"/>
          <w:color w:val="auto"/>
        </w:rPr>
        <w:tab/>
      </w:r>
      <w:r>
        <w:rPr>
          <w:rFonts w:ascii="Arial" w:cs="Arial" w:eastAsia="Arial" w:hAnsi="Arial"/>
          <w:sz w:val="15"/>
          <w:szCs w:val="15"/>
          <w:b w:val="1"/>
          <w:bCs w:val="1"/>
          <w:color w:val="auto"/>
        </w:rPr>
        <w:t>Page 3 of 7</w:t>
      </w:r>
    </w:p>
    <w:p>
      <w:pPr>
        <w:spacing w:after="0" w:line="299" w:lineRule="exact"/>
        <w:rPr>
          <w:sz w:val="20"/>
          <w:szCs w:val="20"/>
          <w:color w:val="auto"/>
        </w:rPr>
      </w:pPr>
    </w:p>
    <w:p>
      <w:pPr>
        <w:ind w:left="380" w:hanging="284"/>
        <w:spacing w:after="0"/>
        <w:tabs>
          <w:tab w:leader="none" w:pos="3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Michael K. Clifford*</w:t>
      </w:r>
    </w:p>
    <w:p>
      <w:pPr>
        <w:spacing w:after="0" w:line="30" w:lineRule="exact"/>
        <w:rPr>
          <w:sz w:val="20"/>
          <w:szCs w:val="20"/>
          <w:color w:val="auto"/>
        </w:rPr>
      </w:pPr>
    </w:p>
    <w:p>
      <w:pPr>
        <w:ind w:left="380" w:hanging="284"/>
        <w:spacing w:after="0"/>
        <w:tabs>
          <w:tab w:leader="none" w:pos="3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b w:val="1"/>
          <w:bCs w:val="1"/>
          <w:color w:val="auto"/>
        </w:rPr>
      </w:pPr>
    </w:p>
    <w:p>
      <w:pPr>
        <w:ind w:left="660" w:hanging="287"/>
        <w:spacing w:after="0" w:line="207" w:lineRule="exact"/>
        <w:tabs>
          <w:tab w:leader="none" w:pos="66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b w:val="1"/>
          <w:bCs w:val="1"/>
          <w:color w:val="auto"/>
        </w:rPr>
      </w:pPr>
    </w:p>
    <w:p>
      <w:pPr>
        <w:ind w:left="380" w:hanging="284"/>
        <w:spacing w:after="0"/>
        <w:tabs>
          <w:tab w:leader="none" w:pos="3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-871855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United States of America</w:t>
      </w:r>
    </w:p>
    <w:p>
      <w:pPr>
        <w:spacing w:after="0" w:line="24" w:lineRule="exact"/>
        <w:rPr>
          <w:sz w:val="20"/>
          <w:szCs w:val="20"/>
          <w:color w:val="auto"/>
        </w:rPr>
      </w:pPr>
    </w:p>
    <w:p>
      <w:pPr>
        <w:ind w:left="1820"/>
        <w:spacing w:after="0"/>
        <w:tabs>
          <w:tab w:leader="none" w:pos="2100" w:val="left"/>
        </w:tabs>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tbl>
      <w:tblPr>
        <w:tblLayout w:type="fixed"/>
        <w:tblInd w:w="160" w:type="dxa"/>
        <w:tblCellMar>
          <w:top w:w="0" w:type="dxa"/>
          <w:left w:w="0" w:type="dxa"/>
          <w:bottom w:w="0" w:type="dxa"/>
          <w:right w:w="0" w:type="dxa"/>
        </w:tblCellMar>
      </w:tblPr>
      <w:tr>
        <w:trPr>
          <w:trHeight w:val="278"/>
        </w:trPr>
        <w:tc>
          <w:tcPr>
            <w:tcW w:w="1460" w:type="dxa"/>
            <w:vAlign w:val="bottom"/>
          </w:tcPr>
          <w:p>
            <w:pPr>
              <w:jc w:val="center"/>
              <w:ind w:right="152"/>
              <w:spacing w:after="0"/>
              <w:rPr>
                <w:sz w:val="20"/>
                <w:szCs w:val="20"/>
                <w:color w:val="auto"/>
              </w:rPr>
            </w:pPr>
            <w:r>
              <w:rPr>
                <w:rFonts w:ascii="Arial" w:cs="Arial" w:eastAsia="Arial" w:hAnsi="Arial"/>
                <w:sz w:val="18"/>
                <w:szCs w:val="18"/>
                <w:color w:val="auto"/>
                <w:w w:val="94"/>
              </w:rPr>
              <w:t>NUMBER OF</w:t>
            </w:r>
          </w:p>
        </w:tc>
        <w:tc>
          <w:tcPr>
            <w:tcW w:w="42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8"/>
        </w:trPr>
        <w:tc>
          <w:tcPr>
            <w:tcW w:w="1460" w:type="dxa"/>
            <w:vAlign w:val="bottom"/>
          </w:tcPr>
          <w:p>
            <w:pPr>
              <w:jc w:val="center"/>
              <w:ind w:right="152"/>
              <w:spacing w:after="0"/>
              <w:rPr>
                <w:sz w:val="20"/>
                <w:szCs w:val="20"/>
                <w:color w:val="auto"/>
              </w:rPr>
            </w:pPr>
            <w:r>
              <w:rPr>
                <w:rFonts w:ascii="Arial" w:cs="Arial" w:eastAsia="Arial" w:hAnsi="Arial"/>
                <w:sz w:val="18"/>
                <w:szCs w:val="18"/>
                <w:color w:val="auto"/>
                <w:w w:val="89"/>
              </w:rPr>
              <w:t>SHARES</w:t>
            </w:r>
          </w:p>
        </w:tc>
        <w:tc>
          <w:tcPr>
            <w:tcW w:w="420" w:type="dxa"/>
            <w:vAlign w:val="bottom"/>
          </w:tcPr>
          <w:p>
            <w:pPr>
              <w:jc w:val="right"/>
              <w:ind w:right="12"/>
              <w:spacing w:after="0"/>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color w:val="auto"/>
              </w:rPr>
              <w:t>.</w:t>
            </w:r>
          </w:p>
        </w:tc>
        <w:tc>
          <w:tcPr>
            <w:tcW w:w="938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60" w:type="dxa"/>
            <w:vAlign w:val="bottom"/>
          </w:tcPr>
          <w:p>
            <w:pPr>
              <w:jc w:val="center"/>
              <w:ind w:right="132"/>
              <w:spacing w:after="0"/>
              <w:rPr>
                <w:sz w:val="20"/>
                <w:szCs w:val="20"/>
                <w:color w:val="auto"/>
              </w:rPr>
            </w:pPr>
            <w:r>
              <w:rPr>
                <w:rFonts w:ascii="Arial" w:cs="Arial" w:eastAsia="Arial" w:hAnsi="Arial"/>
                <w:sz w:val="18"/>
                <w:szCs w:val="18"/>
                <w:color w:val="auto"/>
                <w:w w:val="97"/>
              </w:rPr>
              <w:t>BENEFICIALLY</w:t>
            </w:r>
          </w:p>
        </w:tc>
        <w:tc>
          <w:tcPr>
            <w:tcW w:w="420" w:type="dxa"/>
            <w:vAlign w:val="bottom"/>
          </w:tcPr>
          <w:p>
            <w:pPr>
              <w:spacing w:after="0"/>
              <w:rPr>
                <w:sz w:val="18"/>
                <w:szCs w:val="18"/>
                <w:color w:val="auto"/>
              </w:rPr>
            </w:pPr>
          </w:p>
        </w:tc>
        <w:tc>
          <w:tcPr>
            <w:tcW w:w="9380" w:type="dxa"/>
            <w:vAlign w:val="bottom"/>
            <w:vMerge w:val="restart"/>
          </w:tcPr>
          <w:p>
            <w:pPr>
              <w:ind w:left="120"/>
              <w:spacing w:after="0"/>
              <w:rPr>
                <w:sz w:val="20"/>
                <w:szCs w:val="20"/>
                <w:color w:val="auto"/>
              </w:rPr>
            </w:pPr>
            <w:r>
              <w:rPr>
                <w:rFonts w:ascii="Arial" w:cs="Arial" w:eastAsia="Arial" w:hAnsi="Arial"/>
                <w:sz w:val="22"/>
                <w:szCs w:val="22"/>
                <w:color w:val="auto"/>
              </w:rPr>
              <w:t>2,971,144</w:t>
            </w:r>
          </w:p>
        </w:tc>
        <w:tc>
          <w:tcPr>
            <w:tcW w:w="0" w:type="dxa"/>
            <w:vAlign w:val="bottom"/>
          </w:tcPr>
          <w:p>
            <w:pPr>
              <w:spacing w:after="0"/>
              <w:rPr>
                <w:sz w:val="1"/>
                <w:szCs w:val="1"/>
                <w:color w:val="auto"/>
              </w:rPr>
            </w:pPr>
          </w:p>
        </w:tc>
      </w:tr>
      <w:tr>
        <w:trPr>
          <w:trHeight w:val="222"/>
        </w:trPr>
        <w:tc>
          <w:tcPr>
            <w:tcW w:w="1460" w:type="dxa"/>
            <w:vAlign w:val="bottom"/>
          </w:tcPr>
          <w:p>
            <w:pPr>
              <w:jc w:val="center"/>
              <w:ind w:right="152"/>
              <w:spacing w:after="0"/>
              <w:rPr>
                <w:sz w:val="20"/>
                <w:szCs w:val="20"/>
                <w:color w:val="auto"/>
              </w:rPr>
            </w:pPr>
            <w:r>
              <w:rPr>
                <w:rFonts w:ascii="Arial" w:cs="Arial" w:eastAsia="Arial" w:hAnsi="Arial"/>
                <w:sz w:val="18"/>
                <w:szCs w:val="18"/>
                <w:color w:val="auto"/>
                <w:w w:val="95"/>
              </w:rPr>
              <w:t>OWNED BY</w:t>
            </w:r>
          </w:p>
        </w:tc>
        <w:tc>
          <w:tcPr>
            <w:tcW w:w="420" w:type="dxa"/>
            <w:vAlign w:val="bottom"/>
            <w:tcBorders>
              <w:bottom w:val="single" w:sz="8" w:color="auto"/>
            </w:tcBorders>
          </w:tcPr>
          <w:p>
            <w:pPr>
              <w:spacing w:after="0"/>
              <w:rPr>
                <w:sz w:val="19"/>
                <w:szCs w:val="19"/>
                <w:color w:val="auto"/>
              </w:rPr>
            </w:pPr>
          </w:p>
        </w:tc>
        <w:tc>
          <w:tcPr>
            <w:tcW w:w="93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460" w:type="dxa"/>
            <w:vAlign w:val="bottom"/>
          </w:tcPr>
          <w:p>
            <w:pPr>
              <w:jc w:val="center"/>
              <w:ind w:right="172"/>
              <w:spacing w:after="0" w:line="190" w:lineRule="exact"/>
              <w:rPr>
                <w:sz w:val="20"/>
                <w:szCs w:val="20"/>
                <w:color w:val="auto"/>
              </w:rPr>
            </w:pPr>
            <w:r>
              <w:rPr>
                <w:rFonts w:ascii="Arial" w:cs="Arial" w:eastAsia="Arial" w:hAnsi="Arial"/>
                <w:sz w:val="18"/>
                <w:szCs w:val="18"/>
                <w:color w:val="auto"/>
                <w:w w:val="95"/>
              </w:rPr>
              <w:t>EACH</w:t>
            </w:r>
          </w:p>
        </w:tc>
        <w:tc>
          <w:tcPr>
            <w:tcW w:w="420" w:type="dxa"/>
            <w:vAlign w:val="bottom"/>
          </w:tcPr>
          <w:p>
            <w:pPr>
              <w:jc w:val="right"/>
              <w:ind w:right="12"/>
              <w:spacing w:after="0" w:line="190" w:lineRule="exact"/>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w:t>
            </w:r>
          </w:p>
        </w:tc>
        <w:tc>
          <w:tcPr>
            <w:tcW w:w="938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60" w:type="dxa"/>
            <w:vAlign w:val="bottom"/>
          </w:tcPr>
          <w:p>
            <w:pPr>
              <w:jc w:val="center"/>
              <w:ind w:right="152"/>
              <w:spacing w:after="0"/>
              <w:rPr>
                <w:sz w:val="20"/>
                <w:szCs w:val="20"/>
                <w:color w:val="auto"/>
              </w:rPr>
            </w:pPr>
            <w:r>
              <w:rPr>
                <w:rFonts w:ascii="Arial" w:cs="Arial" w:eastAsia="Arial" w:hAnsi="Arial"/>
                <w:sz w:val="18"/>
                <w:szCs w:val="18"/>
                <w:color w:val="auto"/>
                <w:w w:val="91"/>
              </w:rPr>
              <w:t>REPORTING</w:t>
            </w:r>
          </w:p>
        </w:tc>
        <w:tc>
          <w:tcPr>
            <w:tcW w:w="420" w:type="dxa"/>
            <w:vAlign w:val="bottom"/>
          </w:tcPr>
          <w:p>
            <w:pPr>
              <w:spacing w:after="0"/>
              <w:rPr>
                <w:sz w:val="18"/>
                <w:szCs w:val="18"/>
                <w:color w:val="auto"/>
              </w:rPr>
            </w:pPr>
          </w:p>
        </w:tc>
        <w:tc>
          <w:tcPr>
            <w:tcW w:w="9380" w:type="dxa"/>
            <w:vAlign w:val="bottom"/>
            <w:vMerge w:val="restart"/>
          </w:tcPr>
          <w:p>
            <w:pPr>
              <w:ind w:left="120"/>
              <w:spacing w:after="0"/>
              <w:rPr>
                <w:sz w:val="20"/>
                <w:szCs w:val="20"/>
                <w:color w:val="auto"/>
              </w:rPr>
            </w:pPr>
            <w:r>
              <w:rPr>
                <w:rFonts w:ascii="Arial" w:cs="Arial" w:eastAsia="Arial" w:hAnsi="Arial"/>
                <w:sz w:val="22"/>
                <w:szCs w:val="22"/>
                <w:color w:val="auto"/>
              </w:rPr>
              <w:t>2,971,144</w:t>
            </w:r>
          </w:p>
        </w:tc>
        <w:tc>
          <w:tcPr>
            <w:tcW w:w="0" w:type="dxa"/>
            <w:vAlign w:val="bottom"/>
          </w:tcPr>
          <w:p>
            <w:pPr>
              <w:spacing w:after="0"/>
              <w:rPr>
                <w:sz w:val="1"/>
                <w:szCs w:val="1"/>
                <w:color w:val="auto"/>
              </w:rPr>
            </w:pPr>
          </w:p>
        </w:tc>
      </w:tr>
      <w:tr>
        <w:trPr>
          <w:trHeight w:val="216"/>
        </w:trPr>
        <w:tc>
          <w:tcPr>
            <w:tcW w:w="1460" w:type="dxa"/>
            <w:vAlign w:val="bottom"/>
          </w:tcPr>
          <w:p>
            <w:pPr>
              <w:jc w:val="center"/>
              <w:ind w:right="152"/>
              <w:spacing w:after="0"/>
              <w:rPr>
                <w:sz w:val="20"/>
                <w:szCs w:val="20"/>
                <w:color w:val="auto"/>
              </w:rPr>
            </w:pPr>
            <w:r>
              <w:rPr>
                <w:rFonts w:ascii="Arial" w:cs="Arial" w:eastAsia="Arial" w:hAnsi="Arial"/>
                <w:sz w:val="18"/>
                <w:szCs w:val="18"/>
                <w:color w:val="auto"/>
                <w:w w:val="86"/>
              </w:rPr>
              <w:t>PERSON</w:t>
            </w:r>
          </w:p>
        </w:tc>
        <w:tc>
          <w:tcPr>
            <w:tcW w:w="420" w:type="dxa"/>
            <w:vAlign w:val="bottom"/>
          </w:tcPr>
          <w:p>
            <w:pPr>
              <w:spacing w:after="0"/>
              <w:rPr>
                <w:sz w:val="18"/>
                <w:szCs w:val="18"/>
                <w:color w:val="auto"/>
              </w:rPr>
            </w:pPr>
          </w:p>
        </w:tc>
        <w:tc>
          <w:tcPr>
            <w:tcW w:w="9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1460" w:type="dxa"/>
            <w:vAlign w:val="bottom"/>
            <w:vMerge w:val="restart"/>
          </w:tcPr>
          <w:p>
            <w:pPr>
              <w:jc w:val="center"/>
              <w:ind w:right="152"/>
              <w:spacing w:after="0"/>
              <w:rPr>
                <w:sz w:val="20"/>
                <w:szCs w:val="20"/>
                <w:color w:val="auto"/>
              </w:rPr>
            </w:pPr>
            <w:r>
              <w:rPr>
                <w:rFonts w:ascii="Arial" w:cs="Arial" w:eastAsia="Arial" w:hAnsi="Arial"/>
                <w:sz w:val="18"/>
                <w:szCs w:val="18"/>
                <w:color w:val="auto"/>
                <w:w w:val="97"/>
              </w:rPr>
              <w:t>WITH:</w:t>
            </w:r>
          </w:p>
        </w:tc>
        <w:tc>
          <w:tcPr>
            <w:tcW w:w="420" w:type="dxa"/>
            <w:vAlign w:val="bottom"/>
            <w:tcBorders>
              <w:bottom w:val="single" w:sz="8" w:color="auto"/>
            </w:tcBorders>
          </w:tcPr>
          <w:p>
            <w:pPr>
              <w:spacing w:after="0"/>
              <w:rPr>
                <w:sz w:val="4"/>
                <w:szCs w:val="4"/>
                <w:color w:val="auto"/>
              </w:rPr>
            </w:pPr>
          </w:p>
        </w:tc>
        <w:tc>
          <w:tcPr>
            <w:tcW w:w="9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460" w:type="dxa"/>
            <w:vAlign w:val="bottom"/>
            <w:vMerge w:val="continue"/>
          </w:tcPr>
          <w:p>
            <w:pPr>
              <w:spacing w:after="0"/>
              <w:rPr>
                <w:sz w:val="19"/>
                <w:szCs w:val="19"/>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b w:val="1"/>
                <w:bCs w:val="1"/>
                <w:color w:val="auto"/>
              </w:rPr>
              <w:t>8</w:t>
            </w:r>
            <w:r>
              <w:rPr>
                <w:rFonts w:ascii="Arial" w:cs="Arial" w:eastAsia="Arial" w:hAnsi="Arial"/>
                <w:sz w:val="18"/>
                <w:szCs w:val="18"/>
                <w:color w:val="auto"/>
              </w:rPr>
              <w:t>.</w:t>
            </w:r>
          </w:p>
        </w:tc>
        <w:tc>
          <w:tcPr>
            <w:tcW w:w="938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0</w:t>
      </w:r>
    </w:p>
    <w:p>
      <w:pPr>
        <w:spacing w:after="0" w:line="30" w:lineRule="exact"/>
        <w:rPr>
          <w:sz w:val="20"/>
          <w:szCs w:val="20"/>
          <w:color w:val="auto"/>
        </w:rPr>
      </w:pPr>
    </w:p>
    <w:p>
      <w:pPr>
        <w:ind w:left="380" w:hanging="284"/>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ind w:left="380"/>
        <w:spacing w:after="0"/>
        <w:rPr>
          <w:sz w:val="20"/>
          <w:szCs w:val="20"/>
          <w:color w:val="auto"/>
        </w:rPr>
      </w:pPr>
      <w:r>
        <w:rPr>
          <w:rFonts w:ascii="Arial" w:cs="Arial" w:eastAsia="Arial" w:hAnsi="Arial"/>
          <w:sz w:val="22"/>
          <w:szCs w:val="22"/>
          <w:color w:val="auto"/>
        </w:rPr>
        <w:t>2,971,144</w:t>
      </w:r>
    </w:p>
    <w:p>
      <w:pPr>
        <w:spacing w:after="0" w:line="22" w:lineRule="exact"/>
        <w:rPr>
          <w:sz w:val="20"/>
          <w:szCs w:val="20"/>
          <w:color w:val="auto"/>
        </w:rPr>
      </w:pPr>
    </w:p>
    <w:p>
      <w:pPr>
        <w:spacing w:after="0" w:line="207" w:lineRule="exact"/>
        <w:tabs>
          <w:tab w:leader="none" w:pos="360" w:val="left"/>
          <w:tab w:leader="none" w:pos="112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6"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ind w:left="380"/>
        <w:spacing w:after="0"/>
        <w:rPr>
          <w:sz w:val="20"/>
          <w:szCs w:val="20"/>
          <w:color w:val="auto"/>
        </w:rPr>
      </w:pPr>
      <w:r>
        <w:rPr>
          <w:rFonts w:ascii="Arial" w:cs="Arial" w:eastAsia="Arial" w:hAnsi="Arial"/>
          <w:sz w:val="22"/>
          <w:szCs w:val="22"/>
          <w:color w:val="auto"/>
        </w:rPr>
        <w:t>6.5%**</w:t>
      </w:r>
    </w:p>
    <w:p>
      <w:pPr>
        <w:spacing w:after="0" w:line="30"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ind w:left="380"/>
        <w:spacing w:after="0"/>
        <w:rPr>
          <w:sz w:val="20"/>
          <w:szCs w:val="20"/>
          <w:color w:val="auto"/>
        </w:rPr>
      </w:pPr>
      <w:r>
        <w:rPr>
          <w:rFonts w:ascii="Arial" w:cs="Arial" w:eastAsia="Arial" w:hAnsi="Arial"/>
          <w:sz w:val="22"/>
          <w:szCs w:val="22"/>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p>
      <w:pPr>
        <w:ind w:left="460" w:right="24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Mr. Clifford is the managing director of Significant Ventures, LLC and, in connection therewith, has dispositive power with respect to the shares held by Significant Ventures, LLC. Mr. Clifford disclaims beneficial ownership of these shares except to the extent of his pecuniary interest therein.</w:t>
      </w:r>
    </w:p>
    <w:p>
      <w:pPr>
        <w:spacing w:after="0" w:line="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45,465,160 shares of Grand Canyon Education, Inc. common stock, par value $0.01 per share, outstanding as of December 31, 2008.</w:t>
      </w:r>
    </w:p>
    <w:p>
      <w:pPr>
        <w:sectPr>
          <w:pgSz w:w="11900" w:h="16838" w:orient="portrait"/>
          <w:cols w:equalWidth="0" w:num="1">
            <w:col w:w="11420"/>
          </w:cols>
          <w:pgMar w:left="240" w:top="27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6880" w:type="dxa"/>
            <w:vAlign w:val="bottom"/>
            <w:gridSpan w:val="3"/>
          </w:tcPr>
          <w:p>
            <w:pPr>
              <w:spacing w:after="0"/>
              <w:rPr>
                <w:sz w:val="20"/>
                <w:szCs w:val="20"/>
                <w:color w:val="auto"/>
              </w:rPr>
            </w:pPr>
            <w:r>
              <w:rPr>
                <w:rFonts w:ascii="Arial" w:cs="Arial" w:eastAsia="Arial" w:hAnsi="Arial"/>
                <w:sz w:val="18"/>
                <w:szCs w:val="18"/>
                <w:b w:val="1"/>
                <w:bCs w:val="1"/>
                <w:color w:val="auto"/>
              </w:rPr>
              <w:t>CUSIP No. 38526M 106</w:t>
            </w:r>
          </w:p>
        </w:tc>
        <w:tc>
          <w:tcPr>
            <w:tcW w:w="4540" w:type="dxa"/>
            <w:vAlign w:val="bottom"/>
          </w:tcPr>
          <w:p>
            <w:pPr>
              <w:ind w:left="3720"/>
              <w:spacing w:after="0"/>
              <w:rPr>
                <w:sz w:val="20"/>
                <w:szCs w:val="20"/>
                <w:color w:val="auto"/>
              </w:rPr>
            </w:pPr>
            <w:r>
              <w:rPr>
                <w:rFonts w:ascii="Arial" w:cs="Arial" w:eastAsia="Arial" w:hAnsi="Arial"/>
                <w:sz w:val="18"/>
                <w:szCs w:val="18"/>
                <w:b w:val="1"/>
                <w:bCs w:val="1"/>
                <w:color w:val="auto"/>
                <w:w w:val="84"/>
              </w:rPr>
              <w:t>Page 4 of 7</w:t>
            </w:r>
          </w:p>
        </w:tc>
      </w:tr>
      <w:tr>
        <w:trPr>
          <w:trHeight w:val="488"/>
        </w:trPr>
        <w:tc>
          <w:tcPr>
            <w:tcW w:w="68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color w:val="auto"/>
              </w:rPr>
              <w:t>(a)  Name of Issuer:</w:t>
            </w:r>
          </w:p>
        </w:tc>
        <w:tc>
          <w:tcPr>
            <w:tcW w:w="454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343"/>
        </w:trPr>
        <w:tc>
          <w:tcPr>
            <w:tcW w:w="1000" w:type="dxa"/>
            <w:vAlign w:val="bottom"/>
          </w:tcPr>
          <w:p>
            <w:pPr>
              <w:spacing w:after="0"/>
              <w:rPr>
                <w:sz w:val="24"/>
                <w:szCs w:val="24"/>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Grand Canyon Education, Inc.</w:t>
            </w:r>
          </w:p>
        </w:tc>
        <w:tc>
          <w:tcPr>
            <w:tcW w:w="4540" w:type="dxa"/>
            <w:vAlign w:val="bottom"/>
          </w:tcPr>
          <w:p>
            <w:pPr>
              <w:spacing w:after="0"/>
              <w:rPr>
                <w:sz w:val="24"/>
                <w:szCs w:val="24"/>
                <w:color w:val="auto"/>
              </w:rPr>
            </w:pP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1000" w:hanging="32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Address of Issuer’s Principal Executive Offices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00" w:right="7600" w:hanging="328"/>
        <w:spacing w:after="0" w:line="422"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Address of Principal Business Office(s)</w:t>
      </w:r>
      <w:r>
        <w:rPr>
          <w:rFonts w:ascii="Arial" w:cs="Arial" w:eastAsia="Arial" w:hAnsi="Arial"/>
          <w:sz w:val="16"/>
          <w:szCs w:val="16"/>
          <w:color w:val="auto"/>
        </w:rPr>
        <w:t>: Significant Ventures, LLC:</w:t>
      </w:r>
    </w:p>
    <w:p>
      <w:pPr>
        <w:spacing w:after="0" w:line="1" w:lineRule="exact"/>
        <w:rPr>
          <w:rFonts w:ascii="Arial" w:cs="Arial" w:eastAsia="Arial" w:hAnsi="Arial"/>
          <w:sz w:val="16"/>
          <w:szCs w:val="16"/>
          <w:color w:val="auto"/>
        </w:rPr>
      </w:pPr>
    </w:p>
    <w:p>
      <w:pPr>
        <w:ind w:left="1000" w:right="8720"/>
        <w:spacing w:after="0" w:line="254" w:lineRule="auto"/>
        <w:rPr>
          <w:rFonts w:ascii="Arial" w:cs="Arial" w:eastAsia="Arial" w:hAnsi="Arial"/>
          <w:sz w:val="16"/>
          <w:szCs w:val="16"/>
          <w:color w:val="auto"/>
        </w:rPr>
      </w:pPr>
      <w:r>
        <w:rPr>
          <w:rFonts w:ascii="Arial" w:cs="Arial" w:eastAsia="Arial" w:hAnsi="Arial"/>
          <w:sz w:val="18"/>
          <w:szCs w:val="18"/>
          <w:color w:val="auto"/>
        </w:rPr>
        <w:t>243 North Highway 101 Suite 11</w:t>
      </w:r>
    </w:p>
    <w:p>
      <w:pPr>
        <w:ind w:left="1000" w:right="8180"/>
        <w:spacing w:after="0" w:line="372" w:lineRule="auto"/>
        <w:rPr>
          <w:rFonts w:ascii="Arial" w:cs="Arial" w:eastAsia="Arial" w:hAnsi="Arial"/>
          <w:sz w:val="16"/>
          <w:szCs w:val="16"/>
          <w:color w:val="auto"/>
        </w:rPr>
      </w:pPr>
      <w:r>
        <w:rPr>
          <w:rFonts w:ascii="Arial" w:cs="Arial" w:eastAsia="Arial" w:hAnsi="Arial"/>
          <w:sz w:val="18"/>
          <w:szCs w:val="18"/>
          <w:color w:val="auto"/>
        </w:rPr>
        <w:t>Solana Beach, California 92075 Michael K. Clifford:</w:t>
      </w:r>
    </w:p>
    <w:p>
      <w:pPr>
        <w:ind w:left="1000" w:right="8720"/>
        <w:spacing w:after="0" w:line="254" w:lineRule="auto"/>
        <w:rPr>
          <w:rFonts w:ascii="Arial" w:cs="Arial" w:eastAsia="Arial" w:hAnsi="Arial"/>
          <w:sz w:val="16"/>
          <w:szCs w:val="16"/>
          <w:color w:val="auto"/>
        </w:rPr>
      </w:pPr>
      <w:r>
        <w:rPr>
          <w:rFonts w:ascii="Arial" w:cs="Arial" w:eastAsia="Arial" w:hAnsi="Arial"/>
          <w:sz w:val="18"/>
          <w:szCs w:val="18"/>
          <w:color w:val="auto"/>
        </w:rPr>
        <w:t>243 North Highway 101 Suite 11</w:t>
      </w:r>
    </w:p>
    <w:p>
      <w:pPr>
        <w:ind w:left="1000"/>
        <w:spacing w:after="0"/>
        <w:rPr>
          <w:rFonts w:ascii="Arial" w:cs="Arial" w:eastAsia="Arial" w:hAnsi="Arial"/>
          <w:sz w:val="16"/>
          <w:szCs w:val="16"/>
          <w:color w:val="auto"/>
        </w:rPr>
      </w:pPr>
      <w:r>
        <w:rPr>
          <w:rFonts w:ascii="Arial" w:cs="Arial" w:eastAsia="Arial" w:hAnsi="Arial"/>
          <w:sz w:val="18"/>
          <w:szCs w:val="18"/>
          <w:color w:val="auto"/>
        </w:rPr>
        <w:t>Solana Beach, California 92075</w:t>
      </w:r>
    </w:p>
    <w:p>
      <w:pPr>
        <w:spacing w:after="0" w:line="110" w:lineRule="exact"/>
        <w:rPr>
          <w:rFonts w:ascii="Arial" w:cs="Arial" w:eastAsia="Arial" w:hAnsi="Arial"/>
          <w:sz w:val="16"/>
          <w:szCs w:val="16"/>
          <w:color w:val="auto"/>
        </w:rPr>
      </w:pPr>
    </w:p>
    <w:p>
      <w:pPr>
        <w:ind w:left="1000" w:hanging="31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00" w:right="8520"/>
        <w:spacing w:after="0" w:line="375" w:lineRule="auto"/>
        <w:rPr>
          <w:rFonts w:ascii="Arial" w:cs="Arial" w:eastAsia="Arial" w:hAnsi="Arial"/>
          <w:sz w:val="18"/>
          <w:szCs w:val="18"/>
          <w:color w:val="auto"/>
        </w:rPr>
      </w:pPr>
      <w:r>
        <w:rPr>
          <w:rFonts w:ascii="Arial" w:cs="Arial" w:eastAsia="Arial" w:hAnsi="Arial"/>
          <w:sz w:val="18"/>
          <w:szCs w:val="18"/>
          <w:color w:val="auto"/>
        </w:rPr>
        <w:t>Significant Ventures, LLC: Delaware</w:t>
      </w:r>
    </w:p>
    <w:p>
      <w:pPr>
        <w:spacing w:after="0" w:line="1" w:lineRule="exact"/>
        <w:rPr>
          <w:rFonts w:ascii="Arial" w:cs="Arial" w:eastAsia="Arial" w:hAnsi="Arial"/>
          <w:sz w:val="18"/>
          <w:szCs w:val="18"/>
          <w:color w:val="auto"/>
        </w:rPr>
      </w:pPr>
    </w:p>
    <w:p>
      <w:pPr>
        <w:ind w:left="1000" w:right="8640"/>
        <w:spacing w:after="0" w:line="422" w:lineRule="auto"/>
        <w:rPr>
          <w:rFonts w:ascii="Arial" w:cs="Arial" w:eastAsia="Arial" w:hAnsi="Arial"/>
          <w:sz w:val="18"/>
          <w:szCs w:val="18"/>
          <w:color w:val="auto"/>
        </w:rPr>
      </w:pPr>
      <w:r>
        <w:rPr>
          <w:rFonts w:ascii="Arial" w:cs="Arial" w:eastAsia="Arial" w:hAnsi="Arial"/>
          <w:sz w:val="16"/>
          <w:szCs w:val="16"/>
          <w:color w:val="auto"/>
        </w:rPr>
        <w:t>Michael K. Clifford: United States of America</w:t>
      </w:r>
    </w:p>
    <w:p>
      <w:pPr>
        <w:spacing w:after="0" w:line="1" w:lineRule="exact"/>
        <w:rPr>
          <w:rFonts w:ascii="Arial" w:cs="Arial" w:eastAsia="Arial" w:hAnsi="Arial"/>
          <w:sz w:val="18"/>
          <w:szCs w:val="18"/>
          <w:color w:val="auto"/>
        </w:rPr>
      </w:pPr>
    </w:p>
    <w:p>
      <w:pPr>
        <w:ind w:left="1000" w:hanging="32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Title of Class of Securities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Common Stock, $0.01 Par Value Per Share</w:t>
      </w:r>
    </w:p>
    <w:p>
      <w:pPr>
        <w:spacing w:after="0" w:line="117" w:lineRule="exact"/>
        <w:rPr>
          <w:rFonts w:ascii="Arial" w:cs="Arial" w:eastAsia="Arial" w:hAnsi="Arial"/>
          <w:sz w:val="18"/>
          <w:szCs w:val="18"/>
          <w:color w:val="auto"/>
        </w:rPr>
      </w:pPr>
    </w:p>
    <w:p>
      <w:pPr>
        <w:ind w:left="1000" w:right="9260" w:hanging="318"/>
        <w:spacing w:after="0" w:line="472"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CUSIP Number</w:t>
      </w:r>
      <w:r>
        <w:rPr>
          <w:rFonts w:ascii="Arial" w:cs="Arial" w:eastAsia="Arial" w:hAnsi="Arial"/>
          <w:sz w:val="16"/>
          <w:szCs w:val="16"/>
          <w:color w:val="auto"/>
        </w:rPr>
        <w:t>: 38526M 106</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38526M 106</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If this statement is filed pursuant to Rule 13d-1(b), or 13d-2(b) or (c), check whether the person filing is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5 of 7</w:t>
      </w:r>
    </w:p>
    <w:p>
      <w:pPr>
        <w:spacing w:after="0" w:line="630" w:lineRule="exact"/>
        <w:rPr>
          <w:sz w:val="20"/>
          <w:szCs w:val="20"/>
          <w:color w:val="auto"/>
        </w:rPr>
      </w:pPr>
    </w:p>
    <w:p>
      <w:pPr>
        <w:sectPr>
          <w:pgSz w:w="11900" w:h="16838" w:orient="portrait"/>
          <w:cols w:equalWidth="0" w:num="2">
            <w:col w:w="9880" w:space="720"/>
            <w:col w:w="820"/>
          </w:cols>
          <w:pgMar w:left="240" w:top="274" w:right="239" w:bottom="1440" w:gutter="0" w:footer="0" w:header="0"/>
        </w:sectPr>
      </w:pPr>
    </w:p>
    <w:p>
      <w:pPr>
        <w:ind w:left="46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420"/>
          </w:cols>
          <w:pgMar w:left="240" w:top="274" w:right="239" w:bottom="1440" w:gutter="0" w:footer="0" w:header="0"/>
          <w:type w:val="continuous"/>
        </w:sect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Ownership.</w:t>
      </w:r>
    </w:p>
    <w:p>
      <w:pPr>
        <w:spacing w:after="0" w:line="130" w:lineRule="exact"/>
        <w:rPr>
          <w:sz w:val="20"/>
          <w:szCs w:val="20"/>
          <w:color w:val="auto"/>
        </w:rPr>
      </w:pPr>
    </w:p>
    <w:p>
      <w:pPr>
        <w:sectPr>
          <w:pgSz w:w="11900" w:h="16838" w:orient="portrait"/>
          <w:cols w:equalWidth="0" w:num="2">
            <w:col w:w="540" w:space="500"/>
            <w:col w:w="10380"/>
          </w:cols>
          <w:pgMar w:left="240" w:top="274" w:right="239" w:bottom="1440" w:gutter="0" w:footer="0" w:header="0"/>
          <w:type w:val="continuous"/>
        </w:sect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 beneficially owned: See Item 9 of Cover Pages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 of class: See Item 11 of Cover Pages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sole power to vote or to direct the vote of: See Item 5 of Cover Pages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shared power to vote or to direct the vote of: See Item 6 of Cover Pages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Item 7 of Cover Pages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Item 8 of Cover Pages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Identification and Classification of the Subsidiary Which Acquired the Security Being Reported on by the Parent Holding Company.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274" w:right="239" w:bottom="1440" w:gutter="0" w:footer="0" w:header="0"/>
          <w:type w:val="continuous"/>
        </w:sectPr>
      </w:pPr>
    </w:p>
    <w:bookmarkStart w:id="5" w:name="page6"/>
    <w:bookmarkEnd w:id="5"/>
    <w:p>
      <w:pPr>
        <w:spacing w:after="0"/>
        <w:tabs>
          <w:tab w:leader="none" w:pos="105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38526M 106</w:t>
      </w:r>
      <w:r>
        <w:rPr>
          <w:sz w:val="20"/>
          <w:szCs w:val="20"/>
          <w:color w:val="auto"/>
        </w:rPr>
        <w:tab/>
      </w:r>
      <w:r>
        <w:rPr>
          <w:rFonts w:ascii="Arial" w:cs="Arial" w:eastAsia="Arial" w:hAnsi="Arial"/>
          <w:sz w:val="15"/>
          <w:szCs w:val="15"/>
          <w:b w:val="1"/>
          <w:bCs w:val="1"/>
          <w:color w:val="auto"/>
        </w:rPr>
        <w:t>Page 6 of 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60" w:type="dxa"/>
            <w:vAlign w:val="bottom"/>
          </w:tcPr>
          <w:p>
            <w:pPr>
              <w:spacing w:after="0"/>
              <w:rPr>
                <w:sz w:val="19"/>
                <w:szCs w:val="19"/>
                <w:color w:val="auto"/>
              </w:rPr>
            </w:pPr>
          </w:p>
        </w:tc>
        <w:tc>
          <w:tcPr>
            <w:tcW w:w="5360" w:type="dxa"/>
            <w:vAlign w:val="bottom"/>
            <w:gridSpan w:val="2"/>
          </w:tcPr>
          <w:p>
            <w:pPr>
              <w:ind w:left="100"/>
              <w:spacing w:after="0"/>
              <w:rPr>
                <w:sz w:val="20"/>
                <w:szCs w:val="20"/>
                <w:color w:val="auto"/>
              </w:rPr>
            </w:pPr>
            <w:r>
              <w:rPr>
                <w:rFonts w:ascii="Arial" w:cs="Arial" w:eastAsia="Arial" w:hAnsi="Arial"/>
                <w:sz w:val="18"/>
                <w:szCs w:val="18"/>
                <w:b w:val="1"/>
                <w:bCs w:val="1"/>
                <w:color w:val="auto"/>
              </w:rPr>
              <w:t>Significant Ventures, LLC</w:t>
            </w:r>
          </w:p>
        </w:tc>
      </w:tr>
      <w:tr>
        <w:trPr>
          <w:trHeight w:val="433"/>
        </w:trPr>
        <w:tc>
          <w:tcPr>
            <w:tcW w:w="6060" w:type="dxa"/>
            <w:vAlign w:val="bottom"/>
          </w:tcPr>
          <w:p>
            <w:pPr>
              <w:spacing w:after="0"/>
              <w:rPr>
                <w:sz w:val="20"/>
                <w:szCs w:val="20"/>
                <w:color w:val="auto"/>
              </w:rPr>
            </w:pPr>
            <w:r>
              <w:rPr>
                <w:rFonts w:ascii="Arial" w:cs="Arial" w:eastAsia="Arial" w:hAnsi="Arial"/>
                <w:sz w:val="18"/>
                <w:szCs w:val="18"/>
                <w:color w:val="auto"/>
              </w:rPr>
              <w:t>Dated: February 17, 2009</w:t>
            </w:r>
          </w:p>
        </w:tc>
        <w:tc>
          <w:tcPr>
            <w:tcW w:w="53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Michael K. Clifford</w:t>
            </w:r>
          </w:p>
        </w:tc>
      </w:tr>
      <w:tr>
        <w:trPr>
          <w:trHeight w:val="202"/>
        </w:trPr>
        <w:tc>
          <w:tcPr>
            <w:tcW w:w="6060" w:type="dxa"/>
            <w:vAlign w:val="bottom"/>
          </w:tcPr>
          <w:p>
            <w:pPr>
              <w:spacing w:after="0"/>
              <w:rPr>
                <w:sz w:val="17"/>
                <w:szCs w:val="17"/>
                <w:color w:val="auto"/>
              </w:rPr>
            </w:pPr>
          </w:p>
        </w:tc>
        <w:tc>
          <w:tcPr>
            <w:tcW w:w="580" w:type="dxa"/>
            <w:vAlign w:val="bottom"/>
          </w:tcPr>
          <w:p>
            <w:pPr>
              <w:ind w:left="100"/>
              <w:spacing w:after="0" w:line="202" w:lineRule="exact"/>
              <w:rPr>
                <w:sz w:val="20"/>
                <w:szCs w:val="20"/>
                <w:color w:val="auto"/>
              </w:rPr>
            </w:pPr>
            <w:r>
              <w:rPr>
                <w:rFonts w:ascii="Arial" w:cs="Arial" w:eastAsia="Arial" w:hAnsi="Arial"/>
                <w:sz w:val="18"/>
                <w:szCs w:val="18"/>
                <w:color w:val="auto"/>
              </w:rPr>
              <w:t>By:</w:t>
            </w:r>
          </w:p>
        </w:tc>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Michael K. Clifford</w:t>
            </w:r>
          </w:p>
        </w:tc>
      </w:tr>
      <w:tr>
        <w:trPr>
          <w:trHeight w:val="222"/>
        </w:trPr>
        <w:tc>
          <w:tcPr>
            <w:tcW w:w="6060" w:type="dxa"/>
            <w:vAlign w:val="bottom"/>
          </w:tcPr>
          <w:p>
            <w:pPr>
              <w:spacing w:after="0"/>
              <w:rPr>
                <w:sz w:val="19"/>
                <w:szCs w:val="19"/>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Title:</w:t>
            </w:r>
          </w:p>
        </w:tc>
        <w:tc>
          <w:tcPr>
            <w:tcW w:w="4780" w:type="dxa"/>
            <w:vAlign w:val="bottom"/>
          </w:tcPr>
          <w:p>
            <w:pPr>
              <w:ind w:left="80"/>
              <w:spacing w:after="0"/>
              <w:rPr>
                <w:sz w:val="20"/>
                <w:szCs w:val="20"/>
                <w:color w:val="auto"/>
              </w:rPr>
            </w:pPr>
            <w:r>
              <w:rPr>
                <w:rFonts w:ascii="Arial" w:cs="Arial" w:eastAsia="Arial" w:hAnsi="Arial"/>
                <w:sz w:val="18"/>
                <w:szCs w:val="18"/>
                <w:color w:val="auto"/>
              </w:rPr>
              <w:t>Managing Director</w:t>
            </w:r>
          </w:p>
        </w:tc>
      </w:tr>
      <w:tr>
        <w:trPr>
          <w:trHeight w:val="433"/>
        </w:trPr>
        <w:tc>
          <w:tcPr>
            <w:tcW w:w="6060" w:type="dxa"/>
            <w:vAlign w:val="bottom"/>
          </w:tcPr>
          <w:p>
            <w:pPr>
              <w:spacing w:after="0"/>
              <w:rPr>
                <w:sz w:val="20"/>
                <w:szCs w:val="20"/>
                <w:color w:val="auto"/>
              </w:rPr>
            </w:pPr>
            <w:r>
              <w:rPr>
                <w:rFonts w:ascii="Arial" w:cs="Arial" w:eastAsia="Arial" w:hAnsi="Arial"/>
                <w:sz w:val="18"/>
                <w:szCs w:val="18"/>
                <w:color w:val="auto"/>
              </w:rPr>
              <w:t>Dated: February 17, 2009</w:t>
            </w:r>
          </w:p>
        </w:tc>
        <w:tc>
          <w:tcPr>
            <w:tcW w:w="53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Michael K. Clifford</w:t>
            </w:r>
          </w:p>
        </w:tc>
      </w:tr>
      <w:tr>
        <w:trPr>
          <w:trHeight w:val="217"/>
        </w:trPr>
        <w:tc>
          <w:tcPr>
            <w:tcW w:w="6060" w:type="dxa"/>
            <w:vAlign w:val="bottom"/>
          </w:tcPr>
          <w:p>
            <w:pPr>
              <w:spacing w:after="0"/>
              <w:rPr>
                <w:sz w:val="18"/>
                <w:szCs w:val="18"/>
                <w:color w:val="auto"/>
              </w:rPr>
            </w:pP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Michael K. Clifford</w:t>
            </w:r>
          </w:p>
        </w:tc>
      </w:tr>
    </w:tbl>
    <w:p>
      <w:pPr>
        <w:sectPr>
          <w:pgSz w:w="11900" w:h="16838" w:orient="portrait"/>
          <w:cols w:equalWidth="0" w:num="1">
            <w:col w:w="11420"/>
          </w:cols>
          <w:pgMar w:left="240" w:top="274" w:right="239" w:bottom="1440" w:gutter="0" w:footer="0" w:header="0"/>
        </w:sectPr>
      </w:pPr>
    </w:p>
    <w:bookmarkStart w:id="6" w:name="page7"/>
    <w:bookmarkEnd w:id="6"/>
    <w:p>
      <w:pPr>
        <w:spacing w:after="0"/>
        <w:tabs>
          <w:tab w:leader="none" w:pos="10580" w:val="left"/>
        </w:tabs>
        <w:rPr>
          <w:sz w:val="20"/>
          <w:szCs w:val="20"/>
          <w:color w:val="auto"/>
        </w:rPr>
      </w:pPr>
      <w:r>
        <w:rPr>
          <w:rFonts w:ascii="Arial" w:cs="Arial" w:eastAsia="Arial" w:hAnsi="Arial"/>
          <w:sz w:val="18"/>
          <w:szCs w:val="18"/>
          <w:b w:val="1"/>
          <w:bCs w:val="1"/>
          <w:color w:val="auto"/>
        </w:rPr>
        <w:t>CUSIP No. 38526M 106</w:t>
      </w:r>
      <w:r>
        <w:rPr>
          <w:sz w:val="20"/>
          <w:szCs w:val="20"/>
          <w:color w:val="auto"/>
        </w:rPr>
        <w:tab/>
      </w:r>
      <w:r>
        <w:rPr>
          <w:rFonts w:ascii="Arial" w:cs="Arial" w:eastAsia="Arial" w:hAnsi="Arial"/>
          <w:sz w:val="15"/>
          <w:szCs w:val="15"/>
          <w:b w:val="1"/>
          <w:bCs w:val="1"/>
          <w:color w:val="auto"/>
        </w:rPr>
        <w:t>Page 7 of 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1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accordance with Rule 13d-1(k) under the Securities Exchange Act of 1934, as amended, the persons named below agree to the joint filing on behalf of each of them of a Statement on Schedule 13G (including amendments thereto) relating to the Common Stock of Grand Canyon Education, Inc. and further agree that this Joint Filing Agreement be included as an exhibit to such Schedule 13G. In evidence thereof, the undersigned hereby execute this Agreement as of the date set forth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60" w:type="dxa"/>
            <w:vAlign w:val="bottom"/>
          </w:tcPr>
          <w:p>
            <w:pPr>
              <w:spacing w:after="0"/>
              <w:rPr>
                <w:sz w:val="20"/>
                <w:szCs w:val="20"/>
                <w:color w:val="auto"/>
              </w:rPr>
            </w:pPr>
            <w:r>
              <w:rPr>
                <w:rFonts w:ascii="Arial" w:cs="Arial" w:eastAsia="Arial" w:hAnsi="Arial"/>
                <w:sz w:val="18"/>
                <w:szCs w:val="18"/>
                <w:color w:val="auto"/>
              </w:rPr>
              <w:t>Dated: February 17, 2009</w:t>
            </w:r>
          </w:p>
        </w:tc>
        <w:tc>
          <w:tcPr>
            <w:tcW w:w="5360" w:type="dxa"/>
            <w:vAlign w:val="bottom"/>
            <w:gridSpan w:val="2"/>
          </w:tcPr>
          <w:p>
            <w:pPr>
              <w:ind w:left="100"/>
              <w:spacing w:after="0"/>
              <w:rPr>
                <w:sz w:val="20"/>
                <w:szCs w:val="20"/>
                <w:color w:val="auto"/>
              </w:rPr>
            </w:pPr>
            <w:r>
              <w:rPr>
                <w:rFonts w:ascii="Arial" w:cs="Arial" w:eastAsia="Arial" w:hAnsi="Arial"/>
                <w:sz w:val="18"/>
                <w:szCs w:val="18"/>
                <w:b w:val="1"/>
                <w:bCs w:val="1"/>
                <w:color w:val="auto"/>
              </w:rPr>
              <w:t>Significant Ventures, LLC</w:t>
            </w:r>
          </w:p>
        </w:tc>
      </w:tr>
      <w:tr>
        <w:trPr>
          <w:trHeight w:val="433"/>
        </w:trPr>
        <w:tc>
          <w:tcPr>
            <w:tcW w:w="6060" w:type="dxa"/>
            <w:vAlign w:val="bottom"/>
          </w:tcPr>
          <w:p>
            <w:pPr>
              <w:spacing w:after="0"/>
              <w:rPr>
                <w:sz w:val="24"/>
                <w:szCs w:val="24"/>
                <w:color w:val="auto"/>
              </w:rPr>
            </w:pPr>
          </w:p>
        </w:tc>
        <w:tc>
          <w:tcPr>
            <w:tcW w:w="53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Michael K. Clifford</w:t>
            </w:r>
          </w:p>
        </w:tc>
      </w:tr>
      <w:tr>
        <w:trPr>
          <w:trHeight w:val="202"/>
        </w:trPr>
        <w:tc>
          <w:tcPr>
            <w:tcW w:w="6060" w:type="dxa"/>
            <w:vAlign w:val="bottom"/>
          </w:tcPr>
          <w:p>
            <w:pPr>
              <w:spacing w:after="0"/>
              <w:rPr>
                <w:sz w:val="17"/>
                <w:szCs w:val="17"/>
                <w:color w:val="auto"/>
              </w:rPr>
            </w:pPr>
          </w:p>
        </w:tc>
        <w:tc>
          <w:tcPr>
            <w:tcW w:w="580" w:type="dxa"/>
            <w:vAlign w:val="bottom"/>
          </w:tcPr>
          <w:p>
            <w:pPr>
              <w:ind w:left="100"/>
              <w:spacing w:after="0" w:line="202" w:lineRule="exact"/>
              <w:rPr>
                <w:sz w:val="20"/>
                <w:szCs w:val="20"/>
                <w:color w:val="auto"/>
              </w:rPr>
            </w:pPr>
            <w:r>
              <w:rPr>
                <w:rFonts w:ascii="Arial" w:cs="Arial" w:eastAsia="Arial" w:hAnsi="Arial"/>
                <w:sz w:val="18"/>
                <w:szCs w:val="18"/>
                <w:color w:val="auto"/>
              </w:rPr>
              <w:t>By:</w:t>
            </w:r>
          </w:p>
        </w:tc>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Michael K. Clifford</w:t>
            </w:r>
          </w:p>
        </w:tc>
      </w:tr>
      <w:tr>
        <w:trPr>
          <w:trHeight w:val="222"/>
        </w:trPr>
        <w:tc>
          <w:tcPr>
            <w:tcW w:w="6060" w:type="dxa"/>
            <w:vAlign w:val="bottom"/>
          </w:tcPr>
          <w:p>
            <w:pPr>
              <w:spacing w:after="0"/>
              <w:rPr>
                <w:sz w:val="19"/>
                <w:szCs w:val="19"/>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Title:</w:t>
            </w:r>
          </w:p>
        </w:tc>
        <w:tc>
          <w:tcPr>
            <w:tcW w:w="4780" w:type="dxa"/>
            <w:vAlign w:val="bottom"/>
          </w:tcPr>
          <w:p>
            <w:pPr>
              <w:ind w:left="80"/>
              <w:spacing w:after="0"/>
              <w:rPr>
                <w:sz w:val="20"/>
                <w:szCs w:val="20"/>
                <w:color w:val="auto"/>
              </w:rPr>
            </w:pPr>
            <w:r>
              <w:rPr>
                <w:rFonts w:ascii="Arial" w:cs="Arial" w:eastAsia="Arial" w:hAnsi="Arial"/>
                <w:sz w:val="18"/>
                <w:szCs w:val="18"/>
                <w:color w:val="auto"/>
              </w:rPr>
              <w:t>Managing Director</w:t>
            </w:r>
          </w:p>
        </w:tc>
      </w:tr>
      <w:tr>
        <w:trPr>
          <w:trHeight w:val="433"/>
        </w:trPr>
        <w:tc>
          <w:tcPr>
            <w:tcW w:w="6060" w:type="dxa"/>
            <w:vAlign w:val="bottom"/>
          </w:tcPr>
          <w:p>
            <w:pPr>
              <w:spacing w:after="0"/>
              <w:rPr>
                <w:sz w:val="20"/>
                <w:szCs w:val="20"/>
                <w:color w:val="auto"/>
              </w:rPr>
            </w:pPr>
            <w:r>
              <w:rPr>
                <w:rFonts w:ascii="Arial" w:cs="Arial" w:eastAsia="Arial" w:hAnsi="Arial"/>
                <w:sz w:val="18"/>
                <w:szCs w:val="18"/>
                <w:color w:val="auto"/>
              </w:rPr>
              <w:t>Dated: February 17, 2009</w:t>
            </w:r>
          </w:p>
        </w:tc>
        <w:tc>
          <w:tcPr>
            <w:tcW w:w="53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Michael K. Clifford</w:t>
            </w:r>
          </w:p>
        </w:tc>
      </w:tr>
      <w:tr>
        <w:trPr>
          <w:trHeight w:val="217"/>
        </w:trPr>
        <w:tc>
          <w:tcPr>
            <w:tcW w:w="6060" w:type="dxa"/>
            <w:vAlign w:val="bottom"/>
          </w:tcPr>
          <w:p>
            <w:pPr>
              <w:spacing w:after="0"/>
              <w:rPr>
                <w:sz w:val="18"/>
                <w:szCs w:val="18"/>
                <w:color w:val="auto"/>
              </w:rPr>
            </w:pP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Michael K. Clifford</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lvl w:ilvl="1">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lvl w:ilvl="1">
      <w:lvlJc w:val="left"/>
      <w:lvlText w:val="(%2)"/>
      <w:numFmt w:val="lowerLetter"/>
      <w:start w:val="1"/>
    </w:lvl>
  </w:abstractNum>
  <w:abstractNum w:abstractNumId="4">
    <w:nsid w:val="1190CDE7"/>
    <w:multiLevelType w:val="hybridMultilevel"/>
    <w:lvl w:ilvl="0">
      <w:lvlJc w:val="left"/>
      <w:lvlText w:val="%1."/>
      <w:numFmt w:val="decimal"/>
      <w:start w:val="9"/>
    </w:lvl>
  </w:abstractNum>
  <w:abstractNum w:abstractNumId="5">
    <w:nsid w:val="66EF438D"/>
    <w:multiLevelType w:val="hybridMultilevel"/>
    <w:lvl w:ilvl="0">
      <w:lvlJc w:val="left"/>
      <w:lvlText w:val="%1."/>
      <w:numFmt w:val="decimal"/>
      <w:start w:val="11"/>
    </w:lvl>
  </w:abstractNum>
  <w:abstractNum w:abstractNumId="6">
    <w:nsid w:val="140E0F76"/>
    <w:multiLevelType w:val="hybridMultilevel"/>
    <w:lvl w:ilvl="0">
      <w:lvlJc w:val="left"/>
      <w:lvlText w:val="%1."/>
      <w:numFmt w:val="decimal"/>
      <w:start w:val="12"/>
    </w:lvl>
  </w:abstractNum>
  <w:abstractNum w:abstractNumId="7">
    <w:nsid w:val="3352255A"/>
    <w:multiLevelType w:val="hybridMultilevel"/>
    <w:lvl w:ilvl="0">
      <w:lvlJc w:val="left"/>
      <w:lvlText w:val="*"/>
      <w:numFmt w:val="bullet"/>
      <w:start w:val="1"/>
    </w:lvl>
    <w:lvl w:ilvl="1">
      <w:lvlJc w:val="left"/>
      <w:lvlText w:val="%2"/>
      <w:numFmt w:val="upperLetter"/>
      <w:start w:val="4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2"/>
    </w:lvl>
    <w:lvl w:ilvl="1">
      <w:lvlJc w:val="left"/>
      <w:lvlText w:val="(%2)"/>
      <w:numFmt w:val="lowerLetter"/>
      <w:start w:val="1"/>
    </w:lvl>
  </w:abstractNum>
  <w:abstractNum w:abstractNumId="10">
    <w:nsid w:val="7FDCC233"/>
    <w:multiLevelType w:val="hybridMultilevel"/>
    <w:lvl w:ilvl="0">
      <w:lvlJc w:val="left"/>
      <w:lvlText w:val="%1."/>
      <w:numFmt w:val="decimal"/>
      <w:start w:val="9"/>
    </w:lvl>
  </w:abstractNum>
  <w:abstractNum w:abstractNumId="11">
    <w:nsid w:val="1BEFD79F"/>
    <w:multiLevelType w:val="hybridMultilevel"/>
    <w:lvl w:ilvl="0">
      <w:lvlJc w:val="left"/>
      <w:lvlText w:val="%1."/>
      <w:numFmt w:val="decimal"/>
      <w:start w:val="11"/>
    </w:lvl>
  </w:abstractNum>
  <w:abstractNum w:abstractNumId="12">
    <w:nsid w:val="41A7C4C9"/>
    <w:multiLevelType w:val="hybridMultilevel"/>
    <w:lvl w:ilvl="0">
      <w:lvlJc w:val="left"/>
      <w:lvlText w:val="%1."/>
      <w:numFmt w:val="decimal"/>
      <w:start w:val="12"/>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lowerLetter"/>
      <w:start w:val="2"/>
    </w:lvl>
  </w:abstractNum>
  <w:abstractNum w:abstractNumId="16">
    <w:nsid w:val="519B500D"/>
    <w:multiLevelType w:val="hybridMultilevel"/>
    <w:lvl w:ilvl="0">
      <w:lvlJc w:val="left"/>
      <w:lvlText w:val="(%1)"/>
      <w:numFmt w:val="lowerLetter"/>
      <w:start w:val="2"/>
    </w:lvl>
  </w:abstractNum>
  <w:abstractNum w:abstractNumId="17">
    <w:nsid w:val="431BD7B7"/>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2019-12-11T03:31:03Z</dcterms:created>
  <dcterms:modified xsi:type="dcterms:W3CDTF">2019-12-11T03:31:03Z</dcterms:modified>
</cp:coreProperties>
</file>