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200" w:type="dxa"/>
            <w:vAlign w:val="bottom"/>
            <w:gridSpan w:val="4"/>
          </w:tcPr>
          <w:p>
            <w:pPr>
              <w:jc w:val="center"/>
              <w:ind w:right="2480"/>
              <w:spacing w:after="0"/>
              <w:rPr>
                <w:sz w:val="20"/>
                <w:szCs w:val="20"/>
                <w:color w:val="auto"/>
              </w:rPr>
            </w:pPr>
            <w:r>
              <w:rPr>
                <w:rFonts w:ascii="Arial" w:cs="Arial" w:eastAsia="Arial" w:hAnsi="Arial"/>
                <w:sz w:val="18"/>
                <w:szCs w:val="18"/>
                <w:b w:val="1"/>
                <w:bCs w:val="1"/>
                <w:color w:val="auto"/>
                <w:w w:val="91"/>
              </w:rPr>
              <w:t>Delaware</w:t>
            </w:r>
          </w:p>
        </w:tc>
        <w:tc>
          <w:tcPr>
            <w:tcW w:w="2500" w:type="dxa"/>
            <w:vAlign w:val="bottom"/>
            <w:gridSpan w:val="3"/>
          </w:tcPr>
          <w:p>
            <w:pPr>
              <w:ind w:left="680"/>
              <w:spacing w:after="0"/>
              <w:rPr>
                <w:sz w:val="20"/>
                <w:szCs w:val="20"/>
                <w:color w:val="auto"/>
              </w:rPr>
            </w:pPr>
            <w:r>
              <w:rPr>
                <w:rFonts w:ascii="Arial" w:cs="Arial" w:eastAsia="Arial" w:hAnsi="Arial"/>
                <w:sz w:val="18"/>
                <w:szCs w:val="18"/>
                <w:b w:val="1"/>
                <w:bCs w:val="1"/>
                <w:color w:val="auto"/>
              </w:rPr>
              <w:t>001-34211</w:t>
            </w:r>
          </w:p>
        </w:tc>
        <w:tc>
          <w:tcPr>
            <w:tcW w:w="2880" w:type="dxa"/>
            <w:vAlign w:val="bottom"/>
            <w:gridSpan w:val="5"/>
          </w:tcPr>
          <w:p>
            <w:pPr>
              <w:jc w:val="center"/>
              <w:ind w:left="1679"/>
              <w:spacing w:after="0"/>
              <w:rPr>
                <w:sz w:val="20"/>
                <w:szCs w:val="20"/>
                <w:color w:val="auto"/>
              </w:rPr>
            </w:pPr>
            <w:r>
              <w:rPr>
                <w:rFonts w:ascii="Arial" w:cs="Arial" w:eastAsia="Arial" w:hAnsi="Arial"/>
                <w:sz w:val="18"/>
                <w:szCs w:val="18"/>
                <w:b w:val="1"/>
                <w:bCs w:val="1"/>
                <w:color w:val="auto"/>
                <w:w w:val="91"/>
              </w:rPr>
              <w:t>20-3356009</w:t>
            </w:r>
          </w:p>
        </w:tc>
      </w:tr>
      <w:tr>
        <w:trPr>
          <w:trHeight w:val="20"/>
        </w:trPr>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6"/>
        </w:trPr>
        <w:tc>
          <w:tcPr>
            <w:tcW w:w="3660" w:type="dxa"/>
            <w:vAlign w:val="bottom"/>
            <w:gridSpan w:val="5"/>
          </w:tcPr>
          <w:p>
            <w:pPr>
              <w:jc w:val="center"/>
              <w:ind w:right="2000"/>
              <w:spacing w:after="0" w:line="147" w:lineRule="exact"/>
              <w:rPr>
                <w:sz w:val="20"/>
                <w:szCs w:val="20"/>
                <w:color w:val="auto"/>
              </w:rPr>
            </w:pPr>
            <w:r>
              <w:rPr>
                <w:rFonts w:ascii="Arial" w:cs="Arial" w:eastAsia="Arial" w:hAnsi="Arial"/>
                <w:sz w:val="14"/>
                <w:szCs w:val="14"/>
                <w:b w:val="1"/>
                <w:bCs w:val="1"/>
                <w:color w:val="auto"/>
                <w:w w:val="92"/>
              </w:rPr>
              <w:t>(State or other Jurisdiction</w:t>
            </w:r>
          </w:p>
        </w:tc>
        <w:tc>
          <w:tcPr>
            <w:tcW w:w="2500" w:type="dxa"/>
            <w:vAlign w:val="bottom"/>
            <w:gridSpan w:val="3"/>
          </w:tcPr>
          <w:p>
            <w:pPr>
              <w:ind w:left="660"/>
              <w:spacing w:after="0" w:line="147" w:lineRule="exact"/>
              <w:rPr>
                <w:sz w:val="20"/>
                <w:szCs w:val="20"/>
                <w:color w:val="auto"/>
              </w:rPr>
            </w:pPr>
            <w:r>
              <w:rPr>
                <w:rFonts w:ascii="Arial" w:cs="Arial" w:eastAsia="Arial" w:hAnsi="Arial"/>
                <w:sz w:val="14"/>
                <w:szCs w:val="14"/>
                <w:b w:val="1"/>
                <w:bCs w:val="1"/>
                <w:color w:val="auto"/>
              </w:rPr>
              <w:t>(Commission</w:t>
            </w: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tcPr>
          <w:p>
            <w:pPr>
              <w:jc w:val="center"/>
              <w:ind w:left="8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60" w:type="dxa"/>
            <w:vAlign w:val="bottom"/>
            <w:gridSpan w:val="5"/>
          </w:tcPr>
          <w:p>
            <w:pPr>
              <w:jc w:val="center"/>
              <w:ind w:right="2000"/>
              <w:spacing w:after="0"/>
              <w:rPr>
                <w:sz w:val="20"/>
                <w:szCs w:val="20"/>
                <w:color w:val="auto"/>
              </w:rPr>
            </w:pPr>
            <w:r>
              <w:rPr>
                <w:rFonts w:ascii="Arial" w:cs="Arial" w:eastAsia="Arial" w:hAnsi="Arial"/>
                <w:sz w:val="14"/>
                <w:szCs w:val="14"/>
                <w:b w:val="1"/>
                <w:bCs w:val="1"/>
                <w:color w:val="auto"/>
                <w:w w:val="94"/>
              </w:rPr>
              <w:t>of Incorporation)</w:t>
            </w:r>
          </w:p>
        </w:tc>
        <w:tc>
          <w:tcPr>
            <w:tcW w:w="2500" w:type="dxa"/>
            <w:vAlign w:val="bottom"/>
            <w:gridSpan w:val="3"/>
          </w:tcPr>
          <w:p>
            <w:pPr>
              <w:ind w:left="640"/>
              <w:spacing w:after="0"/>
              <w:rPr>
                <w:sz w:val="20"/>
                <w:szCs w:val="20"/>
                <w:color w:val="auto"/>
              </w:rPr>
            </w:pPr>
            <w:r>
              <w:rPr>
                <w:rFonts w:ascii="Arial" w:cs="Arial" w:eastAsia="Arial" w:hAnsi="Arial"/>
                <w:sz w:val="14"/>
                <w:szCs w:val="14"/>
                <w:b w:val="1"/>
                <w:bCs w:val="1"/>
                <w:color w:val="auto"/>
              </w:rPr>
              <w:t>File Number)</w:t>
            </w: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60" w:type="dxa"/>
            <w:vAlign w:val="bottom"/>
          </w:tcPr>
          <w:p>
            <w:pPr>
              <w:spacing w:after="0"/>
              <w:rPr>
                <w:sz w:val="24"/>
                <w:szCs w:val="24"/>
                <w:color w:val="auto"/>
              </w:rPr>
            </w:pPr>
          </w:p>
        </w:tc>
        <w:tc>
          <w:tcPr>
            <w:tcW w:w="3200" w:type="dxa"/>
            <w:vAlign w:val="bottom"/>
            <w:gridSpan w:val="4"/>
          </w:tcPr>
          <w:p>
            <w:pPr>
              <w:jc w:val="center"/>
              <w:ind w:right="580"/>
              <w:spacing w:after="0"/>
              <w:rPr>
                <w:sz w:val="20"/>
                <w:szCs w:val="20"/>
                <w:color w:val="auto"/>
              </w:rPr>
            </w:pPr>
            <w:r>
              <w:rPr>
                <w:rFonts w:ascii="Arial" w:cs="Arial" w:eastAsia="Arial" w:hAnsi="Arial"/>
                <w:sz w:val="18"/>
                <w:szCs w:val="18"/>
                <w:b w:val="1"/>
                <w:bCs w:val="1"/>
                <w:color w:val="auto"/>
                <w:w w:val="91"/>
              </w:rPr>
              <w:t>3300 W. Camelback Road</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Borders>
              <w:bottom w:val="single" w:sz="8" w:color="auto"/>
            </w:tcBorders>
            <w:gridSpan w:val="2"/>
          </w:tcPr>
          <w:p>
            <w:pPr>
              <w:jc w:val="center"/>
              <w:spacing w:after="0" w:line="174" w:lineRule="exact"/>
              <w:rPr>
                <w:sz w:val="20"/>
                <w:szCs w:val="20"/>
                <w:color w:val="auto"/>
              </w:rPr>
            </w:pPr>
            <w:r>
              <w:rPr>
                <w:rFonts w:ascii="Arial" w:cs="Arial" w:eastAsia="Arial" w:hAnsi="Arial"/>
                <w:sz w:val="18"/>
                <w:szCs w:val="18"/>
                <w:b w:val="1"/>
                <w:bCs w:val="1"/>
                <w:color w:val="auto"/>
                <w:w w:val="91"/>
              </w:rPr>
              <w:t>Phoenix, Arizona</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8"/>
                <w:szCs w:val="18"/>
                <w:b w:val="1"/>
                <w:bCs w:val="1"/>
                <w:color w:val="auto"/>
                <w:w w:val="87"/>
              </w:rPr>
              <w:t>85017</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8"/>
        </w:trPr>
        <w:tc>
          <w:tcPr>
            <w:tcW w:w="460" w:type="dxa"/>
            <w:vAlign w:val="bottom"/>
          </w:tcPr>
          <w:p>
            <w:pPr>
              <w:spacing w:after="0"/>
              <w:rPr>
                <w:sz w:val="15"/>
                <w:szCs w:val="15"/>
                <w:color w:val="auto"/>
              </w:rPr>
            </w:pPr>
          </w:p>
        </w:tc>
        <w:tc>
          <w:tcPr>
            <w:tcW w:w="32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197485</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1040" w:type="dxa"/>
            <w:vAlign w:val="bottom"/>
          </w:tcPr>
          <w:p>
            <w:pPr>
              <w:ind w:left="8920"/>
              <w:spacing w:after="0"/>
              <w:rPr>
                <w:sz w:val="20"/>
                <w:szCs w:val="20"/>
                <w:color w:val="auto"/>
              </w:rPr>
            </w:pPr>
            <w:r>
              <w:rPr>
                <w:rFonts w:ascii="Arial" w:cs="Arial" w:eastAsia="Arial" w:hAnsi="Arial"/>
                <w:sz w:val="18"/>
                <w:szCs w:val="18"/>
                <w:color w:val="auto"/>
                <w:w w:val="98"/>
              </w:rPr>
              <w:t>Emerging growth company</w:t>
            </w:r>
          </w:p>
        </w:tc>
        <w:tc>
          <w:tcPr>
            <w:tcW w:w="3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8"/>
        </w:trPr>
        <w:tc>
          <w:tcPr>
            <w:tcW w:w="11040" w:type="dxa"/>
            <w:vAlign w:val="bottom"/>
          </w:tcPr>
          <w:p>
            <w:pPr>
              <w:spacing w:after="0"/>
              <w:rPr>
                <w:sz w:val="20"/>
                <w:szCs w:val="20"/>
                <w:color w:val="auto"/>
              </w:rPr>
            </w:pPr>
            <w:r>
              <w:rPr>
                <w:rFonts w:ascii="Arial" w:cs="Arial" w:eastAsia="Arial" w:hAnsi="Arial"/>
                <w:sz w:val="18"/>
                <w:szCs w:val="18"/>
                <w:color w:val="auto"/>
                <w:w w:val="93"/>
              </w:rPr>
              <w:t>If an emerging growth company, indicate by check mark if the registrant has elected not to use the extended transition period for complying with any</w:t>
            </w:r>
          </w:p>
        </w:tc>
        <w:tc>
          <w:tcPr>
            <w:tcW w:w="3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11040" w:type="dxa"/>
            <w:vAlign w:val="bottom"/>
          </w:tcPr>
          <w:p>
            <w:pPr>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10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June 14, 2017, Grand Canyon Education, Inc. (the “Company”) filed a Current Report on Form 8-K (the “Original Report”) to report on the voting results of its annual meeting of stockholders held on June 14, 2017 (the “2017 Annual Meeting”), including, among other matters, the results of the advisory vote of stockholders regarding the frequency of advisory stockholder votes on the compensation of the Company’s named executive officers (a “Say-On-Pay Vote”). This Form 8-K/A is being filed as an amendment to the Original Report to disclose the decision of the Board of Directors of the Company (the “Board”) as to how frequently the Company will hold a Say-On-Pay Vote.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5.07. </w:t>
      </w:r>
      <w:r>
        <w:rPr>
          <w:rFonts w:ascii="Arial" w:cs="Arial" w:eastAsia="Arial" w:hAnsi="Arial"/>
          <w:sz w:val="18"/>
          <w:szCs w:val="18"/>
          <w:b w:val="1"/>
          <w:bCs w:val="1"/>
          <w:u w:val="single" w:color="auto"/>
          <w:color w:val="auto"/>
        </w:rPr>
        <w:t>Submission of Matters to a Vote of Security Holders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a Say-On-Pay Vote held at the 2017 Annual Meeting, stockholders voted, in accordance with the recommendation of the Board, in favor of holding Say-On-Pay Votes annually. Accordingly, in light of this result and other factors considered by the Board, the Board has determined that the Company will hold Say-On-Pay Votes on an annual basis until the next required vote on the frequency of such Say-On-Pay Votes.</w:t>
      </w:r>
    </w:p>
    <w:p>
      <w:pPr>
        <w:sectPr>
          <w:pgSz w:w="11900" w:h="16838" w:orient="portrait"/>
          <w:cols w:equalWidth="0" w:num="1">
            <w:col w:w="11300"/>
          </w:cols>
          <w:pgMar w:left="240" w:top="270"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GRAND CANYON EDUCATION,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August 1, 2017</w:t>
            </w:r>
          </w:p>
        </w:tc>
        <w:tc>
          <w:tcPr>
            <w:tcW w:w="7700" w:type="dxa"/>
            <w:vAlign w:val="bottom"/>
            <w:gridSpan w:val="2"/>
          </w:tcPr>
          <w:p>
            <w:pPr>
              <w:ind w:left="2180"/>
              <w:spacing w:after="0"/>
              <w:rPr>
                <w:sz w:val="20"/>
                <w:szCs w:val="20"/>
                <w:color w:val="auto"/>
              </w:rPr>
            </w:pPr>
            <w:r>
              <w:rPr>
                <w:rFonts w:ascii="Arial" w:cs="Arial" w:eastAsia="Arial" w:hAnsi="Arial"/>
                <w:sz w:val="18"/>
                <w:szCs w:val="18"/>
                <w:color w:val="auto"/>
              </w:rPr>
              <w:t>By:  /s/ Daniel E. Bachus</w:t>
            </w:r>
          </w:p>
        </w:tc>
      </w:tr>
      <w:tr>
        <w:trPr>
          <w:trHeight w:val="195"/>
        </w:trPr>
        <w:tc>
          <w:tcPr>
            <w:tcW w:w="3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7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3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(Principal Financial and Principal Accounting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2019-12-07T08:31:39Z</dcterms:created>
  <dcterms:modified xsi:type="dcterms:W3CDTF">2019-12-07T08:31:39Z</dcterms:modified>
</cp:coreProperties>
</file>