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65951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143510</wp:posOffset>
            </wp:positionV>
            <wp:extent cx="65951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pacing w:after="0" w:line="286" w:lineRule="exact"/>
        <w:rPr>
          <w:sz w:val="24"/>
          <w:szCs w:val="24"/>
          <w:color w:val="auto"/>
        </w:rPr>
      </w:pPr>
    </w:p>
    <w:p>
      <w:pPr>
        <w:jc w:val="center"/>
        <w:ind w:right="-1"/>
        <w:spacing w:after="0"/>
        <w:rPr>
          <w:sz w:val="20"/>
          <w:szCs w:val="20"/>
          <w:color w:val="auto"/>
        </w:rPr>
      </w:pPr>
      <w:r>
        <w:rPr>
          <w:rFonts w:ascii="Arial" w:cs="Arial" w:eastAsia="Arial" w:hAnsi="Arial"/>
          <w:sz w:val="27"/>
          <w:szCs w:val="27"/>
          <w:b w:val="1"/>
          <w:bCs w:val="1"/>
          <w:color w:val="auto"/>
        </w:rPr>
        <w:t>UNITED STATES</w:t>
      </w:r>
    </w:p>
    <w:p>
      <w:pPr>
        <w:spacing w:after="0" w:line="21" w:lineRule="exact"/>
        <w:rPr>
          <w:sz w:val="24"/>
          <w:szCs w:val="24"/>
          <w:color w:val="auto"/>
        </w:rPr>
      </w:pPr>
    </w:p>
    <w:p>
      <w:pPr>
        <w:jc w:val="center"/>
        <w:ind w:right="18"/>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1"/>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90805</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0" w:lineRule="exact"/>
        <w:rPr>
          <w:sz w:val="24"/>
          <w:szCs w:val="24"/>
          <w:color w:val="auto"/>
        </w:rPr>
      </w:pPr>
    </w:p>
    <w:p>
      <w:pPr>
        <w:jc w:val="center"/>
        <w:ind w:right="-1"/>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111760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2" w:lineRule="exact"/>
        <w:rPr>
          <w:sz w:val="24"/>
          <w:szCs w:val="24"/>
          <w:color w:val="auto"/>
        </w:rPr>
      </w:pPr>
    </w:p>
    <w:p>
      <w:pPr>
        <w:ind w:left="2"/>
        <w:spacing w:after="0"/>
        <w:rPr>
          <w:sz w:val="20"/>
          <w:szCs w:val="20"/>
          <w:color w:val="auto"/>
        </w:rPr>
      </w:pPr>
      <w:r>
        <w:rPr>
          <w:rFonts w:ascii="Arial" w:cs="Arial" w:eastAsia="Arial" w:hAnsi="Arial"/>
          <w:sz w:val="14"/>
          <w:szCs w:val="14"/>
          <w:b w:val="1"/>
          <w:bCs w:val="1"/>
          <w:color w:val="auto"/>
        </w:rPr>
        <w:t>(Mark One)</w:t>
      </w:r>
    </w:p>
    <w:p>
      <w:pPr>
        <w:spacing w:after="0" w:line="12" w:lineRule="exact"/>
        <w:rPr>
          <w:sz w:val="24"/>
          <w:szCs w:val="24"/>
          <w:color w:val="auto"/>
        </w:rPr>
      </w:pPr>
    </w:p>
    <w:p>
      <w:pPr>
        <w:ind w:left="3822" w:right="2940" w:hanging="3822"/>
        <w:spacing w:after="0" w:line="324" w:lineRule="auto"/>
        <w:tabs>
          <w:tab w:leader="none" w:pos="4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2019</w:t>
      </w:r>
    </w:p>
    <w:p>
      <w:pPr>
        <w:ind w:left="5082"/>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69" w:lineRule="exact"/>
        <w:rPr>
          <w:sz w:val="24"/>
          <w:szCs w:val="24"/>
          <w:color w:val="auto"/>
        </w:rPr>
      </w:pPr>
    </w:p>
    <w:p>
      <w:pPr>
        <w:ind w:left="442" w:hanging="442"/>
        <w:spacing w:after="0"/>
        <w:tabs>
          <w:tab w:leader="none" w:pos="44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3342" w:type="dxa"/>
        <w:tblCellMar>
          <w:top w:w="0" w:type="dxa"/>
          <w:left w:w="0" w:type="dxa"/>
          <w:bottom w:w="0" w:type="dxa"/>
          <w:right w:w="0" w:type="dxa"/>
        </w:tblCellMar>
      </w:tblPr>
      <w:tr>
        <w:trPr>
          <w:trHeight w:val="186"/>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For the transition period from [</w:t>
            </w:r>
          </w:p>
        </w:tc>
        <w:tc>
          <w:tcPr>
            <w:tcW w:w="860" w:type="dxa"/>
            <w:vAlign w:val="bottom"/>
          </w:tcPr>
          <w:p>
            <w:pPr>
              <w:ind w:left="360"/>
              <w:spacing w:after="0"/>
              <w:rPr>
                <w:sz w:val="20"/>
                <w:szCs w:val="20"/>
                <w:color w:val="auto"/>
              </w:rPr>
            </w:pPr>
            <w:r>
              <w:rPr>
                <w:rFonts w:ascii="Arial" w:cs="Arial" w:eastAsia="Arial" w:hAnsi="Arial"/>
                <w:sz w:val="14"/>
                <w:szCs w:val="14"/>
                <w:b w:val="1"/>
                <w:bCs w:val="1"/>
                <w:color w:val="auto"/>
              </w:rPr>
              <w:t>] to [</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16"/>
        </w:trPr>
        <w:tc>
          <w:tcPr>
            <w:tcW w:w="560" w:type="dxa"/>
            <w:vAlign w:val="bottom"/>
          </w:tcPr>
          <w:p>
            <w:pPr>
              <w:spacing w:after="0"/>
              <w:rPr>
                <w:sz w:val="18"/>
                <w:szCs w:val="18"/>
                <w:color w:val="auto"/>
              </w:rPr>
            </w:pPr>
          </w:p>
        </w:tc>
        <w:tc>
          <w:tcPr>
            <w:tcW w:w="260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Commission file number: 001-34211</w:t>
            </w:r>
          </w:p>
        </w:tc>
        <w:tc>
          <w:tcPr>
            <w:tcW w:w="560" w:type="dxa"/>
            <w:vAlign w:val="bottom"/>
          </w:tcPr>
          <w:p>
            <w:pPr>
              <w:spacing w:after="0"/>
              <w:rPr>
                <w:sz w:val="18"/>
                <w:szCs w:val="18"/>
                <w:color w:val="auto"/>
              </w:rPr>
            </w:pPr>
          </w:p>
        </w:tc>
      </w:tr>
      <w:tr>
        <w:trPr>
          <w:trHeight w:val="73"/>
        </w:trPr>
        <w:tc>
          <w:tcPr>
            <w:tcW w:w="560" w:type="dxa"/>
            <w:vAlign w:val="bottom"/>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60" w:type="dxa"/>
            <w:vAlign w:val="bottom"/>
          </w:tcPr>
          <w:p>
            <w:pPr>
              <w:spacing w:after="0"/>
              <w:rPr>
                <w:sz w:val="6"/>
                <w:szCs w:val="6"/>
                <w:color w:val="auto"/>
              </w:rPr>
            </w:pPr>
          </w:p>
        </w:tc>
      </w:tr>
    </w:tbl>
    <w:p>
      <w:pPr>
        <w:spacing w:after="0" w:line="87" w:lineRule="exact"/>
        <w:rPr>
          <w:sz w:val="24"/>
          <w:szCs w:val="24"/>
          <w:color w:val="auto"/>
        </w:rPr>
      </w:pPr>
    </w:p>
    <w:p>
      <w:pPr>
        <w:jc w:val="center"/>
        <w:ind w:right="-1"/>
        <w:spacing w:after="0"/>
        <w:rPr>
          <w:sz w:val="20"/>
          <w:szCs w:val="20"/>
          <w:color w:val="auto"/>
        </w:rPr>
      </w:pPr>
      <w:r>
        <w:rPr>
          <w:rFonts w:ascii="Arial" w:cs="Arial" w:eastAsia="Arial" w:hAnsi="Arial"/>
          <w:sz w:val="34"/>
          <w:szCs w:val="34"/>
          <w:b w:val="1"/>
          <w:bCs w:val="1"/>
          <w:color w:val="auto"/>
        </w:rPr>
        <w:t>GRAND CANYON EDUCATION, INC.</w:t>
      </w:r>
    </w:p>
    <w:p>
      <w:pPr>
        <w:spacing w:after="0" w:line="28"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2472055</wp:posOffset>
            </wp:positionH>
            <wp:positionV relativeFrom="paragraph">
              <wp:posOffset>81915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23" w:lineRule="exact"/>
        <w:rPr>
          <w:sz w:val="24"/>
          <w:szCs w:val="24"/>
          <w:color w:val="auto"/>
        </w:rPr>
      </w:pPr>
    </w:p>
    <w:tbl>
      <w:tblPr>
        <w:tblLayout w:type="fixed"/>
        <w:tblInd w:w="12" w:type="dxa"/>
        <w:tblCellMar>
          <w:top w:w="0" w:type="dxa"/>
          <w:left w:w="0" w:type="dxa"/>
          <w:bottom w:w="0" w:type="dxa"/>
          <w:right w:w="0" w:type="dxa"/>
        </w:tblCellMar>
      </w:tblPr>
      <w:tr>
        <w:trPr>
          <w:trHeight w:val="161"/>
        </w:trPr>
        <w:tc>
          <w:tcPr>
            <w:tcW w:w="3000" w:type="dxa"/>
            <w:vAlign w:val="bottom"/>
          </w:tcPr>
          <w:p>
            <w:pPr>
              <w:jc w:val="center"/>
              <w:ind w:left="2108"/>
              <w:spacing w:after="0"/>
              <w:rPr>
                <w:sz w:val="20"/>
                <w:szCs w:val="20"/>
                <w:color w:val="auto"/>
              </w:rPr>
            </w:pPr>
            <w:r>
              <w:rPr>
                <w:rFonts w:ascii="Arial" w:cs="Arial" w:eastAsia="Arial" w:hAnsi="Arial"/>
                <w:sz w:val="14"/>
                <w:szCs w:val="14"/>
                <w:b w:val="1"/>
                <w:bCs w:val="1"/>
                <w:color w:val="auto"/>
                <w:w w:val="94"/>
              </w:rPr>
              <w:t>Delaware</w:t>
            </w:r>
          </w:p>
        </w:tc>
        <w:tc>
          <w:tcPr>
            <w:tcW w:w="8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40" w:type="dxa"/>
            <w:vAlign w:val="bottom"/>
            <w:gridSpan w:val="2"/>
          </w:tcPr>
          <w:p>
            <w:pPr>
              <w:jc w:val="center"/>
              <w:ind w:right="1808"/>
              <w:spacing w:after="0"/>
              <w:rPr>
                <w:sz w:val="20"/>
                <w:szCs w:val="20"/>
                <w:color w:val="auto"/>
              </w:rPr>
            </w:pPr>
            <w:r>
              <w:rPr>
                <w:rFonts w:ascii="Arial" w:cs="Arial" w:eastAsia="Arial" w:hAnsi="Arial"/>
                <w:sz w:val="14"/>
                <w:szCs w:val="14"/>
                <w:b w:val="1"/>
                <w:bCs w:val="1"/>
                <w:color w:val="auto"/>
                <w:w w:val="93"/>
              </w:rPr>
              <w:t>20-3356009</w:t>
            </w:r>
          </w:p>
        </w:tc>
      </w:tr>
      <w:tr>
        <w:trPr>
          <w:trHeight w:val="149"/>
        </w:trPr>
        <w:tc>
          <w:tcPr>
            <w:tcW w:w="7060" w:type="dxa"/>
            <w:vAlign w:val="bottom"/>
            <w:gridSpan w:val="4"/>
          </w:tcPr>
          <w:p>
            <w:pPr>
              <w:jc w:val="center"/>
              <w:ind w:right="186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gridSpan w:val="2"/>
          </w:tcPr>
          <w:p>
            <w:pPr>
              <w:jc w:val="center"/>
              <w:ind w:right="17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060" w:type="dxa"/>
            <w:vAlign w:val="bottom"/>
            <w:gridSpan w:val="4"/>
          </w:tcPr>
          <w:p>
            <w:pPr>
              <w:jc w:val="center"/>
              <w:ind w:right="1860"/>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gridSpan w:val="2"/>
          </w:tcPr>
          <w:p>
            <w:pPr>
              <w:jc w:val="center"/>
              <w:ind w:right="1808"/>
              <w:spacing w:after="0"/>
              <w:rPr>
                <w:sz w:val="20"/>
                <w:szCs w:val="20"/>
                <w:color w:val="auto"/>
              </w:rPr>
            </w:pPr>
            <w:r>
              <w:rPr>
                <w:rFonts w:ascii="Arial" w:cs="Arial" w:eastAsia="Arial" w:hAnsi="Arial"/>
                <w:sz w:val="14"/>
                <w:szCs w:val="14"/>
                <w:b w:val="1"/>
                <w:bCs w:val="1"/>
                <w:color w:val="auto"/>
                <w:w w:val="96"/>
              </w:rPr>
              <w:t>Identification No.)</w:t>
            </w:r>
          </w:p>
        </w:tc>
      </w:tr>
      <w:tr>
        <w:trPr>
          <w:trHeight w:val="178"/>
        </w:trPr>
        <w:tc>
          <w:tcPr>
            <w:tcW w:w="3000" w:type="dxa"/>
            <w:vAlign w:val="bottom"/>
          </w:tcPr>
          <w:p>
            <w:pPr>
              <w:spacing w:after="0"/>
              <w:rPr>
                <w:sz w:val="15"/>
                <w:szCs w:val="15"/>
                <w:color w:val="auto"/>
              </w:rPr>
            </w:pPr>
          </w:p>
        </w:tc>
        <w:tc>
          <w:tcPr>
            <w:tcW w:w="40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3"/>
              </w:rPr>
              <w:t>2600 W. Camelback Road, Phoenix, Arizona 85017</w:t>
            </w:r>
          </w:p>
        </w:tc>
        <w:tc>
          <w:tcPr>
            <w:tcW w:w="80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86"/>
        </w:trPr>
        <w:tc>
          <w:tcPr>
            <w:tcW w:w="3000" w:type="dxa"/>
            <w:vAlign w:val="bottom"/>
          </w:tcPr>
          <w:p>
            <w:pPr>
              <w:spacing w:after="0"/>
              <w:rPr>
                <w:sz w:val="16"/>
                <w:szCs w:val="16"/>
                <w:color w:val="auto"/>
              </w:rPr>
            </w:pPr>
          </w:p>
        </w:tc>
        <w:tc>
          <w:tcPr>
            <w:tcW w:w="4060" w:type="dxa"/>
            <w:vAlign w:val="bottom"/>
            <w:gridSpan w:val="3"/>
          </w:tcPr>
          <w:p>
            <w:pPr>
              <w:jc w:val="center"/>
              <w:ind w:left="26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800" w:type="dxa"/>
            <w:vAlign w:val="bottom"/>
          </w:tcPr>
          <w:p>
            <w:pPr>
              <w:spacing w:after="0"/>
              <w:rPr>
                <w:sz w:val="16"/>
                <w:szCs w:val="16"/>
                <w:color w:val="auto"/>
              </w:rPr>
            </w:pPr>
          </w:p>
        </w:tc>
        <w:tc>
          <w:tcPr>
            <w:tcW w:w="2540" w:type="dxa"/>
            <w:vAlign w:val="bottom"/>
          </w:tcPr>
          <w:p>
            <w:pPr>
              <w:spacing w:after="0"/>
              <w:rPr>
                <w:sz w:val="16"/>
                <w:szCs w:val="16"/>
                <w:color w:val="auto"/>
              </w:rPr>
            </w:pPr>
          </w:p>
        </w:tc>
      </w:tr>
      <w:tr>
        <w:trPr>
          <w:trHeight w:val="216"/>
        </w:trPr>
        <w:tc>
          <w:tcPr>
            <w:tcW w:w="3000" w:type="dxa"/>
            <w:vAlign w:val="bottom"/>
          </w:tcPr>
          <w:p>
            <w:pPr>
              <w:spacing w:after="0"/>
              <w:rPr>
                <w:sz w:val="18"/>
                <w:szCs w:val="18"/>
                <w:color w:val="auto"/>
              </w:rPr>
            </w:pPr>
          </w:p>
        </w:tc>
        <w:tc>
          <w:tcPr>
            <w:tcW w:w="4860" w:type="dxa"/>
            <w:vAlign w:val="bottom"/>
            <w:gridSpan w:val="4"/>
          </w:tcPr>
          <w:p>
            <w:pPr>
              <w:jc w:val="center"/>
              <w:ind w:right="408"/>
              <w:spacing w:after="0"/>
              <w:rPr>
                <w:sz w:val="20"/>
                <w:szCs w:val="20"/>
                <w:color w:val="auto"/>
              </w:rPr>
            </w:pPr>
            <w:r>
              <w:rPr>
                <w:rFonts w:ascii="Arial" w:cs="Arial" w:eastAsia="Arial" w:hAnsi="Arial"/>
                <w:sz w:val="14"/>
                <w:szCs w:val="14"/>
                <w:b w:val="1"/>
                <w:bCs w:val="1"/>
                <w:color w:val="auto"/>
                <w:w w:val="92"/>
              </w:rPr>
              <w:t>Registrant’s telephone number, including area code: (602) 247-4400</w:t>
            </w:r>
          </w:p>
        </w:tc>
        <w:tc>
          <w:tcPr>
            <w:tcW w:w="2540" w:type="dxa"/>
            <w:vAlign w:val="bottom"/>
          </w:tcPr>
          <w:p>
            <w:pPr>
              <w:spacing w:after="0"/>
              <w:rPr>
                <w:sz w:val="18"/>
                <w:szCs w:val="18"/>
                <w:color w:val="auto"/>
              </w:rPr>
            </w:pPr>
          </w:p>
        </w:tc>
      </w:tr>
      <w:tr>
        <w:trPr>
          <w:trHeight w:val="365"/>
        </w:trPr>
        <w:tc>
          <w:tcPr>
            <w:tcW w:w="3000" w:type="dxa"/>
            <w:vAlign w:val="bottom"/>
          </w:tcPr>
          <w:p>
            <w:pPr>
              <w:spacing w:after="0"/>
              <w:rPr>
                <w:sz w:val="24"/>
                <w:szCs w:val="24"/>
                <w:color w:val="auto"/>
              </w:rPr>
            </w:pPr>
          </w:p>
        </w:tc>
        <w:tc>
          <w:tcPr>
            <w:tcW w:w="4060" w:type="dxa"/>
            <w:vAlign w:val="bottom"/>
            <w:gridSpan w:val="3"/>
          </w:tcPr>
          <w:p>
            <w:pPr>
              <w:jc w:val="center"/>
              <w:ind w:left="26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80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47"/>
        </w:trPr>
        <w:tc>
          <w:tcPr>
            <w:tcW w:w="30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gridSpan w:val="2"/>
          </w:tcPr>
          <w:p>
            <w:pPr>
              <w:spacing w:after="0"/>
              <w:rPr>
                <w:sz w:val="12"/>
                <w:szCs w:val="12"/>
                <w:color w:val="auto"/>
              </w:rPr>
            </w:pPr>
          </w:p>
        </w:tc>
      </w:tr>
      <w:tr>
        <w:trPr>
          <w:trHeight w:val="142"/>
        </w:trPr>
        <w:tc>
          <w:tcPr>
            <w:tcW w:w="3000" w:type="dxa"/>
            <w:vAlign w:val="bottom"/>
            <w:tcBorders>
              <w:left w:val="single" w:sz="8" w:color="auto"/>
              <w:bottom w:val="single" w:sz="8" w:color="auto"/>
            </w:tcBorders>
          </w:tcPr>
          <w:p>
            <w:pPr>
              <w:jc w:val="center"/>
              <w:ind w:left="728"/>
              <w:spacing w:after="0" w:line="142" w:lineRule="exact"/>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Trading Symbol(s)</w:t>
            </w:r>
          </w:p>
        </w:tc>
        <w:tc>
          <w:tcPr>
            <w:tcW w:w="440" w:type="dxa"/>
            <w:vAlign w:val="bottom"/>
            <w:tcBorders>
              <w:bottom w:val="single" w:sz="8" w:color="auto"/>
            </w:tcBorders>
          </w:tcPr>
          <w:p>
            <w:pPr>
              <w:spacing w:after="0"/>
              <w:rPr>
                <w:sz w:val="12"/>
                <w:szCs w:val="12"/>
                <w:color w:val="auto"/>
              </w:rPr>
            </w:pPr>
          </w:p>
        </w:tc>
        <w:tc>
          <w:tcPr>
            <w:tcW w:w="3340" w:type="dxa"/>
            <w:vAlign w:val="bottom"/>
            <w:tcBorders>
              <w:bottom w:val="single" w:sz="8" w:color="auto"/>
              <w:right w:val="single" w:sz="8" w:color="auto"/>
            </w:tcBorders>
            <w:gridSpan w:val="2"/>
          </w:tcPr>
          <w:p>
            <w:pPr>
              <w:jc w:val="center"/>
              <w:ind w:right="388"/>
              <w:spacing w:after="0" w:line="142" w:lineRule="exact"/>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42"/>
        </w:trPr>
        <w:tc>
          <w:tcPr>
            <w:tcW w:w="3000" w:type="dxa"/>
            <w:vAlign w:val="bottom"/>
            <w:tcBorders>
              <w:left w:val="single" w:sz="8" w:color="auto"/>
              <w:bottom w:val="single" w:sz="8" w:color="auto"/>
            </w:tcBorders>
          </w:tcPr>
          <w:p>
            <w:pPr>
              <w:jc w:val="center"/>
              <w:ind w:left="748"/>
              <w:spacing w:after="0" w:line="142" w:lineRule="exact"/>
              <w:rPr>
                <w:sz w:val="20"/>
                <w:szCs w:val="20"/>
                <w:color w:val="auto"/>
              </w:rPr>
            </w:pPr>
            <w:r>
              <w:rPr>
                <w:rFonts w:ascii="Arial" w:cs="Arial" w:eastAsia="Arial" w:hAnsi="Arial"/>
                <w:sz w:val="14"/>
                <w:szCs w:val="14"/>
                <w:color w:val="auto"/>
                <w:w w:val="94"/>
              </w:rPr>
              <w:t>Common Stock</w:t>
            </w:r>
          </w:p>
        </w:tc>
        <w:tc>
          <w:tcPr>
            <w:tcW w:w="820" w:type="dxa"/>
            <w:vAlign w:val="bottom"/>
            <w:tcBorders>
              <w:bottom w:val="single" w:sz="8" w:color="auto"/>
              <w:right w:val="single" w:sz="8" w:color="auto"/>
            </w:tcBorders>
          </w:tcPr>
          <w:p>
            <w:pPr>
              <w:spacing w:after="0"/>
              <w:rPr>
                <w:sz w:val="12"/>
                <w:szCs w:val="12"/>
                <w:color w:val="auto"/>
              </w:rPr>
            </w:pPr>
          </w:p>
        </w:tc>
        <w:tc>
          <w:tcPr>
            <w:tcW w:w="2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LOPE</w:t>
            </w:r>
          </w:p>
        </w:tc>
        <w:tc>
          <w:tcPr>
            <w:tcW w:w="440" w:type="dxa"/>
            <w:vAlign w:val="bottom"/>
            <w:tcBorders>
              <w:bottom w:val="single" w:sz="8" w:color="auto"/>
            </w:tcBorders>
          </w:tcPr>
          <w:p>
            <w:pPr>
              <w:spacing w:after="0"/>
              <w:rPr>
                <w:sz w:val="12"/>
                <w:szCs w:val="12"/>
                <w:color w:val="auto"/>
              </w:rPr>
            </w:pPr>
          </w:p>
        </w:tc>
        <w:tc>
          <w:tcPr>
            <w:tcW w:w="3340" w:type="dxa"/>
            <w:vAlign w:val="bottom"/>
            <w:tcBorders>
              <w:bottom w:val="single" w:sz="8" w:color="auto"/>
              <w:right w:val="single" w:sz="8" w:color="auto"/>
            </w:tcBorders>
            <w:gridSpan w:val="2"/>
          </w:tcPr>
          <w:p>
            <w:pPr>
              <w:jc w:val="center"/>
              <w:ind w:right="408"/>
              <w:spacing w:after="0" w:line="142" w:lineRule="exact"/>
              <w:rPr>
                <w:sz w:val="20"/>
                <w:szCs w:val="20"/>
                <w:color w:val="auto"/>
              </w:rPr>
            </w:pPr>
            <w:r>
              <w:rPr>
                <w:rFonts w:ascii="Arial" w:cs="Arial" w:eastAsia="Arial" w:hAnsi="Arial"/>
                <w:sz w:val="14"/>
                <w:szCs w:val="14"/>
                <w:color w:val="auto"/>
                <w:w w:val="93"/>
              </w:rPr>
              <w:t>Nasdaq Global Select Market</w:t>
            </w:r>
          </w:p>
        </w:tc>
      </w:tr>
      <w:tr>
        <w:trPr>
          <w:trHeight w:val="470"/>
        </w:trPr>
        <w:tc>
          <w:tcPr>
            <w:tcW w:w="7860" w:type="dxa"/>
            <w:vAlign w:val="bottom"/>
            <w:gridSpan w:val="5"/>
          </w:tcPr>
          <w:p>
            <w:pPr>
              <w:ind w:left="440"/>
              <w:spacing w:after="0" w:line="161" w:lineRule="exact"/>
              <w:rPr>
                <w:sz w:val="20"/>
                <w:szCs w:val="20"/>
                <w:color w:val="auto"/>
              </w:rPr>
            </w:pPr>
            <w:r>
              <w:rPr>
                <w:rFonts w:ascii="Arial" w:cs="Arial" w:eastAsia="Arial" w:hAnsi="Arial"/>
                <w:sz w:val="14"/>
                <w:szCs w:val="14"/>
                <w:color w:val="auto"/>
                <w:w w:val="95"/>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5"/>
              </w:rPr>
              <w:t>☒</w:t>
            </w:r>
          </w:p>
        </w:tc>
        <w:tc>
          <w:tcPr>
            <w:tcW w:w="254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43"/>
        </w:trPr>
        <w:tc>
          <w:tcPr>
            <w:tcW w:w="7860" w:type="dxa"/>
            <w:vAlign w:val="bottom"/>
            <w:gridSpan w:val="5"/>
          </w:tcPr>
          <w:p>
            <w:pPr>
              <w:ind w:left="44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94"/>
              </w:rPr>
              <w:t>☐</w:t>
            </w:r>
          </w:p>
        </w:tc>
        <w:tc>
          <w:tcPr>
            <w:tcW w:w="2540" w:type="dxa"/>
            <w:vAlign w:val="bottom"/>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31" w:lineRule="exact"/>
        <w:rPr>
          <w:sz w:val="24"/>
          <w:szCs w:val="24"/>
          <w:color w:val="auto"/>
        </w:rPr>
      </w:pPr>
    </w:p>
    <w:p>
      <w:pPr>
        <w:ind w:left="2" w:right="420" w:firstLine="441"/>
        <w:spacing w:after="0" w:line="27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82"/>
        <w:spacing w:after="0" w:line="161" w:lineRule="exact"/>
        <w:tabs>
          <w:tab w:leader="none" w:pos="622"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ind w:left="2" w:right="34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left="2" w:right="20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34" w:lineRule="exact"/>
        <w:rPr>
          <w:sz w:val="24"/>
          <w:szCs w:val="24"/>
          <w:color w:val="auto"/>
        </w:rPr>
      </w:pPr>
    </w:p>
    <w:tbl>
      <w:tblPr>
        <w:tblLayout w:type="fixed"/>
        <w:tblInd w:w="2" w:type="dxa"/>
        <w:tblCellMar>
          <w:top w:w="0" w:type="dxa"/>
          <w:left w:w="0" w:type="dxa"/>
          <w:bottom w:w="0" w:type="dxa"/>
          <w:right w:w="0" w:type="dxa"/>
        </w:tblCellMar>
      </w:tblPr>
      <w:tr>
        <w:trPr>
          <w:trHeight w:val="226"/>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2060"/>
              <w:spacing w:after="0"/>
              <w:rPr>
                <w:sz w:val="20"/>
                <w:szCs w:val="20"/>
                <w:color w:val="auto"/>
              </w:rPr>
            </w:pPr>
            <w:r>
              <w:rPr>
                <w:rFonts w:ascii="Arial" w:cs="Arial" w:eastAsia="Arial" w:hAnsi="Arial"/>
                <w:sz w:val="14"/>
                <w:szCs w:val="14"/>
                <w:color w:val="auto"/>
              </w:rPr>
              <w:t>Accelerated Filer</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26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ind w:left="2060"/>
              <w:spacing w:after="0"/>
              <w:rPr>
                <w:sz w:val="20"/>
                <w:szCs w:val="20"/>
                <w:color w:val="auto"/>
              </w:rPr>
            </w:pPr>
            <w:r>
              <w:rPr>
                <w:rFonts w:ascii="Arial" w:cs="Arial" w:eastAsia="Arial" w:hAnsi="Arial"/>
                <w:sz w:val="14"/>
                <w:szCs w:val="14"/>
                <w:color w:val="auto"/>
              </w:rPr>
              <w:t>Smaller Reporting Company</w:t>
            </w:r>
          </w:p>
        </w:tc>
        <w:tc>
          <w:tcPr>
            <w:tcW w:w="880" w:type="dxa"/>
            <w:vAlign w:val="bottom"/>
          </w:tcPr>
          <w:p>
            <w:pPr>
              <w:ind w:left="7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1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66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46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18" w:lineRule="exact"/>
        <w:rPr>
          <w:sz w:val="24"/>
          <w:szCs w:val="24"/>
          <w:color w:val="auto"/>
        </w:rPr>
      </w:pPr>
    </w:p>
    <w:p>
      <w:pPr>
        <w:ind w:left="2" w:right="50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442" w:right="178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Securities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total number of shares of common stock outstanding as of February 14, 2020 was 48,165,704.</w:t>
      </w:r>
    </w:p>
    <w:p>
      <w:pPr>
        <w:spacing w:after="0" w:line="34" w:lineRule="exact"/>
        <w:rPr>
          <w:sz w:val="24"/>
          <w:szCs w:val="24"/>
          <w:color w:val="auto"/>
        </w:rPr>
      </w:pPr>
    </w:p>
    <w:p>
      <w:pPr>
        <w:ind w:left="2" w:right="400" w:firstLine="441"/>
        <w:spacing w:after="0" w:line="289" w:lineRule="auto"/>
        <w:rPr>
          <w:sz w:val="20"/>
          <w:szCs w:val="20"/>
          <w:color w:val="auto"/>
        </w:rPr>
      </w:pPr>
      <w:r>
        <w:rPr>
          <w:rFonts w:ascii="Arial" w:cs="Arial" w:eastAsia="Arial" w:hAnsi="Arial"/>
          <w:sz w:val="13"/>
          <w:szCs w:val="13"/>
          <w:color w:val="auto"/>
        </w:rPr>
        <w:t>As of June 28, 2019, the last business day of the registrant’s most recently completed second fiscal quarter, the registrant’s common stock was listed on the NASDAQ Global Market. As of June 28, 2019, the aggregate market value of the registrant’s common stock held by non-affiliates was approximately $5.6 billion.</w:t>
      </w:r>
    </w:p>
    <w:p>
      <w:pPr>
        <w:spacing w:after="0" w:line="1" w:lineRule="exact"/>
        <w:rPr>
          <w:sz w:val="24"/>
          <w:szCs w:val="24"/>
          <w:color w:val="auto"/>
        </w:rPr>
      </w:pPr>
    </w:p>
    <w:p>
      <w:pPr>
        <w:jc w:val="center"/>
        <w:ind w:right="-1"/>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ind w:left="2" w:right="360" w:firstLine="441"/>
        <w:spacing w:after="0" w:line="253" w:lineRule="auto"/>
        <w:rPr>
          <w:sz w:val="20"/>
          <w:szCs w:val="20"/>
          <w:color w:val="auto"/>
        </w:rPr>
      </w:pPr>
      <w:r>
        <w:rPr>
          <w:rFonts w:ascii="Arial" w:cs="Arial" w:eastAsia="Arial" w:hAnsi="Arial"/>
          <w:sz w:val="14"/>
          <w:szCs w:val="14"/>
          <w:color w:val="auto"/>
        </w:rPr>
        <w:t>Certain portions of the registrant’s Definitive Proxy Statement for its 2020 Annual Meeting of Stockholders (which is expected to be filed with the Commission within 120 days after the end of the registrant’s 2019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576580</wp:posOffset>
            </wp:positionV>
            <wp:extent cx="65951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511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45085</wp:posOffset>
            </wp:positionV>
            <wp:extent cx="6595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51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62230</wp:posOffset>
            </wp:positionV>
            <wp:extent cx="6595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sectPr>
          <w:pgSz w:w="11900" w:h="16838" w:orient="portrait"/>
          <w:cols w:equalWidth="0" w:num="1">
            <w:col w:w="10402"/>
          </w:cols>
          <w:pgMar w:left="758" w:top="665" w:right="7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64"/>
        </w:trPr>
        <w:tc>
          <w:tcPr>
            <w:tcW w:w="8620" w:type="dxa"/>
            <w:vAlign w:val="bottom"/>
            <w:gridSpan w:val="3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60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3280" w:type="dxa"/>
            <w:vAlign w:val="bottom"/>
            <w:tcBorders>
              <w:top w:val="single" w:sz="8" w:color="0000EE"/>
            </w:tcBorders>
            <w:gridSpan w:val="16"/>
          </w:tcPr>
          <w:p>
            <w:pPr>
              <w:spacing w:after="0"/>
              <w:rPr>
                <w:sz w:val="24"/>
                <w:szCs w:val="24"/>
                <w:color w:val="auto"/>
              </w:rPr>
            </w:pPr>
          </w:p>
        </w:tc>
        <w:tc>
          <w:tcPr>
            <w:tcW w:w="474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440" w:type="dxa"/>
            <w:vAlign w:val="bottom"/>
          </w:tcPr>
          <w:p>
            <w:pPr>
              <w:spacing w:after="0"/>
              <w:rPr>
                <w:sz w:val="24"/>
                <w:szCs w:val="24"/>
                <w:color w:val="auto"/>
              </w:rPr>
            </w:pPr>
          </w:p>
        </w:tc>
        <w:tc>
          <w:tcPr>
            <w:tcW w:w="12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Item 1. Business</w:t>
              </w:r>
            </w:hyperlink>
          </w:p>
        </w:tc>
        <w:tc>
          <w:tcPr>
            <w:tcW w:w="6980" w:type="dxa"/>
            <w:vAlign w:val="bottom"/>
            <w:gridSpan w:val="2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91"/>
        </w:trPr>
        <w:tc>
          <w:tcPr>
            <w:tcW w:w="440" w:type="dxa"/>
            <w:vAlign w:val="bottom"/>
          </w:tcPr>
          <w:p>
            <w:pPr>
              <w:spacing w:after="0"/>
              <w:rPr>
                <w:sz w:val="24"/>
                <w:szCs w:val="24"/>
                <w:color w:val="auto"/>
              </w:rPr>
            </w:pPr>
          </w:p>
        </w:tc>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6580" w:type="dxa"/>
            <w:vAlign w:val="bottom"/>
            <w:gridSpan w:val="1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91"/>
        </w:trPr>
        <w:tc>
          <w:tcPr>
            <w:tcW w:w="440" w:type="dxa"/>
            <w:vAlign w:val="bottom"/>
          </w:tcPr>
          <w:p>
            <w:pPr>
              <w:spacing w:after="0"/>
              <w:rPr>
                <w:sz w:val="24"/>
                <w:szCs w:val="24"/>
                <w:color w:val="auto"/>
              </w:rPr>
            </w:pPr>
          </w:p>
        </w:tc>
        <w:tc>
          <w:tcPr>
            <w:tcW w:w="818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1B. Unresolved Staff Comments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1"/>
        </w:trPr>
        <w:tc>
          <w:tcPr>
            <w:tcW w:w="440" w:type="dxa"/>
            <w:vAlign w:val="bottom"/>
          </w:tcPr>
          <w:p>
            <w:pPr>
              <w:spacing w:after="0"/>
              <w:rPr>
                <w:sz w:val="24"/>
                <w:szCs w:val="24"/>
                <w:color w:val="auto"/>
              </w:rPr>
            </w:pPr>
          </w:p>
        </w:tc>
        <w:tc>
          <w:tcPr>
            <w:tcW w:w="2720" w:type="dxa"/>
            <w:vAlign w:val="bottom"/>
            <w:tcBorders>
              <w:top w:val="single" w:sz="8" w:color="0000EE"/>
            </w:tcBorders>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 Properties</w:t>
              </w:r>
            </w:hyperlink>
          </w:p>
        </w:tc>
        <w:tc>
          <w:tcPr>
            <w:tcW w:w="546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190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Item 3. Legal Proceedings</w:t>
              </w:r>
            </w:hyperlink>
          </w:p>
        </w:tc>
        <w:tc>
          <w:tcPr>
            <w:tcW w:w="6280" w:type="dxa"/>
            <w:vAlign w:val="bottom"/>
            <w:gridSpan w:val="1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91"/>
        </w:trPr>
        <w:tc>
          <w:tcPr>
            <w:tcW w:w="440" w:type="dxa"/>
            <w:vAlign w:val="bottom"/>
          </w:tcPr>
          <w:p>
            <w:pPr>
              <w:spacing w:after="0"/>
              <w:rPr>
                <w:sz w:val="24"/>
                <w:szCs w:val="24"/>
                <w:color w:val="auto"/>
              </w:rPr>
            </w:pPr>
          </w:p>
        </w:tc>
        <w:tc>
          <w:tcPr>
            <w:tcW w:w="8180" w:type="dxa"/>
            <w:vAlign w:val="bottom"/>
            <w:gridSpan w:val="2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 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0"/>
        </w:trPr>
        <w:tc>
          <w:tcPr>
            <w:tcW w:w="44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8620" w:type="dxa"/>
            <w:vAlign w:val="bottom"/>
            <w:gridSpan w:val="30"/>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4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78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Item 5. Market for Registrant’s Common Equity, Related Stockholder Matters and Issuer Purchases of Equity</w:t>
              </w:r>
            </w:hyperlink>
          </w:p>
        </w:tc>
        <w:tc>
          <w:tcPr>
            <w:tcW w:w="30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r>
      <w:tr>
        <w:trPr>
          <w:trHeight w:val="196"/>
        </w:trPr>
        <w:tc>
          <w:tcPr>
            <w:tcW w:w="440" w:type="dxa"/>
            <w:vAlign w:val="bottom"/>
          </w:tcPr>
          <w:p>
            <w:pPr>
              <w:spacing w:after="0"/>
              <w:rPr>
                <w:sz w:val="17"/>
                <w:szCs w:val="17"/>
                <w:color w:val="auto"/>
              </w:rPr>
            </w:pPr>
          </w:p>
        </w:tc>
        <w:tc>
          <w:tcPr>
            <w:tcW w:w="7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39">
              <w:r>
                <w:rPr>
                  <w:rFonts w:ascii="Arial" w:cs="Arial" w:eastAsia="Arial" w:hAnsi="Arial"/>
                  <w:sz w:val="18"/>
                  <w:szCs w:val="18"/>
                  <w:color w:val="0000EE"/>
                  <w:w w:val="88"/>
                </w:rPr>
                <w:t>Securities</w:t>
              </w:r>
            </w:hyperlink>
          </w:p>
        </w:tc>
        <w:tc>
          <w:tcPr>
            <w:tcW w:w="7460" w:type="dxa"/>
            <w:vAlign w:val="bottom"/>
            <w:gridSpan w:val="2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91"/>
        </w:trPr>
        <w:tc>
          <w:tcPr>
            <w:tcW w:w="440" w:type="dxa"/>
            <w:vAlign w:val="bottom"/>
          </w:tcPr>
          <w:p>
            <w:pPr>
              <w:spacing w:after="0"/>
              <w:rPr>
                <w:sz w:val="24"/>
                <w:szCs w:val="24"/>
                <w:color w:val="auto"/>
              </w:rPr>
            </w:pPr>
          </w:p>
        </w:tc>
        <w:tc>
          <w:tcPr>
            <w:tcW w:w="8180" w:type="dxa"/>
            <w:vAlign w:val="bottom"/>
            <w:gridSpan w:val="2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6. Selected Consolidated Financial and Other Data</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4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702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7. Management’s Discussion and Analysis of Financial Condition and Results of Operations</w:t>
              </w:r>
            </w:hyperlink>
          </w:p>
        </w:tc>
        <w:tc>
          <w:tcPr>
            <w:tcW w:w="116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91"/>
        </w:trPr>
        <w:tc>
          <w:tcPr>
            <w:tcW w:w="440" w:type="dxa"/>
            <w:vAlign w:val="bottom"/>
          </w:tcPr>
          <w:p>
            <w:pPr>
              <w:spacing w:after="0"/>
              <w:rPr>
                <w:sz w:val="24"/>
                <w:szCs w:val="24"/>
                <w:color w:val="auto"/>
              </w:rPr>
            </w:pPr>
          </w:p>
        </w:tc>
        <w:tc>
          <w:tcPr>
            <w:tcW w:w="8180" w:type="dxa"/>
            <w:vAlign w:val="bottom"/>
            <w:gridSpan w:val="2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7A. 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91"/>
        </w:trPr>
        <w:tc>
          <w:tcPr>
            <w:tcW w:w="440" w:type="dxa"/>
            <w:vAlign w:val="bottom"/>
          </w:tcPr>
          <w:p>
            <w:pPr>
              <w:spacing w:after="0"/>
              <w:rPr>
                <w:sz w:val="24"/>
                <w:szCs w:val="24"/>
                <w:color w:val="auto"/>
              </w:rPr>
            </w:pPr>
          </w:p>
        </w:tc>
        <w:tc>
          <w:tcPr>
            <w:tcW w:w="5040" w:type="dxa"/>
            <w:vAlign w:val="bottom"/>
            <w:tcBorders>
              <w:top w:val="single" w:sz="8" w:color="0000EE"/>
            </w:tcBorders>
            <w:gridSpan w:val="23"/>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Item 8. Consolidated Financial Statements and Supplementary Data</w:t>
              </w:r>
            </w:hyperlink>
          </w:p>
        </w:tc>
        <w:tc>
          <w:tcPr>
            <w:tcW w:w="314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4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818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Item 9. Changes in and Disagreements With Accountants on Accounting and Financial Disclosure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91"/>
        </w:trPr>
        <w:tc>
          <w:tcPr>
            <w:tcW w:w="44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Item 9A. Controls and Procedures</w:t>
              </w:r>
            </w:hyperlink>
          </w:p>
        </w:tc>
        <w:tc>
          <w:tcPr>
            <w:tcW w:w="4600" w:type="dxa"/>
            <w:vAlign w:val="bottom"/>
            <w:tcBorders>
              <w:top w:val="single" w:sz="8" w:color="0000EE"/>
            </w:tcBorders>
            <w:gridSpan w:val="11"/>
          </w:tcPr>
          <w:p>
            <w:pPr>
              <w:spacing w:after="0"/>
              <w:rPr>
                <w:sz w:val="24"/>
                <w:szCs w:val="24"/>
                <w:color w:val="auto"/>
              </w:rPr>
            </w:pPr>
          </w:p>
        </w:tc>
        <w:tc>
          <w:tcPr>
            <w:tcW w:w="112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91"/>
        </w:trPr>
        <w:tc>
          <w:tcPr>
            <w:tcW w:w="440" w:type="dxa"/>
            <w:vAlign w:val="bottom"/>
          </w:tcPr>
          <w:p>
            <w:pPr>
              <w:spacing w:after="0"/>
              <w:rPr>
                <w:sz w:val="24"/>
                <w:szCs w:val="24"/>
                <w:color w:val="auto"/>
              </w:rPr>
            </w:pPr>
          </w:p>
        </w:tc>
        <w:tc>
          <w:tcPr>
            <w:tcW w:w="200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91">
              <w:r>
                <w:rPr>
                  <w:rFonts w:ascii="Arial" w:cs="Arial" w:eastAsia="Arial" w:hAnsi="Arial"/>
                  <w:sz w:val="18"/>
                  <w:szCs w:val="18"/>
                  <w:color w:val="0000EE"/>
                  <w:w w:val="93"/>
                </w:rPr>
                <w:t>Item 9B. Other Information</w:t>
              </w:r>
            </w:hyperlink>
          </w:p>
        </w:tc>
        <w:tc>
          <w:tcPr>
            <w:tcW w:w="6180" w:type="dxa"/>
            <w:vAlign w:val="bottom"/>
            <w:gridSpan w:val="17"/>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1"/>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PART III</w:t>
              </w:r>
            </w:hyperlink>
          </w:p>
        </w:tc>
        <w:tc>
          <w:tcPr>
            <w:tcW w:w="7880" w:type="dxa"/>
            <w:vAlign w:val="bottom"/>
            <w:gridSpan w:val="2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1"/>
        </w:trPr>
        <w:tc>
          <w:tcPr>
            <w:tcW w:w="440" w:type="dxa"/>
            <w:vAlign w:val="bottom"/>
          </w:tcPr>
          <w:p>
            <w:pPr>
              <w:spacing w:after="0"/>
              <w:rPr>
                <w:sz w:val="24"/>
                <w:szCs w:val="24"/>
                <w:color w:val="auto"/>
              </w:rPr>
            </w:pPr>
          </w:p>
        </w:tc>
        <w:tc>
          <w:tcPr>
            <w:tcW w:w="8180" w:type="dxa"/>
            <w:vAlign w:val="bottom"/>
            <w:gridSpan w:val="2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10. Directors, Executive Officers and Corporate Governance</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1"/>
        </w:trPr>
        <w:tc>
          <w:tcPr>
            <w:tcW w:w="440" w:type="dxa"/>
            <w:vAlign w:val="bottom"/>
          </w:tcPr>
          <w:p>
            <w:pPr>
              <w:spacing w:after="0"/>
              <w:rPr>
                <w:sz w:val="24"/>
                <w:szCs w:val="24"/>
                <w:color w:val="auto"/>
              </w:rPr>
            </w:pPr>
          </w:p>
        </w:tc>
        <w:tc>
          <w:tcPr>
            <w:tcW w:w="4740" w:type="dxa"/>
            <w:vAlign w:val="bottom"/>
            <w:tcBorders>
              <w:top w:val="single" w:sz="8" w:color="0000EE"/>
            </w:tcBorders>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11. Executive Compensation</w:t>
              </w:r>
            </w:hyperlink>
          </w:p>
        </w:tc>
        <w:tc>
          <w:tcPr>
            <w:tcW w:w="3440" w:type="dxa"/>
            <w:vAlign w:val="bottom"/>
            <w:gridSpan w:val="9"/>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4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794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Item 12. Security Ownership of Certain Beneficial Owners and Management and Related Stockholder Matters</w:t>
              </w:r>
            </w:hyperlink>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91"/>
        </w:trPr>
        <w:tc>
          <w:tcPr>
            <w:tcW w:w="440" w:type="dxa"/>
            <w:vAlign w:val="bottom"/>
          </w:tcPr>
          <w:p>
            <w:pPr>
              <w:spacing w:after="0"/>
              <w:rPr>
                <w:sz w:val="24"/>
                <w:szCs w:val="24"/>
                <w:color w:val="auto"/>
              </w:rPr>
            </w:pPr>
          </w:p>
        </w:tc>
        <w:tc>
          <w:tcPr>
            <w:tcW w:w="610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Item 13. Certain Relationships and Related Transactions, and Director Independence</w:t>
              </w:r>
            </w:hyperlink>
          </w:p>
        </w:tc>
        <w:tc>
          <w:tcPr>
            <w:tcW w:w="2080" w:type="dxa"/>
            <w:vAlign w:val="bottom"/>
            <w:gridSpan w:val="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91"/>
        </w:trPr>
        <w:tc>
          <w:tcPr>
            <w:tcW w:w="440" w:type="dxa"/>
            <w:vAlign w:val="bottom"/>
          </w:tcPr>
          <w:p>
            <w:pPr>
              <w:spacing w:after="0"/>
              <w:rPr>
                <w:sz w:val="24"/>
                <w:szCs w:val="24"/>
                <w:color w:val="auto"/>
              </w:rPr>
            </w:pPr>
          </w:p>
        </w:tc>
        <w:tc>
          <w:tcPr>
            <w:tcW w:w="352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Item 14. Principal Accounting Fees and Services</w:t>
              </w:r>
            </w:hyperlink>
          </w:p>
        </w:tc>
        <w:tc>
          <w:tcPr>
            <w:tcW w:w="4660" w:type="dxa"/>
            <w:vAlign w:val="bottom"/>
            <w:gridSpan w:val="11"/>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91"/>
        </w:trPr>
        <w:tc>
          <w:tcPr>
            <w:tcW w:w="8620" w:type="dxa"/>
            <w:vAlign w:val="bottom"/>
            <w:gridSpan w:val="30"/>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IV</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4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15"/>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440" w:type="dxa"/>
            <w:vAlign w:val="bottom"/>
          </w:tcPr>
          <w:p>
            <w:pPr>
              <w:spacing w:after="0"/>
              <w:rPr>
                <w:sz w:val="24"/>
                <w:szCs w:val="24"/>
                <w:color w:val="auto"/>
              </w:rPr>
            </w:pPr>
          </w:p>
        </w:tc>
        <w:tc>
          <w:tcPr>
            <w:tcW w:w="8180" w:type="dxa"/>
            <w:vAlign w:val="bottom"/>
            <w:gridSpan w:val="2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Item 15. Exhibits and Consolidated Financial Statement Schedules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440" w:type="dxa"/>
            <w:vAlign w:val="bottom"/>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140" w:type="dxa"/>
            <w:vAlign w:val="bottom"/>
            <w:gridSpan w:val="15"/>
            <w:shd w:val="clear" w:color="auto" w:fill="0000EE"/>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0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92">
              <w:r>
                <w:rPr>
                  <w:rFonts w:ascii="Arial" w:cs="Arial" w:eastAsia="Arial" w:hAnsi="Arial"/>
                  <w:sz w:val="18"/>
                  <w:szCs w:val="18"/>
                  <w:color w:val="0000EE"/>
                  <w:w w:val="95"/>
                </w:rPr>
                <w:t>Exhibit Index</w:t>
              </w:r>
            </w:hyperlink>
          </w:p>
        </w:tc>
        <w:tc>
          <w:tcPr>
            <w:tcW w:w="7620" w:type="dxa"/>
            <w:vAlign w:val="bottom"/>
            <w:gridSpan w:val="2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91"/>
        </w:trPr>
        <w:tc>
          <w:tcPr>
            <w:tcW w:w="8620" w:type="dxa"/>
            <w:vAlign w:val="bottom"/>
            <w:gridSpan w:val="30"/>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 xml:space="preserve">This Annual Report on Form 10-K, including Item 1,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Item 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Item 7,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Discussion and Analysis of Financial Condition and Results of Operations</w:t>
      </w:r>
      <w:r>
        <w:rPr>
          <w:rFonts w:ascii="Arial" w:cs="Arial" w:eastAsia="Arial" w:hAnsi="Arial"/>
          <w:sz w:val="17"/>
          <w:szCs w:val="17"/>
          <w:color w:val="auto"/>
        </w:rPr>
        <w:t>, contains certain “forward-looking statements,”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the meaning of Section 27A of the Securities Act of 1933, as amended, and Section 21E of the Securities Exchange Act of 1934, as amended.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8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78" w:lineRule="exact"/>
        <w:rPr>
          <w:sz w:val="20"/>
          <w:szCs w:val="20"/>
          <w:color w:val="auto"/>
        </w:rPr>
      </w:pPr>
    </w:p>
    <w:p>
      <w:pPr>
        <w:ind w:left="1460" w:right="140" w:hanging="330"/>
        <w:spacing w:after="0" w:line="258"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 w:lineRule="exact"/>
        <w:rPr>
          <w:rFonts w:ascii="Arial" w:cs="Arial" w:eastAsia="Arial" w:hAnsi="Arial"/>
          <w:sz w:val="18"/>
          <w:szCs w:val="18"/>
          <w:color w:val="auto"/>
        </w:rPr>
      </w:pPr>
    </w:p>
    <w:p>
      <w:pPr>
        <w:ind w:left="1460" w:hanging="330"/>
        <w:spacing w:after="0" w:line="265" w:lineRule="auto"/>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potential acquisitions or divestitures of, or investments in, new businesses, acquisitions of new university partners, and expansion of services provided to our existing university partners;</w:t>
      </w:r>
    </w:p>
    <w:p>
      <w:pPr>
        <w:ind w:left="1460" w:right="100" w:hanging="33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 w:lineRule="exact"/>
        <w:rPr>
          <w:rFonts w:ascii="Arial" w:cs="Arial" w:eastAsia="Arial" w:hAnsi="Arial"/>
          <w:sz w:val="18"/>
          <w:szCs w:val="18"/>
          <w:color w:val="auto"/>
        </w:rPr>
      </w:pPr>
    </w:p>
    <w:p>
      <w:pPr>
        <w:ind w:left="1460" w:right="300" w:hanging="33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jc w:val="both"/>
        <w:ind w:left="1460" w:right="80" w:hanging="33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 w:lineRule="exact"/>
        <w:rPr>
          <w:rFonts w:ascii="Arial" w:cs="Arial" w:eastAsia="Arial" w:hAnsi="Arial"/>
          <w:sz w:val="18"/>
          <w:szCs w:val="18"/>
          <w:color w:val="auto"/>
        </w:rPr>
      </w:pPr>
    </w:p>
    <w:p>
      <w:pPr>
        <w:ind w:left="1460" w:right="360" w:hanging="330"/>
        <w:spacing w:after="0" w:line="265" w:lineRule="auto"/>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associated with changes in applicable federal and state laws and regulations and accrediting commission standards, including pending rulemaking by the United States Department of Education applicable to us directly or indirectly through our university partners;</w:t>
      </w:r>
    </w:p>
    <w:p>
      <w:pPr>
        <w:ind w:left="1460" w:right="500" w:hanging="33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including competition for students, qualified executives and other personnel;</w:t>
      </w:r>
    </w:p>
    <w:p>
      <w:pPr>
        <w:ind w:left="1460" w:hanging="330"/>
        <w:spacing w:after="0"/>
        <w:tabs>
          <w:tab w:leader="none" w:pos="1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expected tax payments and tax rate, including the effect of the Tax Cuts and Jobs Act of 2017;</w:t>
      </w:r>
    </w:p>
    <w:p>
      <w:pPr>
        <w:spacing w:after="0" w:line="20" w:lineRule="exact"/>
        <w:rPr>
          <w:rFonts w:ascii="Arial" w:cs="Arial" w:eastAsia="Arial" w:hAnsi="Arial"/>
          <w:sz w:val="17"/>
          <w:szCs w:val="17"/>
          <w:color w:val="auto"/>
        </w:rPr>
      </w:pPr>
    </w:p>
    <w:p>
      <w:pPr>
        <w:ind w:left="1460" w:hanging="33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pace of growth of our university partners’ enrollment and its effect on the pace of our own growth;</w:t>
      </w:r>
    </w:p>
    <w:p>
      <w:pPr>
        <w:spacing w:after="0" w:line="32" w:lineRule="exact"/>
        <w:rPr>
          <w:rFonts w:ascii="Arial" w:cs="Arial" w:eastAsia="Arial" w:hAnsi="Arial"/>
          <w:sz w:val="16"/>
          <w:szCs w:val="16"/>
          <w:color w:val="auto"/>
        </w:rPr>
      </w:pPr>
    </w:p>
    <w:p>
      <w:pPr>
        <w:ind w:left="1460" w:hanging="330"/>
        <w:spacing w:after="0"/>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9" w:lineRule="exact"/>
        <w:rPr>
          <w:rFonts w:ascii="Arial" w:cs="Arial" w:eastAsia="Arial" w:hAnsi="Arial"/>
          <w:sz w:val="18"/>
          <w:szCs w:val="18"/>
          <w:color w:val="auto"/>
        </w:rPr>
      </w:pPr>
    </w:p>
    <w:p>
      <w:pPr>
        <w:ind w:left="1460" w:right="120" w:hanging="33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ind w:left="1460" w:right="20" w:hanging="330"/>
        <w:spacing w:after="0" w:line="250"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ind w:left="1460" w:hanging="330"/>
        <w:spacing w:after="0"/>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competitive environment for marketing the programs of our university partners;</w:t>
      </w:r>
    </w:p>
    <w:p>
      <w:pPr>
        <w:spacing w:after="0" w:line="32" w:lineRule="exact"/>
        <w:rPr>
          <w:rFonts w:ascii="Arial" w:cs="Arial" w:eastAsia="Arial" w:hAnsi="Arial"/>
          <w:sz w:val="16"/>
          <w:szCs w:val="16"/>
          <w:color w:val="auto"/>
        </w:rPr>
      </w:pPr>
    </w:p>
    <w:p>
      <w:pPr>
        <w:ind w:left="1460" w:right="360" w:hanging="330"/>
        <w:spacing w:after="0" w:line="261" w:lineRule="auto"/>
        <w:tabs>
          <w:tab w:leader="none" w:pos="1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right="60" w:hanging="330"/>
        <w:spacing w:after="0" w:line="256"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ind w:left="1460" w:hanging="330"/>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9" w:lineRule="exact"/>
        <w:rPr>
          <w:rFonts w:ascii="Arial" w:cs="Arial" w:eastAsia="Arial" w:hAnsi="Arial"/>
          <w:sz w:val="18"/>
          <w:szCs w:val="18"/>
          <w:color w:val="auto"/>
        </w:rPr>
      </w:pPr>
    </w:p>
    <w:p>
      <w:pPr>
        <w:ind w:left="1460" w:hanging="330"/>
        <w:spacing w:after="0" w:line="250"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 and</w:t>
      </w:r>
    </w:p>
    <w:p>
      <w:pPr>
        <w:ind w:left="1460" w:right="200" w:hanging="330"/>
        <w:spacing w:after="0" w:line="261" w:lineRule="auto"/>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84"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Grand Canyon Education, Inc., a Delaware corporation (“GCE” or the “Company)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 As of December 31, 2019, GCE provided education services and support to more than 103,100 students enrolled in GCU’s programs, emphases and certificates.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In January 2019, GCE began providing education services to numerous university partners across the United States through our wholly owned subsidiary, Orbis Education Services LLC (“Orbis Education”), which we acquired on January 22, 2019. See </w:t>
      </w:r>
      <w:r>
        <w:rPr>
          <w:rFonts w:ascii="Arial" w:cs="Arial" w:eastAsia="Arial" w:hAnsi="Arial"/>
          <w:sz w:val="18"/>
          <w:szCs w:val="18"/>
          <w:i w:val="1"/>
          <w:iCs w:val="1"/>
          <w:color w:val="auto"/>
        </w:rPr>
        <w:t>Note 3 – Acquisition</w:t>
      </w:r>
      <w:r>
        <w:rPr>
          <w:rFonts w:ascii="Arial" w:cs="Arial" w:eastAsia="Arial" w:hAnsi="Arial"/>
          <w:sz w:val="18"/>
          <w:szCs w:val="18"/>
          <w:color w:val="auto"/>
        </w:rPr>
        <w:t xml:space="preserve"> to consolidated financial statements for a full description of this acquisition. Orbis Education works in partnership with a growing number of top universities and healthcare networks across the country to develop high-quality, career-ready graduates in four primary academic programs to meet the healthcare industry’s demands. As of December 31, 2019, Orbis Education provides education services to 22 university partners, at 24 locations, in 20 states throughout the country.</w:t>
      </w:r>
    </w:p>
    <w:p>
      <w:pPr>
        <w:spacing w:after="0" w:line="18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 xml:space="preserve">Prior to July 1, 2018, GCE, operated GCU. On July 1, 2018, the Company sold GCU to an independent, nonprofit entity (the “Transaction”). See </w:t>
      </w:r>
      <w:r>
        <w:rPr>
          <w:rFonts w:ascii="Arial" w:cs="Arial" w:eastAsia="Arial" w:hAnsi="Arial"/>
          <w:sz w:val="16"/>
          <w:szCs w:val="16"/>
          <w:i w:val="1"/>
          <w:iCs w:val="1"/>
          <w:color w:val="auto"/>
        </w:rPr>
        <w:t>Note 2 – The Transaction</w:t>
      </w:r>
      <w:r>
        <w:rPr>
          <w:rFonts w:ascii="Arial" w:cs="Arial" w:eastAsia="Arial" w:hAnsi="Arial"/>
          <w:sz w:val="16"/>
          <w:szCs w:val="16"/>
          <w:color w:val="auto"/>
        </w:rPr>
        <w:t xml:space="preserve"> to consolidated financial statements for a full description of the Transaction. Accordingly, the results of operations discussed herein for the twelve-month period ended December 31, 2018 reflect the Company’s operations prior to July 1, 2018 which were made up exclusively of the operations of GCU. For the period from July 1, 2018 to December 31, 2018 and for the year ended December 31, 2019, results of operations do not include the operations of GCU but rather reflect the operations of the Company as an educational services company.</w:t>
      </w:r>
    </w:p>
    <w:p>
      <w:pPr>
        <w:spacing w:after="0" w:line="165"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 xml:space="preserve">As reported net revenue for the year ended December 31, 2019 was $778.6 million, representing a decrease of 7.9% over the year ended December 31, 2018. The reduction in as reported net revenue from 2018 to 2019 is driven by our transition from owning and operating a university to becoming an education services company as of July 1, 2018. As an education services company for GCU, the Company receives, as service revenue, 60% of GCU’s tuition and fee revenue and no longer has university related revenue, thus resulting in the decrease from the prior period. On a comparable basis, adjusted net revenue for the year ended December 31, 2018 was $640.5 million. The 21.6% increase year over year in comparable service fee revenue for the year ended December 31, 2019 and 2018 was primarily due to our Orbis Education acquisition on January 22, 2019 and the increase in GCU enrollments between years. For information on how we calculate as adjusted net revenue for comparison purposes, see “Item 7.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 – Results of Operations.</w:t>
      </w:r>
      <w:r>
        <w:rPr>
          <w:rFonts w:ascii="Arial" w:cs="Arial" w:eastAsia="Arial" w:hAnsi="Arial"/>
          <w:sz w:val="16"/>
          <w:szCs w:val="16"/>
          <w:color w:val="auto"/>
        </w:rPr>
        <w:t>” The partnership agreements that were acquired as part of the Acquisition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w:t>
      </w:r>
    </w:p>
    <w:p>
      <w:pPr>
        <w:spacing w:after="0" w:line="175"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As reported operating income was $265.1 million and increased 2.7% for the year ended December 31, 2019 as compared to 2018. As adjusted operating income and operating margin, which excludes university related revenue and expenses, the loss on transaction, amortization of intangible assets and the contributions made to private school tuition organizations in lieu of state income taxes of $4.0 million in 2019 and $3.7 million in 2018 was $281.3 million and 36.1%, respectively in 2019 compared to $248.6 million and 38.8%, respectively, in 2018. The 13.2% increase in adjusted operating income year over year is driven by our ability to leverage our operating expenses across an increasing revenue base.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GCE is an education services company with 22 university partners as of December 31, 2019. We have invested over</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color w:val="auto"/>
        </w:rPr>
        <w:t>$200 million in the last eleven years to develop systems that automate key processes and enable us to scale these processes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hundreds of thousands of students. GCE is capable of supporting not just core academic functions, technology and marketing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but many additional key processes that surround those functions, such as faculty recruiting and training, admissions,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aid, accounting, and technical support.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of Services</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following describes the various services that we are capable of providing to university partners. Services actually provided to a given university partner depend upon the nature of programs supported by GCE, existing university infrastructure, and university partner preferences.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We provide technology and academic services that relate to the ongoing maintenance of our university partners’ educational infrastructure, including online course delivery and management, student records, assessment, customer relations management and other internal administrative systems. These services also include curriculum conversion, support for content development, support for faculty and related training and development, technical support, rent and occupancy costs for university partners’ simulation and skills labs, and assistance with state regulatory compliance. We have established secure, reliable and scalable technology systems that provide a high quality educational environment and that give us the capability to grow our university partners’ programs and enrollment.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Technology Services may include the following:</w:t>
      </w:r>
    </w:p>
    <w:p>
      <w:pPr>
        <w:spacing w:after="0" w:line="225" w:lineRule="exact"/>
        <w:rPr>
          <w:sz w:val="20"/>
          <w:szCs w:val="20"/>
          <w:color w:val="auto"/>
        </w:rPr>
      </w:pPr>
    </w:p>
    <w:p>
      <w:pPr>
        <w:jc w:val="both"/>
        <w:ind w:left="1460" w:right="20" w:hanging="330"/>
        <w:spacing w:after="0" w:line="288" w:lineRule="auto"/>
        <w:tabs>
          <w:tab w:leader="none" w:pos="1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Learning Management System - GCE designed its learning management system, LoudCloud. The system was designed around the pedagogical principles that guide our thinking about curriculum and instruction. This system was designed for small classes that are instructor led, highly interactive and collaborative.</w:t>
      </w:r>
    </w:p>
    <w:p>
      <w:pPr>
        <w:ind w:left="1460" w:right="40"/>
        <w:spacing w:after="0" w:line="265" w:lineRule="auto"/>
        <w:rPr>
          <w:rFonts w:ascii="Arial" w:cs="Arial" w:eastAsia="Arial" w:hAnsi="Arial"/>
          <w:sz w:val="16"/>
          <w:szCs w:val="16"/>
          <w:color w:val="auto"/>
        </w:rPr>
      </w:pPr>
      <w:r>
        <w:rPr>
          <w:rFonts w:ascii="Arial" w:cs="Arial" w:eastAsia="Arial" w:hAnsi="Arial"/>
          <w:sz w:val="17"/>
          <w:szCs w:val="17"/>
          <w:color w:val="auto"/>
        </w:rPr>
        <w:t>Rich content that originates from a myriad of sources, including direct advisement from industry, is coupled with a robust discussion environment. Students most often respond to the content and discussion through written work. The writing assignments are designed to promote critical thinking which is often connected to solving real world problems. Because of its modular implementation, this platform can easily and reliably scale as student populations increase. The platform provides in-depth analytics that allow us to closely monitor student success and the quality of instructional resources. Students learn to navigate many ancillary systems connected to LoudCloud.</w:t>
      </w:r>
    </w:p>
    <w:p>
      <w:pPr>
        <w:spacing w:after="0" w:line="1" w:lineRule="exact"/>
        <w:rPr>
          <w:rFonts w:ascii="Arial" w:cs="Arial" w:eastAsia="Arial" w:hAnsi="Arial"/>
          <w:sz w:val="16"/>
          <w:szCs w:val="16"/>
          <w:color w:val="auto"/>
        </w:rPr>
      </w:pPr>
    </w:p>
    <w:p>
      <w:pPr>
        <w:ind w:left="1460" w:right="80" w:hanging="330"/>
        <w:spacing w:after="0" w:line="265" w:lineRule="auto"/>
        <w:tabs>
          <w:tab w:leader="none" w:pos="1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Internal administration - We utilize a commercial customer relations management development platform to distribute, manage, track, and report on all 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students an exceptional educational experience.</w:t>
      </w:r>
    </w:p>
    <w:p>
      <w:pPr>
        <w:spacing w:after="0" w:line="1" w:lineRule="exact"/>
        <w:rPr>
          <w:rFonts w:ascii="Arial" w:cs="Arial" w:eastAsia="Arial" w:hAnsi="Arial"/>
          <w:sz w:val="17"/>
          <w:szCs w:val="17"/>
          <w:color w:val="auto"/>
        </w:rPr>
      </w:pPr>
    </w:p>
    <w:p>
      <w:pPr>
        <w:ind w:left="1460" w:hanging="330"/>
        <w:spacing w:after="0" w:line="250"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Infrastructure - We operate two data centers, one at GCU’s campus and one at another Phoenix-area location. All of our servers are networked and we have redundant data backup. We manage our technology environment internally. Our wide area network is fully redundant to ensure maximum uptime, bandwidth capacity and network performance. Student access is load balanced for optimal performance. Real-time monitoring provides current system status across network, server, and storage components. We provide cybersecurity services, support and incident response for all infrastructure and software that we utilize.</w:t>
      </w:r>
    </w:p>
    <w:p>
      <w:pPr>
        <w:spacing w:after="0" w:line="3" w:lineRule="exact"/>
        <w:rPr>
          <w:rFonts w:ascii="Arial" w:cs="Arial" w:eastAsia="Arial" w:hAnsi="Arial"/>
          <w:sz w:val="18"/>
          <w:szCs w:val="18"/>
          <w:color w:val="auto"/>
        </w:rPr>
      </w:pPr>
    </w:p>
    <w:p>
      <w:pPr>
        <w:ind w:left="1460" w:right="160" w:hanging="330"/>
        <w:spacing w:after="0" w:line="261" w:lineRule="auto"/>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 We provide 18/7 technical support for students and faculty. There are two systems utilized by GCE to provide these services.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Academic Services may include the following:</w:t>
      </w:r>
    </w:p>
    <w:p>
      <w:pPr>
        <w:spacing w:after="0" w:line="225" w:lineRule="exact"/>
        <w:rPr>
          <w:sz w:val="20"/>
          <w:szCs w:val="20"/>
          <w:color w:val="auto"/>
        </w:rPr>
      </w:pPr>
    </w:p>
    <w:p>
      <w:pPr>
        <w:ind w:left="1460" w:hanging="330"/>
        <w:spacing w:after="0" w:line="285"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Program and Curriculum – GCE has a curriculum content department that provides design and conversion services to our university partners. In collaboration with our university partners, we assist with the program and course design by providing curricular assistance and recommendations with respect to content and techniques that make use of the available technologies and methods embodied in the learning management system. GCE developed a proprietary system to support these services.</w:t>
      </w:r>
    </w:p>
    <w:p>
      <w:pPr>
        <w:spacing w:after="0" w:line="2" w:lineRule="exact"/>
        <w:rPr>
          <w:rFonts w:ascii="Arial" w:cs="Arial" w:eastAsia="Arial" w:hAnsi="Arial"/>
          <w:sz w:val="16"/>
          <w:szCs w:val="16"/>
          <w:color w:val="auto"/>
        </w:rPr>
      </w:pPr>
    </w:p>
    <w:p>
      <w:pPr>
        <w:ind w:left="1460" w:right="20" w:hanging="330"/>
        <w:spacing w:after="0" w:line="250" w:lineRule="auto"/>
        <w:tabs>
          <w:tab w:leader="none" w:pos="1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Faculty and Related Training and Development – GCE provides faculty support including recruitment, training and oversight services to its university partners. Under the direction of our university partners and their academic leadership, we recruit and screen candidates, and schedule faculty based on university partner-created requirements. We evaluate all faculty according to university partner standards and provide evaluation results, if requested.</w:t>
      </w:r>
    </w:p>
    <w:p>
      <w:pPr>
        <w:spacing w:after="0" w:line="2" w:lineRule="exact"/>
        <w:rPr>
          <w:rFonts w:ascii="Arial" w:cs="Arial" w:eastAsia="Arial" w:hAnsi="Arial"/>
          <w:sz w:val="18"/>
          <w:szCs w:val="18"/>
          <w:color w:val="auto"/>
        </w:rPr>
      </w:pPr>
    </w:p>
    <w:p>
      <w:pPr>
        <w:ind w:left="1460" w:right="40" w:hanging="330"/>
        <w:spacing w:after="0" w:line="281" w:lineRule="auto"/>
        <w:tabs>
          <w:tab w:leader="none" w:pos="1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Class Scheduling – GCE has a class scheduling department and has developed a proprietary system to provide these services to our university partners. Our scheduling software provides students the ability to set their class schedule and flexibility to make changes and create opportunities to complete courses in a myriad of online or onsite options. We optimize class size prior to course starts based on university partner standards, in order to maximize class resources and faculty utilization.</w:t>
      </w:r>
    </w:p>
    <w:p>
      <w:pPr>
        <w:spacing w:after="0" w:line="3" w:lineRule="exact"/>
        <w:rPr>
          <w:rFonts w:ascii="Arial" w:cs="Arial" w:eastAsia="Arial" w:hAnsi="Arial"/>
          <w:sz w:val="16"/>
          <w:szCs w:val="16"/>
          <w:color w:val="auto"/>
        </w:rPr>
      </w:pPr>
    </w:p>
    <w:p>
      <w:pPr>
        <w:ind w:left="1460" w:right="320" w:hanging="330"/>
        <w:spacing w:after="0" w:line="273" w:lineRule="auto"/>
        <w:tabs>
          <w:tab w:leader="none" w:pos="1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Skills and Simulation Lab Sites – GCE secures and develops skills labs for use by the four Orbis Education programs including the accelerated Bachelor of Science in Nursing (ABSN). Lab sites are branded for specific university partners and all classrooms, faculty, counselors, staff and specialized equipment are centralized and made accessible to every university partner student.</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We provide counseling services and support including one-on-one admissions, schedule and financial counseling and other support for prospective and current students of our university partners. We offer financial aid processing as well.</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Counseling Services and Support may include the following:</w:t>
      </w:r>
    </w:p>
    <w:p>
      <w:pPr>
        <w:spacing w:after="0" w:line="225" w:lineRule="exact"/>
        <w:rPr>
          <w:sz w:val="20"/>
          <w:szCs w:val="20"/>
          <w:color w:val="auto"/>
        </w:rPr>
      </w:pPr>
    </w:p>
    <w:p>
      <w:pPr>
        <w:ind w:left="1460" w:right="140" w:hanging="330"/>
        <w:spacing w:after="0" w:line="253"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Admissions Services – GCE provides prospective students with transparent information on program requirements, finance options, degree time to completion and net price calculator results in alignment with university partners’ standards. GCE has developed a robust proprietary system to efficiently evaluate transcripts and build schedules for prospective students. GCE processes applications in alignment with university partners’ admission standards and provides reports on those students selected for admission.</w:t>
      </w:r>
    </w:p>
    <w:p>
      <w:pPr>
        <w:spacing w:after="0" w:line="1" w:lineRule="exact"/>
        <w:rPr>
          <w:rFonts w:ascii="Arial" w:cs="Arial" w:eastAsia="Arial" w:hAnsi="Arial"/>
          <w:sz w:val="18"/>
          <w:szCs w:val="18"/>
          <w:color w:val="auto"/>
        </w:rPr>
      </w:pPr>
    </w:p>
    <w:p>
      <w:pPr>
        <w:ind w:left="1460" w:right="100" w:hanging="330"/>
        <w:spacing w:after="0" w:line="250"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Aid – GCE provides financial aid services, including awarding, certifying, originating and disbursing Title IV program funds to students. We deliver Title IV program credit balance refunds to students, process return of Title IV program funds to the federal government when appropriate and provide financial aid counseling and entrance and exit loan counseling to students. Additionally, we prepare required reports, including but not limited to enrollment reporting to the National Student Loan Data system and the Integrated Postsecondary Education Data System. Additionally, GCE has built a proprietary system called the Financial Transparent Degree Plan Calculator, which provides students the cost of their entire program.</w:t>
      </w:r>
    </w:p>
    <w:p>
      <w:pPr>
        <w:spacing w:after="0" w:line="3" w:lineRule="exact"/>
        <w:rPr>
          <w:rFonts w:ascii="Arial" w:cs="Arial" w:eastAsia="Arial" w:hAnsi="Arial"/>
          <w:sz w:val="18"/>
          <w:szCs w:val="18"/>
          <w:color w:val="auto"/>
        </w:rPr>
      </w:pPr>
    </w:p>
    <w:p>
      <w:pPr>
        <w:ind w:left="1460" w:right="140" w:hanging="330"/>
        <w:spacing w:after="0" w:line="268" w:lineRule="auto"/>
        <w:tabs>
          <w:tab w:leader="none" w:pos="1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Counseling Services – GCE provides proactive services to our university partners’ students throughout their matriculation such as schedule building, and financial aid counseling. We provide students an assigned advisor who proactively works with students throughout their matriculation process. We assist students with program changes and communicate with those students throughout their program to help with retention. We provide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using student surveys.</w:t>
      </w:r>
    </w:p>
    <w:p>
      <w:pPr>
        <w:sectPr>
          <w:pgSz w:w="11900" w:h="16838" w:orient="portrait"/>
          <w:cols w:equalWidth="0" w:num="1">
            <w:col w:w="9060"/>
          </w:cols>
          <w:pgMar w:left="1420" w:top="517" w:right="1419"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right="100" w:hanging="330"/>
        <w:spacing w:after="0" w:line="271" w:lineRule="auto"/>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Field Experience Counseling – For university partner students pursuing programs that lead to external credentials (e.g. teaching, nursing, counseling, theology, etc.), GCE leverages a growing nationwide network of approved healthcare facilities, schools, preceptors, and supervisors to ensure that all students are able to meet program-specific requirements. Each student is assigned a counselor before or during their first course, and several prescribed appointments with their counselor are scheduled throughout the student’s program to ensure that all state-specific progression requirements are met well in advance of deadlines. GCE assists in gathering all required documentation, verifying it as official, and storing it as part of the student’s record.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We provide marketing and communication services that include lead acquisition, digital communication strategies, brand identity advertising, media planning and strategy, video, data science and analysis, marketing to potential students and other promotional and communication services.</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The Company’s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university partners.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Marketing and Communication services may include the following:</w:t>
      </w:r>
    </w:p>
    <w:p>
      <w:pPr>
        <w:spacing w:after="0" w:line="225" w:lineRule="exact"/>
        <w:rPr>
          <w:sz w:val="20"/>
          <w:szCs w:val="20"/>
          <w:color w:val="auto"/>
        </w:rPr>
      </w:pPr>
    </w:p>
    <w:p>
      <w:pPr>
        <w:ind w:left="1460" w:right="240" w:hanging="330"/>
        <w:spacing w:after="0" w:line="288"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ind w:left="1460" w:right="200" w:hanging="330"/>
        <w:spacing w:after="0" w:line="250"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Digital Communications Strategy – GCE’s subject matter experts utilize best-in-class technologies through marketing automation, integrated email, SMS text messaging and social media. GCE develops effective communication strategies that encompass the entire student lifecycle from prospect through alumni.</w:t>
      </w:r>
    </w:p>
    <w:p>
      <w:pPr>
        <w:spacing w:after="0" w:line="1" w:lineRule="exact"/>
        <w:rPr>
          <w:rFonts w:ascii="Arial" w:cs="Arial" w:eastAsia="Arial" w:hAnsi="Arial"/>
          <w:sz w:val="18"/>
          <w:szCs w:val="18"/>
          <w:color w:val="auto"/>
        </w:rPr>
      </w:pPr>
    </w:p>
    <w:p>
      <w:pPr>
        <w:jc w:val="both"/>
        <w:ind w:left="1460" w:right="140" w:hanging="330"/>
        <w:spacing w:after="0" w:line="265" w:lineRule="auto"/>
        <w:tabs>
          <w:tab w:leader="none" w:pos="1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Brand Identity – GCE’s award-winning team of specialists have proven track records developing strong brands and ensuring the right image is exposed to the consumer. GCE specializes in storytelling shaped by logo creation, taglines, content development, and custom music.</w:t>
      </w:r>
    </w:p>
    <w:p>
      <w:pPr>
        <w:ind w:left="1460" w:right="180" w:hanging="330"/>
        <w:spacing w:after="0" w:line="250"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Media Planning and Strategy –GCE offers full-service media planning and strategies that are built to grow sophisticated brands through traditional and digital media platforms. GCE understands today’s culture consumes media and we create robust strategies that build long lasting connections with proven results.</w:t>
      </w:r>
    </w:p>
    <w:p>
      <w:pPr>
        <w:spacing w:after="0" w:line="1" w:lineRule="exact"/>
        <w:rPr>
          <w:rFonts w:ascii="Arial" w:cs="Arial" w:eastAsia="Arial" w:hAnsi="Arial"/>
          <w:sz w:val="18"/>
          <w:szCs w:val="18"/>
          <w:color w:val="auto"/>
        </w:rPr>
      </w:pPr>
    </w:p>
    <w:p>
      <w:pPr>
        <w:ind w:left="1460" w:hanging="330"/>
        <w:spacing w:after="0" w:line="250"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Video – GCE’s team of in-house video experts specialize in high-quality content expanding across a wide variety of marketing channels. Capabilities include broadcast-quality commercials, explainer videos, mini- and full-length documentaries, animations, motion graphics, and short, stackable video content for a variety of social media channels. GCE enhances its internal team with preferred partners to help offset workload.</w:t>
      </w:r>
    </w:p>
    <w:p>
      <w:pPr>
        <w:spacing w:after="0" w:line="2" w:lineRule="exact"/>
        <w:rPr>
          <w:rFonts w:ascii="Arial" w:cs="Arial" w:eastAsia="Arial" w:hAnsi="Arial"/>
          <w:sz w:val="18"/>
          <w:szCs w:val="18"/>
          <w:color w:val="auto"/>
        </w:rPr>
      </w:pPr>
    </w:p>
    <w:p>
      <w:pPr>
        <w:ind w:left="1460" w:right="200" w:hanging="330"/>
        <w:spacing w:after="0" w:line="295" w:lineRule="auto"/>
        <w:tabs>
          <w:tab w:leader="none" w:pos="1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Data Science and Analysis – GCE employs a team of in-house data analysis professionals who apply prescriptive analytics to facilitate important business decisions. GCE specializes in all aspects of data science, including predictive modeling, data mining and visualization to enrich today’s technology and data-driven marketplace, while providing the information required for success.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 Office Services</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 addition, we currently provide certain requested back office services to GCU that include finance, human resources, audit, and other corporate functions.</w:t>
      </w:r>
    </w:p>
    <w:p>
      <w:pPr>
        <w:spacing w:after="0" w:line="170" w:lineRule="exact"/>
        <w:rPr>
          <w:sz w:val="20"/>
          <w:szCs w:val="20"/>
          <w:color w:val="auto"/>
        </w:rPr>
      </w:pPr>
    </w:p>
    <w:p>
      <w:pPr>
        <w:ind w:left="1460" w:right="380" w:hanging="330"/>
        <w:spacing w:after="0" w:line="308" w:lineRule="auto"/>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Finance and accounting services include administration of payroll, accounts payable, general ledger, student accounting, financial reporting, budgeting and taxes at the direction of GCU.</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right="180" w:hanging="330"/>
        <w:spacing w:after="0" w:line="291"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Human resources services include administration of performance management, personnel policies, recruitment and onboarding of new personnel, and benefit plan design and procurement, among others.</w:t>
      </w:r>
    </w:p>
    <w:p>
      <w:pPr>
        <w:ind w:left="1460" w:right="300" w:hanging="330"/>
        <w:spacing w:after="0" w:line="250" w:lineRule="auto"/>
        <w:tabs>
          <w:tab w:leader="none" w:pos="1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Audit services include development and administration of a GCU approved annual internal audit plan and execution of the audit plan for the service period.</w:t>
      </w:r>
    </w:p>
    <w:p>
      <w:pPr>
        <w:ind w:left="1460" w:right="460" w:hanging="330"/>
        <w:spacing w:after="0" w:line="323" w:lineRule="auto"/>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Procurement services include management of purchasing and vendor relationships, including travel services, review of vendor contracts, and maintenance of contracts in the procurement system.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As of December 31, 2019, GCE employed approximately 3,400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at December 31, 2019, GCE employed approximately 950 part-time employees most of which are student workers. None of our employees are a party to any collective bargaining or similar agreement with us. We consider our relations with our employees to be good.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Involvement and the Public Good</w:t>
      </w:r>
    </w:p>
    <w:p>
      <w:pPr>
        <w:spacing w:after="0" w:line="229"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Company had developed and is executing on a five-point plan to revitalize its West Phoenix neighborhood in partnership with its client, GCU.</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Increased home values</w:t>
      </w:r>
      <w:r>
        <w:rPr>
          <w:rFonts w:ascii="Arial" w:cs="Arial" w:eastAsia="Arial" w:hAnsi="Arial"/>
          <w:sz w:val="18"/>
          <w:szCs w:val="18"/>
          <w:color w:val="auto"/>
        </w:rPr>
        <w:t>. Together with Habitat for Humanity, we are participating in the largest home renovation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country in the West Phoenix area surrounding GCU’s campus. As of December 31, 2019, 285 different projects have been completed. These efforts, combined with GCU’s expanded presence in the community, resulted in a significant increase in home values in the 85017 zip code.</w:t>
      </w:r>
    </w:p>
    <w:p>
      <w:pPr>
        <w:spacing w:after="0" w:line="18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Job creation</w:t>
      </w:r>
      <w:r>
        <w:rPr>
          <w:rFonts w:ascii="Arial" w:cs="Arial" w:eastAsia="Arial" w:hAnsi="Arial"/>
          <w:sz w:val="18"/>
          <w:szCs w:val="18"/>
          <w:color w:val="auto"/>
        </w:rPr>
        <w:t>. At December 31, 2019, we employed approximately 4,350 persons (including 950 part-time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student workers), which is approximately four times more persons than were employed by GCE in comparable positions eleven years ago. We have launched a number of new business enterprises that reduced costs for GCU, provided management opportunities for recent GCU graduates and employment opportunities for students and neighborhood residents, while spurring economic growth in the area.</w:t>
      </w:r>
    </w:p>
    <w:p>
      <w:pPr>
        <w:spacing w:after="0" w:line="188"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GCE continues to partner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employees also went out into our surrounding neighborhoods to participate in GCU-sponsored programs such as Serve the City, Canyon Kids, Salute Our Troops, Colter Commons senior home visits and the Run to Fight Children’s Cancer.</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also invests in the following activities that benefit the community.</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i w:val="1"/>
          <w:iCs w:val="1"/>
          <w:color w:val="auto"/>
        </w:rPr>
        <w:t xml:space="preserve">Student Tuition Organization contributions. </w:t>
      </w:r>
      <w:r>
        <w:rPr>
          <w:rFonts w:ascii="Arial" w:cs="Arial" w:eastAsia="Arial" w:hAnsi="Arial"/>
          <w:sz w:val="17"/>
          <w:szCs w:val="17"/>
          <w:color w:val="auto"/>
        </w:rPr>
        <w:t>The Company contributes to private school tuition organizations and in 2019</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its annual contribution to $4.0 million from $3.7 million in 2018. Financial contributions are allocated toward tuition assistance and awarding Arizona students with scholarships to attend Arizona private schools.</w:t>
      </w:r>
    </w:p>
    <w:p>
      <w:pPr>
        <w:spacing w:after="0" w:line="166" w:lineRule="exact"/>
        <w:rPr>
          <w:sz w:val="20"/>
          <w:szCs w:val="20"/>
          <w:color w:val="auto"/>
        </w:rPr>
      </w:pPr>
    </w:p>
    <w:p>
      <w:pPr>
        <w:jc w:val="both"/>
        <w:ind w:right="60" w:firstLine="324"/>
        <w:spacing w:after="0" w:line="302" w:lineRule="auto"/>
        <w:rPr>
          <w:sz w:val="20"/>
          <w:szCs w:val="20"/>
          <w:color w:val="auto"/>
        </w:rPr>
      </w:pPr>
      <w:r>
        <w:rPr>
          <w:rFonts w:ascii="Arial" w:cs="Arial" w:eastAsia="Arial" w:hAnsi="Arial"/>
          <w:sz w:val="16"/>
          <w:szCs w:val="16"/>
          <w:i w:val="1"/>
          <w:iCs w:val="1"/>
          <w:color w:val="auto"/>
        </w:rPr>
        <w:t xml:space="preserve">Donate to Elevate. </w:t>
      </w:r>
      <w:r>
        <w:rPr>
          <w:rFonts w:ascii="Arial" w:cs="Arial" w:eastAsia="Arial" w:hAnsi="Arial"/>
          <w:sz w:val="16"/>
          <w:szCs w:val="16"/>
          <w:color w:val="auto"/>
        </w:rPr>
        <w:t>Donate to Elevate is a program that allows employees to contribute money in lieu of state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three projects. This program benefits private schools in Arizona and the partnership with Habitat for Humanity, as well as local public schools and public charter schools through extracurricular activities that require students to pay a fee. Employees are encouraged to designate tax dollars to the school or program of their choice.</w:t>
      </w:r>
    </w:p>
    <w:p>
      <w:pPr>
        <w:spacing w:after="0" w:line="154"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i w:val="1"/>
          <w:iCs w:val="1"/>
          <w:color w:val="auto"/>
        </w:rPr>
        <w:t>Students Inspiring Students</w:t>
      </w:r>
      <w:r>
        <w:rPr>
          <w:rFonts w:ascii="Arial" w:cs="Arial" w:eastAsia="Arial" w:hAnsi="Arial"/>
          <w:sz w:val="16"/>
          <w:szCs w:val="16"/>
          <w:color w:val="auto"/>
        </w:rPr>
        <w:t>. The Company continues to support GCU’s free tutoring/mentoring program that serves</w:t>
      </w:r>
      <w:r>
        <w:rPr>
          <w:rFonts w:ascii="Arial" w:cs="Arial" w:eastAsia="Arial" w:hAnsi="Arial"/>
          <w:sz w:val="16"/>
          <w:szCs w:val="16"/>
          <w:i w:val="1"/>
          <w:iCs w:val="1"/>
          <w:color w:val="auto"/>
        </w:rPr>
        <w:t xml:space="preserve"> </w:t>
      </w:r>
      <w:r>
        <w:rPr>
          <w:rFonts w:ascii="Arial" w:cs="Arial" w:eastAsia="Arial" w:hAnsi="Arial"/>
          <w:sz w:val="16"/>
          <w:szCs w:val="16"/>
          <w:color w:val="auto"/>
        </w:rPr>
        <w:t>Phoenix-area K-12 schools. Students who seek academic assistance in the GCU Learning Lounge may become eligible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 receive the Students Inspiring Students full-tuition scholarship. To serve its client and community, the Company seeks donations to fund this neighborhood scholarship program.</w:t>
      </w:r>
    </w:p>
    <w:p>
      <w:pPr>
        <w:spacing w:after="0" w:line="1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Sponsoring K-12 Educational Development. </w:t>
      </w:r>
      <w:r>
        <w:rPr>
          <w:rFonts w:ascii="Arial" w:cs="Arial" w:eastAsia="Arial" w:hAnsi="Arial"/>
          <w:sz w:val="17"/>
          <w:szCs w:val="17"/>
          <w:color w:val="auto"/>
        </w:rPr>
        <w:t>The Company supports its client’s K-12 Educational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through sponsorship of GCU’s Canyon Professional Development and K-12 Targeted School Assistance programs. Canyon Professional Development offers professional development opportunities for educators and administrators, and their student/parent engagement programs aim to help students become college ready. K-12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178" w:lineRule="exact"/>
        <w:rPr>
          <w:sz w:val="20"/>
          <w:szCs w:val="20"/>
          <w:color w:val="auto"/>
        </w:rPr>
      </w:pPr>
    </w:p>
    <w:p>
      <w:pPr>
        <w:jc w:val="both"/>
        <w:ind w:right="280" w:firstLine="324"/>
        <w:spacing w:after="0" w:line="312" w:lineRule="auto"/>
        <w:rPr>
          <w:sz w:val="20"/>
          <w:szCs w:val="20"/>
          <w:color w:val="auto"/>
        </w:rPr>
      </w:pPr>
      <w:r>
        <w:rPr>
          <w:rFonts w:ascii="Arial" w:cs="Arial" w:eastAsia="Arial" w:hAnsi="Arial"/>
          <w:sz w:val="16"/>
          <w:szCs w:val="16"/>
          <w:i w:val="1"/>
          <w:iCs w:val="1"/>
          <w:color w:val="auto"/>
        </w:rPr>
        <w:t xml:space="preserve">Employee Opportunities for Community Service. </w:t>
      </w:r>
      <w:r>
        <w:rPr>
          <w:rFonts w:ascii="Arial" w:cs="Arial" w:eastAsia="Arial" w:hAnsi="Arial"/>
          <w:sz w:val="16"/>
          <w:szCs w:val="16"/>
          <w:color w:val="auto"/>
        </w:rPr>
        <w:t>The Company’s charitable contribution program offers its full-time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 maximum of 16 hours of PTO annually for community service. This time is used to volunteer at an approved charitable organization. Over 40 organizations are approved for employee volunteerism, including Habitat for Humanity.</w:t>
      </w:r>
    </w:p>
    <w:p>
      <w:pPr>
        <w:spacing w:after="0" w:line="147"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Company’s employees continue to share a commitment to and enthusiasm for GCU-sponsored community service projects, as well as charitable organizations throughout the Valley. Through these activities, our employees have the opportunity to volunteer and provide servant leadership that benefits the surrounding neighborhoods and West Phoenix community.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net revenue and operating results normally fluctuate due to changes in our university partners’ enrollment. See “Management’s Discussion and Analysis of Financial Condition and Results of Operations – Seasonality.”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 marketing and recruitment, enrollment management, curriculum development, online course design, student retention support, technology infrastructure, and student and faculty call center support. Among the largest companies in this sector are Pearson Online Learning Services, Wiley Education Services, and 2U.</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education services market, particularly with regard to those companies that help traditional universities develop new</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degree programs often delivered online, has historically been characterized by a full-service, revenue-sharing model,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premise that most traditional institutions are not only operationally unprepared to offer these programs at scale but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are not equipped to make the significant upfront investments necessary to develop these programs organically.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recent years, an alternative unbundled fee-for-service model has emerged, in which the companies offer the same services,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some subset of services, for the market price of those services. Finally, other industry providers affiliate with university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partners to offer massive open online courses, which are aimed at unlimited participation and open access via the web at little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no cost to the student.</w:t>
      </w:r>
    </w:p>
    <w:p>
      <w:pPr>
        <w:spacing w:after="0" w:line="21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education services market is changing and expanding. It is highly fragmented and subject to evolving technology, shifting needs of students and educators and introductions of new delivery modalities. We believe that the competitive factors in the education services market include:</w:t>
      </w:r>
    </w:p>
    <w:p>
      <w:pPr>
        <w:spacing w:after="0" w:line="181" w:lineRule="exact"/>
        <w:rPr>
          <w:sz w:val="20"/>
          <w:szCs w:val="20"/>
          <w:color w:val="auto"/>
        </w:rPr>
      </w:pPr>
    </w:p>
    <w:p>
      <w:pPr>
        <w:ind w:left="1460" w:hanging="33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 and brand awareness;</w:t>
      </w:r>
    </w:p>
    <w:p>
      <w:pPr>
        <w:spacing w:after="0" w:line="23" w:lineRule="exact"/>
        <w:rPr>
          <w:rFonts w:ascii="Arial" w:cs="Arial" w:eastAsia="Arial" w:hAnsi="Arial"/>
          <w:sz w:val="18"/>
          <w:szCs w:val="18"/>
          <w:color w:val="auto"/>
        </w:rPr>
      </w:pPr>
    </w:p>
    <w:p>
      <w:pPr>
        <w:ind w:left="1460" w:hanging="33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university client base and performance track record;</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marketing and sales efforts;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robustness and evolution of technology solutions;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and depth of services offerings;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hanging="33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23" w:lineRule="exact"/>
        <w:rPr>
          <w:rFonts w:ascii="Arial" w:cs="Arial" w:eastAsia="Arial" w:hAnsi="Arial"/>
          <w:sz w:val="18"/>
          <w:szCs w:val="18"/>
          <w:color w:val="auto"/>
        </w:rPr>
      </w:pPr>
    </w:p>
    <w:p>
      <w:pPr>
        <w:ind w:left="1460" w:hanging="33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of student and faculty experience;</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of programs; and</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were incorporated as a Delaware corporation in 2008 and completed our initial public offering in November 2008. Our principal executive offices are located at 2600 West Camelback Road, Phoenix, Arizona 85017, our telephone number is (602) 247-4400 and our Internet address is www.gce.com.</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 OF OUR EDUCATION SERVICES BUSINESS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Institutions of higher education in America are subject to extensive regulation by state post-secondary, licensure and certification agencies, accrediting commissions, and the federal government through the United States Department of Education (“ED”) under the Higher Education Act (“HEA”). The regulations, standards, and policies of these agencies cover the vast majority of operations of colleges and universities, including educational programs, facilities, instructional and administrative staff, administrative procedures, marketing, recruiting, financial operations, athletics and financial condition.</w:t>
      </w:r>
    </w:p>
    <w:p>
      <w:pPr>
        <w:spacing w:after="0" w:line="158"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HEA and the regulations promulgated thereunder are frequently revised, repealed or expanded.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partners.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ED guidance is subject to frequent change and may impact our business model.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 Transaction, we no longer own and operate an institution of higher education, nor do we directly participate in Title IV programs. Instead, we operate as an education service company to institutions of higher education that do participate in Title IV programs. Nevertheless, we are required to comply with certain regulations promulgated by ED for the following reasons:</w:t>
      </w:r>
    </w:p>
    <w:p>
      <w:pPr>
        <w:spacing w:after="0" w:line="187" w:lineRule="exact"/>
        <w:rPr>
          <w:sz w:val="20"/>
          <w:szCs w:val="20"/>
          <w:color w:val="auto"/>
        </w:rPr>
      </w:pPr>
    </w:p>
    <w:p>
      <w:pPr>
        <w:ind w:left="1000" w:right="140" w:hanging="316"/>
        <w:spacing w:after="0" w:line="255"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operations are subject to regulation by ED due to our university partners’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agency or agencies, be accredited by an accrediting commission recognized by ED, and be certified as an eligible institution by ED.</w:t>
      </w:r>
    </w:p>
    <w:p>
      <w:pPr>
        <w:spacing w:after="0" w:line="189" w:lineRule="exact"/>
        <w:rPr>
          <w:rFonts w:ascii="Arial" w:cs="Arial" w:eastAsia="Arial" w:hAnsi="Arial"/>
          <w:sz w:val="18"/>
          <w:szCs w:val="18"/>
          <w:color w:val="auto"/>
        </w:rPr>
      </w:pPr>
    </w:p>
    <w:p>
      <w:pPr>
        <w:ind w:left="1000" w:hanging="316"/>
        <w:spacing w:after="0" w:line="270"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 a third-party servicer under the HEA and the related regulations, we also have a direct relationship with ED. ED regulates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182" w:lineRule="exact"/>
        <w:rPr>
          <w:sz w:val="20"/>
          <w:szCs w:val="20"/>
          <w:color w:val="auto"/>
        </w:rPr>
      </w:pPr>
    </w:p>
    <w:p>
      <w:pPr>
        <w:ind w:left="1660" w:right="140" w:hanging="327"/>
        <w:spacing w:after="0" w:line="253" w:lineRule="auto"/>
        <w:tabs>
          <w:tab w:leader="none" w:pos="1660" w:val="left"/>
        </w:tabs>
        <w:numPr>
          <w:ilvl w:val="0"/>
          <w:numId w:val="15"/>
        </w:numPr>
        <w:rPr>
          <w:rFonts w:ascii="Courier New" w:cs="Courier New" w:eastAsia="Courier New" w:hAnsi="Courier New"/>
          <w:sz w:val="18"/>
          <w:szCs w:val="18"/>
          <w:color w:val="auto"/>
        </w:rPr>
      </w:pPr>
      <w:r>
        <w:rPr>
          <w:rFonts w:ascii="Arial" w:cs="Arial" w:eastAsia="Arial" w:hAnsi="Arial"/>
          <w:sz w:val="18"/>
          <w:szCs w:val="18"/>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190" w:lineRule="exact"/>
        <w:rPr>
          <w:rFonts w:ascii="Courier New" w:cs="Courier New" w:eastAsia="Courier New" w:hAnsi="Courier New"/>
          <w:sz w:val="18"/>
          <w:szCs w:val="18"/>
          <w:color w:val="auto"/>
        </w:rPr>
      </w:pPr>
    </w:p>
    <w:p>
      <w:pPr>
        <w:ind w:left="1660" w:right="260" w:hanging="327"/>
        <w:spacing w:after="0" w:line="270" w:lineRule="auto"/>
        <w:tabs>
          <w:tab w:leader="none" w:pos="166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80" w:lineRule="exact"/>
        <w:rPr>
          <w:rFonts w:ascii="Courier New" w:cs="Courier New" w:eastAsia="Courier New" w:hAnsi="Courier New"/>
          <w:sz w:val="17"/>
          <w:szCs w:val="17"/>
          <w:color w:val="auto"/>
        </w:rPr>
      </w:pPr>
    </w:p>
    <w:p>
      <w:pPr>
        <w:ind w:left="1660" w:right="100" w:hanging="327"/>
        <w:spacing w:after="0" w:line="272" w:lineRule="auto"/>
        <w:tabs>
          <w:tab w:leader="none" w:pos="1660" w:val="left"/>
        </w:tabs>
        <w:numPr>
          <w:ilvl w:val="0"/>
          <w:numId w:val="15"/>
        </w:numPr>
        <w:rPr>
          <w:rFonts w:ascii="Courier New" w:cs="Courier New" w:eastAsia="Courier New" w:hAnsi="Courier New"/>
          <w:sz w:val="17"/>
          <w:szCs w:val="17"/>
          <w:color w:val="auto"/>
        </w:rPr>
      </w:pPr>
      <w:r>
        <w:rPr>
          <w:rFonts w:ascii="Arial" w:cs="Arial" w:eastAsia="Arial" w:hAnsi="Arial"/>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77"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We are also subject to a number of data security and privacy regulations given our role as a third-party service provider, the compliance with which can materially impact our business model. In addition, as more fully described below, we are subject to some of the regulations imposed on our university partners by virtue of the nature of the services we provide.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area is evolving, however, and the scope of services covered by regulations may change.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REGULATION OF OUR UNIVERSITY PARTNERS</w:t>
      </w:r>
    </w:p>
    <w:p>
      <w:pPr>
        <w:spacing w:after="0" w:line="229"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Our current university partners and all likely future university partners are required to be authorized by appropriate state post-secondary, licensure, and certification authorities. In addition, in order to participate in the federal student financial aid programs, our university partners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w:t>
      </w:r>
    </w:p>
    <w:p>
      <w:pPr>
        <w:sectPr>
          <w:pgSz w:w="11900" w:h="16838" w:orient="portrait"/>
          <w:cols w:equalWidth="0" w:num="1">
            <w:col w:w="9040"/>
          </w:cols>
          <w:pgMar w:left="1420" w:top="517" w:right="14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by ED to review and monitor many aspects of an institution’s operations and to take appropriate action if the institution fails to meet the accrediting commission’s standards.</w:t>
      </w:r>
    </w:p>
    <w:p>
      <w:pPr>
        <w:spacing w:after="0" w:line="17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While we no longer own and operate an institution of higher education, nor do we directly participate in Title IV programs, regulatory matters that materially affect GCU and our other university partners will, necessarily, have a material impact on us. The following section describes regulatory matters that affect our university partners and that may affect us an education service company to institutions of higher education generally.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Post-Secondary Education Regulation</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university partners are authorized to offer education by the relevant state authorizing agencies for the state in which the client is located. For example, GCU, our most significant university partner, is authorized to offer programs by the Arizona State Board for Private Postsecondary Education, the regulatory agency governing private post-secondary educational institutions in the State of Arizona, where it is located. This authorization is very important to our university partners and, as a result, to our business. To maintain their state authorization, our university partners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university partners’ failure to comply with the requirements of a state regulatory agency could result in our university partners’ losing their ability to offer educational programs, which would cause our university partners to lose their eligibility to participate in the Title IV programs and could force them, and us, to cease operations. Alternatively, a state regulatory body could restrict our university partners’ ability to offer new or certain degree and non-degree programs, which may impair our ability to grow.</w:t>
      </w:r>
    </w:p>
    <w:p>
      <w:pPr>
        <w:spacing w:after="0" w:line="18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ED requirements many schools have applied and sought to become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has been granted membership in SARA in Arizona (AZ-SARA), which is administered by the Western Interstate Commission for Higher Education (referred to as W-SARA). There is a yearly renewal for participating in NC-SARA and AZ-SARA and institutions must agree to meet certain requirements to participate. As of December 31, 2019, all states other than California are members of SARA.</w:t>
      </w:r>
    </w:p>
    <w:p>
      <w:pPr>
        <w:spacing w:after="0" w:line="178" w:lineRule="exact"/>
        <w:rPr>
          <w:sz w:val="20"/>
          <w:szCs w:val="20"/>
          <w:color w:val="auto"/>
        </w:rPr>
      </w:pPr>
    </w:p>
    <w:p>
      <w:pPr>
        <w:jc w:val="both"/>
        <w:ind w:right="520" w:firstLine="324"/>
        <w:spacing w:after="0" w:line="288" w:lineRule="auto"/>
        <w:rPr>
          <w:sz w:val="20"/>
          <w:szCs w:val="20"/>
          <w:color w:val="auto"/>
        </w:rPr>
      </w:pPr>
      <w:r>
        <w:rPr>
          <w:rFonts w:ascii="Arial" w:cs="Arial" w:eastAsia="Arial" w:hAnsi="Arial"/>
          <w:sz w:val="16"/>
          <w:szCs w:val="16"/>
          <w:color w:val="auto"/>
        </w:rPr>
        <w:t>Any state that does not participate in SARA may impose regulatory requirements on out-of-state higher education institutions operating within their boundaries, such as those having a physical facility or conducting certain academic activities within the state. GCU, for example, currently enrolls students in all 50 states and the District of Columbia.</w:t>
      </w:r>
    </w:p>
    <w:p>
      <w:pPr>
        <w:ind w:right="20"/>
        <w:spacing w:after="0" w:line="252" w:lineRule="auto"/>
        <w:rPr>
          <w:sz w:val="20"/>
          <w:szCs w:val="20"/>
          <w:color w:val="auto"/>
        </w:rPr>
      </w:pPr>
      <w:r>
        <w:rPr>
          <w:rFonts w:ascii="Arial" w:cs="Arial" w:eastAsia="Arial" w:hAnsi="Arial"/>
          <w:sz w:val="18"/>
          <w:szCs w:val="18"/>
          <w:color w:val="auto"/>
        </w:rPr>
        <w:t>Although it is currently licensed, authorized, in-process, or exempt in all non-SARA jurisdictions in which it operates, if it fails to comply with state licensing or authorization requirements for a state, or fails to obtain licenses or authorizations when required, it could lose its state license or authorization by that state or be subject to other sanctions, including restrictions on our activities in, and fines and penalties imposed by, that state, as well as fines, penalties, and sanctions imposed by ED. The loss of licensure or authorization by a university partner in any non-SARA state could prohibit us from recruiting prospective students or offering services to current students in that state on behalf of such university partner, which could significantly affect our business.</w:t>
      </w:r>
    </w:p>
    <w:p>
      <w:pPr>
        <w:spacing w:after="0" w:line="193"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Individual state laws establish standards in areas such as instruction, qualifications of faculty, administrative procedures, marketing, recruiting, financial operations, and other operational matters. To the extent required with respect to an educational service category covered by our contractual relationship, we expect to assist our university partners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university partners from expanding or operating in those states, limiting our ability to serve our university partners, which could significantly affect our business.</w:t>
      </w:r>
    </w:p>
    <w:p>
      <w:pPr>
        <w:sectPr>
          <w:pgSz w:w="11900" w:h="16838" w:orient="portrait"/>
          <w:cols w:equalWidth="0" w:num="1">
            <w:col w:w="9060"/>
          </w:cols>
          <w:pgMar w:left="1420" w:top="517" w:right="141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Many states have specific requirements that an individual must satisfy in order to be licensed as a professional in specified fields, including fields such as healthcare, education,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71" w:lineRule="exact"/>
        <w:rPr>
          <w:sz w:val="20"/>
          <w:szCs w:val="20"/>
          <w:color w:val="auto"/>
        </w:rPr>
      </w:pPr>
    </w:p>
    <w:p>
      <w:pPr>
        <w:ind w:left="1460" w:right="20" w:hanging="330"/>
        <w:spacing w:after="0" w:line="258"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1" w:lineRule="exact"/>
        <w:rPr>
          <w:rFonts w:ascii="Arial" w:cs="Arial" w:eastAsia="Arial" w:hAnsi="Arial"/>
          <w:sz w:val="18"/>
          <w:szCs w:val="18"/>
          <w:color w:val="auto"/>
        </w:rPr>
      </w:pPr>
    </w:p>
    <w:p>
      <w:pPr>
        <w:ind w:left="1460" w:right="100" w:hanging="330"/>
        <w:spacing w:after="0" w:line="250"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ind w:left="1460" w:hanging="330"/>
        <w:spacing w:after="0"/>
        <w:tabs>
          <w:tab w:leader="none" w:pos="1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whether the institution and the program are accredited and, if so, by what accrediting commissions; and</w:t>
      </w:r>
    </w:p>
    <w:p>
      <w:pPr>
        <w:spacing w:after="0" w:line="32" w:lineRule="exact"/>
        <w:rPr>
          <w:rFonts w:ascii="Arial" w:cs="Arial" w:eastAsia="Arial" w:hAnsi="Arial"/>
          <w:sz w:val="16"/>
          <w:szCs w:val="16"/>
          <w:color w:val="auto"/>
        </w:rPr>
      </w:pPr>
    </w:p>
    <w:p>
      <w:pPr>
        <w:ind w:left="1460" w:hanging="330"/>
        <w:spacing w:after="0"/>
        <w:tabs>
          <w:tab w:leader="none" w:pos="1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the institution’s degrees are recognized by other states in which a student may seek to work.</w:t>
      </w:r>
    </w:p>
    <w:p>
      <w:pPr>
        <w:spacing w:after="0" w:line="200" w:lineRule="exact"/>
        <w:rPr>
          <w:sz w:val="20"/>
          <w:szCs w:val="20"/>
          <w:color w:val="auto"/>
        </w:rPr>
      </w:pPr>
    </w:p>
    <w:p>
      <w:pPr>
        <w:spacing w:after="0" w:line="238"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Many states also require that graduates pass a state test or examination as a prerequisite to becoming certified in certain fields, such as nursing and teaching. Many states will certify individuals if they have already been certified in another state.</w:t>
      </w:r>
    </w:p>
    <w:p>
      <w:pPr>
        <w:spacing w:after="0" w:line="124"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Prior to opening a new site, Orbis Education’s university partners often require approval from the applicable state board to offer its programs at that location. This can delay the site opening and timing can vary based on the state and the university partner.</w:t>
      </w:r>
    </w:p>
    <w:p>
      <w:pPr>
        <w:spacing w:after="0" w:line="181"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Although not directly regulated by these entities, we must be mindful of the requirements placed by state professional licensure bodies on our university partner institutions to ensure those institutions maintain that licensure.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229"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6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Our most significant university partner, GCU has been regionally accredited by the HLC and its predecessor since 1968, most recently obtaining reaccreditation in 2017 for the ten-year period through 2027. The HLC is a regional accrediting agency recognized by the Secretary of Education and accredits entire institutions of higher education.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college.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17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University partners other than GCU may be accredited by different accrediting bodies that are likely to have standards that are different from those of the HLC. Moreover, other university partners may also hold various programmatic accreditations that set additional requirements related to specific programs. As we work with university partners in different regions we will need to work with those accrediting bodies and tailor our services to meet the requirements of those accreditors.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18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university partners are subject to extensive oversight and review. Because ED periodically revises its regulations and changes its interpretations of existing laws and regulations, we cannot predict with certainty how the Title IV program requirements will be applied in all circumstances to our university partners or to us directly.</w:t>
      </w:r>
    </w:p>
    <w:p>
      <w:pPr>
        <w:spacing w:after="0" w:line="193"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17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i w:val="1"/>
          <w:iCs w:val="1"/>
          <w:color w:val="auto"/>
        </w:rPr>
        <w:t xml:space="preserve">Congressional action. </w:t>
      </w:r>
      <w:r>
        <w:rPr>
          <w:rFonts w:ascii="Arial" w:cs="Arial" w:eastAsia="Arial" w:hAnsi="Arial"/>
          <w:sz w:val="18"/>
          <w:szCs w:val="18"/>
          <w:color w:val="auto"/>
        </w:rPr>
        <w:t>Congress must reauthorize the HEA on a periodic basis, usually every five to six years,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most recent reauthorization occurred in August 2008. The reauthorized HEA 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university partners to participate in the Title IV programs could reduce the ability of some students to finance their education at our university partner institutions and materially decrease their student enrollment.</w:t>
      </w:r>
    </w:p>
    <w:p>
      <w:pPr>
        <w:spacing w:after="0" w:line="19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i w:val="1"/>
          <w:iCs w:val="1"/>
          <w:color w:val="auto"/>
        </w:rPr>
        <w:t xml:space="preserve">Eligibility and certification procedures. </w:t>
      </w:r>
      <w:r>
        <w:rPr>
          <w:rFonts w:ascii="Arial" w:cs="Arial" w:eastAsia="Arial" w:hAnsi="Arial"/>
          <w:sz w:val="18"/>
          <w:szCs w:val="18"/>
          <w:color w:val="auto"/>
        </w:rPr>
        <w:t>Each institution must apply periodically to ED for continued certification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Title IV programs. Such recertification generally is required every six years, but may be required earlier, including when an institution undergoes a change in control. To the extent ED suspends, limits, modifies, conditions, or terminates any client institution’s eligibility to participate in the Title IV programs, that action is likely to have a negative impact on our business. Indeed, this could range from disallowing the institution from adding new programs or terminating the institution from Title IV eligibility.</w:t>
      </w:r>
    </w:p>
    <w:p>
      <w:pPr>
        <w:spacing w:after="0" w:line="19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Transaction resulted in a change in control of our most significant university partner, GCU, following which it began operating as a non-profit university and necessitating the application by GCU to ED for approval of the change in control and for a new program participation agreement. In November 2019, GCU received a new provisional program participation agreement, which granted GCU the ability to participate in the Title IV programs on a provisional basis through September 30, 2022. ED also informed GCU at that time, however, that GCU does not satisfy ED’s definition of a nonprofit institution and, as a result, that ED will continue to treat GCU as a proprietary institution for purposes of its continued participation in Title IV programs See “Risk Factors – Risks Related to Our Business - ED’s determination to treat GCU as a proprietary institution for Title IV, HEA purposes could adversely impact GCU’s enrollment.”</w:t>
      </w:r>
    </w:p>
    <w:p>
      <w:pPr>
        <w:spacing w:after="0" w:line="17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i w:val="1"/>
          <w:iCs w:val="1"/>
          <w:color w:val="auto"/>
        </w:rPr>
        <w:t xml:space="preserve">Administrative capability. </w:t>
      </w:r>
      <w:r>
        <w:rPr>
          <w:rFonts w:ascii="Arial" w:cs="Arial" w:eastAsia="Arial" w:hAnsi="Arial"/>
          <w:sz w:val="18"/>
          <w:szCs w:val="18"/>
          <w:color w:val="auto"/>
        </w:rPr>
        <w:t>ED regulations specify extensive criteria by which an institution must establish that it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requisite “administrative capability” to participate in the Title IV programs. To meet the administrative capability standards, an institution must, among other things:</w:t>
      </w:r>
    </w:p>
    <w:p>
      <w:pPr>
        <w:spacing w:after="0" w:line="181" w:lineRule="exact"/>
        <w:rPr>
          <w:sz w:val="20"/>
          <w:szCs w:val="20"/>
          <w:color w:val="auto"/>
        </w:rPr>
      </w:pPr>
    </w:p>
    <w:p>
      <w:pPr>
        <w:ind w:left="1460" w:hanging="33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23" w:lineRule="exact"/>
        <w:rPr>
          <w:rFonts w:ascii="Arial" w:cs="Arial" w:eastAsia="Arial" w:hAnsi="Arial"/>
          <w:sz w:val="18"/>
          <w:szCs w:val="18"/>
          <w:color w:val="auto"/>
        </w:rPr>
      </w:pPr>
    </w:p>
    <w:p>
      <w:pPr>
        <w:ind w:left="1460" w:hanging="33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9" w:lineRule="exact"/>
        <w:rPr>
          <w:rFonts w:ascii="Arial" w:cs="Arial" w:eastAsia="Arial" w:hAnsi="Arial"/>
          <w:sz w:val="18"/>
          <w:szCs w:val="18"/>
          <w:color w:val="auto"/>
        </w:rPr>
      </w:pPr>
    </w:p>
    <w:p>
      <w:pPr>
        <w:ind w:left="1460" w:right="520" w:hanging="330"/>
        <w:spacing w:after="0" w:line="261"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have various procedures in place for awarding, disbursing and safeguarding Title IV funds and for maintaining required records;</w:t>
      </w:r>
    </w:p>
    <w:p>
      <w:pPr>
        <w:sectPr>
          <w:pgSz w:w="11900" w:h="16838" w:orient="portrait"/>
          <w:cols w:equalWidth="0" w:num="1">
            <w:col w:w="9040"/>
          </w:cols>
          <w:pgMar w:left="1420" w:top="517" w:right="14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hanging="330"/>
        <w:spacing w:after="0"/>
        <w:tabs>
          <w:tab w:leader="none" w:pos="1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administer the Title IV programs with adequate checks and balances in its system of internal controls;</w:t>
      </w:r>
    </w:p>
    <w:p>
      <w:pPr>
        <w:spacing w:after="0" w:line="46" w:lineRule="exact"/>
        <w:rPr>
          <w:rFonts w:ascii="Arial" w:cs="Arial" w:eastAsia="Arial" w:hAnsi="Arial"/>
          <w:sz w:val="16"/>
          <w:szCs w:val="16"/>
          <w:color w:val="auto"/>
        </w:rPr>
      </w:pPr>
    </w:p>
    <w:p>
      <w:pPr>
        <w:ind w:left="1460" w:right="140" w:hanging="330"/>
        <w:spacing w:after="0" w:line="250"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ind w:left="1460" w:hanging="33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9" w:lineRule="exact"/>
        <w:rPr>
          <w:rFonts w:ascii="Arial" w:cs="Arial" w:eastAsia="Arial" w:hAnsi="Arial"/>
          <w:sz w:val="18"/>
          <w:szCs w:val="18"/>
          <w:color w:val="auto"/>
        </w:rPr>
      </w:pPr>
    </w:p>
    <w:p>
      <w:pPr>
        <w:ind w:left="1460" w:right="200" w:hanging="330"/>
        <w:spacing w:after="0" w:line="250"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1" w:lineRule="exact"/>
        <w:rPr>
          <w:rFonts w:ascii="Arial" w:cs="Arial" w:eastAsia="Arial" w:hAnsi="Arial"/>
          <w:sz w:val="18"/>
          <w:szCs w:val="18"/>
          <w:color w:val="auto"/>
        </w:rPr>
      </w:pPr>
    </w:p>
    <w:p>
      <w:pPr>
        <w:ind w:left="1460" w:hanging="33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As an education services company, we assist our university partners with some facets of these criteria. As such, we must be mindful of, and compliant with, the administrative capability requirements. If an institution fails to satisfy any of these criteria, ED may:</w:t>
      </w:r>
    </w:p>
    <w:p>
      <w:pPr>
        <w:spacing w:after="0" w:line="190" w:lineRule="exact"/>
        <w:rPr>
          <w:sz w:val="20"/>
          <w:szCs w:val="20"/>
          <w:color w:val="auto"/>
        </w:rPr>
      </w:pPr>
    </w:p>
    <w:p>
      <w:pPr>
        <w:ind w:left="1460" w:hanging="330"/>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23" w:lineRule="exact"/>
        <w:rPr>
          <w:rFonts w:ascii="Arial" w:cs="Arial" w:eastAsia="Arial" w:hAnsi="Arial"/>
          <w:sz w:val="18"/>
          <w:szCs w:val="18"/>
          <w:color w:val="auto"/>
        </w:rPr>
      </w:pPr>
    </w:p>
    <w:p>
      <w:pPr>
        <w:ind w:left="1460" w:right="640" w:hanging="330"/>
        <w:spacing w:after="0" w:line="250"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ind w:left="1460" w:hanging="330"/>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commence a proceeding to impose a fine or to limit, suspend or terminate the institution’s participation in</w:t>
      </w:r>
    </w:p>
    <w:p>
      <w:pPr>
        <w:spacing w:after="0" w:line="3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Title IV programs.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Imposition of these sanctions could have a negative impact on our ability to conduct our business.</w:t>
      </w:r>
    </w:p>
    <w:p>
      <w:pPr>
        <w:spacing w:after="0" w:line="21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HEA and ED regulations establish extensive standards of financial responsibility that</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institutions 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193" w:lineRule="exact"/>
        <w:rPr>
          <w:sz w:val="20"/>
          <w:szCs w:val="20"/>
          <w:color w:val="auto"/>
        </w:rPr>
      </w:pPr>
    </w:p>
    <w:p>
      <w:pPr>
        <w:ind w:left="1460" w:hanging="330"/>
        <w:spacing w:after="0"/>
        <w:tabs>
          <w:tab w:leader="none" w:pos="1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equity ratio, which measures the institution’s capital resources, financial viability and ability to borrow;</w:t>
      </w:r>
    </w:p>
    <w:p>
      <w:pPr>
        <w:spacing w:after="0" w:line="34" w:lineRule="exact"/>
        <w:rPr>
          <w:rFonts w:ascii="Arial" w:cs="Arial" w:eastAsia="Arial" w:hAnsi="Arial"/>
          <w:sz w:val="17"/>
          <w:szCs w:val="17"/>
          <w:color w:val="auto"/>
        </w:rPr>
      </w:pPr>
    </w:p>
    <w:p>
      <w:pPr>
        <w:ind w:left="1460" w:right="680" w:hanging="330"/>
        <w:spacing w:after="0" w:line="250"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ind w:left="1460" w:hanging="330"/>
        <w:spacing w:after="0"/>
        <w:tabs>
          <w:tab w:leader="none" w:pos="1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income ratio, which measures the institution’s ability to operate at a profit or within its means.</w:t>
      </w:r>
    </w:p>
    <w:p>
      <w:pPr>
        <w:spacing w:after="0" w:line="222" w:lineRule="exact"/>
        <w:rPr>
          <w:sz w:val="20"/>
          <w:szCs w:val="20"/>
          <w:color w:val="auto"/>
        </w:rPr>
      </w:pPr>
    </w:p>
    <w:p>
      <w:pPr>
        <w:ind w:right="560" w:firstLine="324"/>
        <w:spacing w:after="0" w:line="291" w:lineRule="auto"/>
        <w:rPr>
          <w:sz w:val="20"/>
          <w:szCs w:val="20"/>
          <w:color w:val="auto"/>
        </w:rPr>
      </w:pPr>
      <w:r>
        <w:rPr>
          <w:rFonts w:ascii="Arial" w:cs="Arial" w:eastAsia="Arial" w:hAnsi="Arial"/>
          <w:sz w:val="16"/>
          <w:szCs w:val="16"/>
          <w:color w:val="auto"/>
        </w:rPr>
        <w:t>ED assigns a strength factor to the results of each of these ratios on a scale from negative 1.0 to positive 3.0, with negative 1.0 reflecting financial weakness and positive 3.0 reflecting financial strength. ED then assigns a</w:t>
      </w:r>
    </w:p>
    <w:p>
      <w:pPr>
        <w:ind w:right="20"/>
        <w:spacing w:after="0" w:line="269" w:lineRule="auto"/>
        <w:rPr>
          <w:sz w:val="20"/>
          <w:szCs w:val="20"/>
          <w:color w:val="auto"/>
        </w:rPr>
      </w:pPr>
      <w:r>
        <w:rPr>
          <w:rFonts w:ascii="Arial" w:cs="Arial" w:eastAsia="Arial" w:hAnsi="Arial"/>
          <w:sz w:val="17"/>
          <w:szCs w:val="17"/>
          <w:color w:val="auto"/>
        </w:rPr>
        <w:t>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18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As a education service company,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number of programs it offers or the number of students it enrolls, any of which sanctions on our university partners could also adversely affect our business.</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most significant university partner, GCU, calculated its first composite score following the Transaction with respect to its fiscal year ending June 30, 2019, which score must be provided to ED by March 31, 2020. As of June 30, 2019, GCU’s composite score was 2.2 using the proprietary school calculation methodology. If GCU’s future composite scores do not exceed 1.5, ED could impose sanctions. If any such sanctions were imposed, it could have a negative impact on our ability to conduct our business.</w:t>
      </w:r>
    </w:p>
    <w:p>
      <w:pPr>
        <w:spacing w:after="0" w:line="18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 xml:space="preserve">Return of Title IV funds for students who withdraw. </w:t>
      </w:r>
      <w:r>
        <w:rPr>
          <w:rFonts w:ascii="Arial" w:cs="Arial" w:eastAsia="Arial" w:hAnsi="Arial"/>
          <w:sz w:val="17"/>
          <w:szCs w:val="17"/>
          <w:color w:val="auto"/>
        </w:rPr>
        <w:t>When a student who has received Title IV program funds withdraws</w:t>
      </w:r>
      <w:r>
        <w:rPr>
          <w:rFonts w:ascii="Arial" w:cs="Arial" w:eastAsia="Arial" w:hAnsi="Arial"/>
          <w:sz w:val="17"/>
          <w:szCs w:val="17"/>
          <w:i w:val="1"/>
          <w:iCs w:val="1"/>
          <w:color w:val="auto"/>
        </w:rPr>
        <w:t xml:space="preserve"> </w:t>
      </w:r>
      <w:r>
        <w:rPr>
          <w:rFonts w:ascii="Arial" w:cs="Arial" w:eastAsia="Arial" w:hAnsi="Arial"/>
          <w:sz w:val="17"/>
          <w:szCs w:val="17"/>
          <w:color w:val="auto"/>
        </w:rPr>
        <w:t>from 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To the extent our services for a university partner include conducting returns to Title IV, as they do with GCU, we would likely be jointly and severally liable to ED, along with the relevant university partner, for return of those funds.</w:t>
      </w:r>
    </w:p>
    <w:p>
      <w:pPr>
        <w:spacing w:after="0" w:line="18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 xml:space="preserve">The ”90/10 Rule.” </w:t>
      </w:r>
      <w:r>
        <w:rPr>
          <w:rFonts w:ascii="Arial" w:cs="Arial" w:eastAsia="Arial" w:hAnsi="Arial"/>
          <w:sz w:val="17"/>
          <w:szCs w:val="17"/>
          <w:color w:val="auto"/>
        </w:rPr>
        <w:t>A requirement of the Higher Education Act, commonly referred to as the “90/10 Rule,”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only to proprietary, post-secondary educational institutions,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8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Using the Department of Education’s cash-basis, regulatory formula under the 90/10 Rule as currently in effect, GCU, our most significant client, derived approximately 73.0%, of its 90/10 Rule revenue from Title IV program funds for the fiscal year ended June 30, 2019. Accordingly, even if ED continues to treat GCU as a proprietary institution for nonprofit purposes, we do not expect this rule to have any material impact on GCU.</w:t>
      </w:r>
    </w:p>
    <w:p>
      <w:pPr>
        <w:spacing w:after="0" w:line="18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HEA, an educational institution may lose its eligibility to participate in some or all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Title IV programs if defaults by its students on the repayment of their federal student loans exceed certain levels. For each federal fiscal year, ED calculates a rate of student defaults for each institution (known as a “cohort default rate”). The rate is calculated by determining the rate at which borrowers who became subject to their repayment obligation in one federal fiscal year default in that same year or by the end of the second year following the first federal fiscal year (the “three-year method”).</w:t>
      </w:r>
    </w:p>
    <w:p>
      <w:pPr>
        <w:spacing w:after="0" w:line="193"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participate in the relevant programs for the remainder of the fiscal year in which the institution receives the notification or for the next two fiscal years. If an institution’s cohort default rate for any single federal fiscal year equals or exceeds 30%, ED may place the institution on provisional certification status.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While we cannot directly influence a university partner’s cohort default rates, and do not provide default rate management services, in the course of performing services for a university partner we would work to assist such university partner in ensuring that its cohort default rates do not present a compliance risk under this regulation. Nonetheless, if a university partner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19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i w:val="1"/>
          <w:iCs w:val="1"/>
          <w:color w:val="auto"/>
        </w:rPr>
        <w:t xml:space="preserve">Incentive compensation rule. </w:t>
      </w:r>
      <w:r>
        <w:rPr>
          <w:rFonts w:ascii="Arial" w:cs="Arial" w:eastAsia="Arial" w:hAnsi="Arial"/>
          <w:sz w:val="17"/>
          <w:szCs w:val="17"/>
          <w:color w:val="auto"/>
        </w:rPr>
        <w:t>An institution that participates in the Title IV programs may not provide any commission,</w:t>
      </w:r>
      <w:r>
        <w:rPr>
          <w:rFonts w:ascii="Arial" w:cs="Arial" w:eastAsia="Arial" w:hAnsi="Arial"/>
          <w:sz w:val="17"/>
          <w:szCs w:val="17"/>
          <w:i w:val="1"/>
          <w:iCs w:val="1"/>
          <w:color w:val="auto"/>
        </w:rPr>
        <w:t xml:space="preserve"> </w:t>
      </w:r>
      <w:r>
        <w:rPr>
          <w:rFonts w:ascii="Arial" w:cs="Arial" w:eastAsia="Arial" w:hAnsi="Arial"/>
          <w:sz w:val="17"/>
          <w:szCs w:val="17"/>
          <w:color w:val="auto"/>
        </w:rPr>
        <w:t>bonus, or other incentive payment based directly or indirectly on success in securing enrollments or financial aid to any person or entity engaged in any student recruitment, admissions, or financial aid awarding activity. In its program participation agreement with ED, each higher education institution agrees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rule, we are prohibited from offering our covered employees, who are those employees involved with or responsible for recruiting or admissions activities, any bonus or incentive-based compensation based on the successful recruitment, admission or enrollment of students into a postsecondary institution. We are also precluded from offering our covered employees who work on financial aid matters (if any), any bonus or incentive-based compensation based on the award of financial aid to students enrolled in a postsecondary institution.</w:t>
      </w:r>
    </w:p>
    <w:p>
      <w:pPr>
        <w:spacing w:after="0" w:line="18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addition, the incentive compensation rule raises a question as to whether companies like ours, as an entity, are prohibited from entering into tuition revenue-sharing arrangements with university partners. On March 17, 2011, ED issued official agency guidance, known as a "Dear Colleague Letter," or a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80" w:lineRule="exact"/>
        <w:rPr>
          <w:sz w:val="20"/>
          <w:szCs w:val="20"/>
          <w:color w:val="auto"/>
        </w:rPr>
      </w:pPr>
    </w:p>
    <w:p>
      <w:pPr>
        <w:ind w:left="660" w:right="100"/>
        <w:spacing w:after="0" w:line="254" w:lineRule="auto"/>
        <w:rPr>
          <w:sz w:val="20"/>
          <w:szCs w:val="20"/>
          <w:color w:val="auto"/>
        </w:rPr>
      </w:pPr>
      <w:r>
        <w:rPr>
          <w:rFonts w:ascii="Arial" w:cs="Arial" w:eastAsia="Arial" w:hAnsi="Arial"/>
          <w:sz w:val="18"/>
          <w:szCs w:val="18"/>
          <w:color w:val="auto"/>
        </w:rPr>
        <w:t>"A third-party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92"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DCL guidance indicates that an arrangement that complies with Example 2-B will be deemed to be in compliance with the incentive compensation provisions of the HEA and ED’s regulations. Our business model and contractual arrangements with our university partners closely follow Example 2-B in the DCL. In addition, we assure that none of our "covered employees" is paid any bonus or other incentive compensation in violation of the rule.</w:t>
      </w:r>
    </w:p>
    <w:p>
      <w:pPr>
        <w:spacing w:after="0" w:line="171"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court could invalidate the rule in an action involving our company or our university partners, or in action that does not involve us at all. The revision, removal or invalidation of the bundled services rule by Congress, ED or a court could require us to change our business model.</w:t>
      </w:r>
    </w:p>
    <w:p>
      <w:pPr>
        <w:spacing w:after="0" w:line="18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addition, we have requested guidance from ED that our specific model is proper under the incentive compensation rule and that our company is not an “affiliate” of GCU for purposes of the DCL. We are awaiting a response to this guidance request. See “Risk Factors – Risks Related to Our Business - If we are determined to have paid improper incentive compensation to our covered employees, or tuition sharing arrangements are deemed to violate the incentive compensation regulations, our business will be impaired.”</w:t>
      </w:r>
    </w:p>
    <w:p>
      <w:pPr>
        <w:spacing w:after="0" w:line="188"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i w:val="1"/>
          <w:iCs w:val="1"/>
          <w:color w:val="auto"/>
        </w:rPr>
        <w:t>Borrower Defense to Repayment regulations</w:t>
      </w:r>
      <w:r>
        <w:rPr>
          <w:rFonts w:ascii="Arial" w:cs="Arial" w:eastAsia="Arial" w:hAnsi="Arial"/>
          <w:sz w:val="17"/>
          <w:szCs w:val="17"/>
          <w:color w:val="auto"/>
        </w:rPr>
        <w:t>. ED has long had a regulation that establishes standards for borrowers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govern their ability to raise defenses to their obligation to repay certain Title IV loans, which defenses were based on certain acts or omissions of the institution that relate to the making of the loan for enrollment at the school or the provision of educational services for which the loan was provided and that gave rise to a cause of action under state law against the school. This regulation currently applies to all loans first disbursed prior to July 1, 2017.</w:t>
      </w:r>
    </w:p>
    <w:p>
      <w:pPr>
        <w:spacing w:after="0" w:line="17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2016, ED published a regulatory package related to “Borrower Defense to Repayment.” This was a highly consequential rule that, among other things, would make it easier for borrowers – individually or in groups – to extinguish, in whole or in part, their student loans based on whether:</w:t>
      </w:r>
    </w:p>
    <w:p>
      <w:pPr>
        <w:spacing w:after="0" w:line="181" w:lineRule="exact"/>
        <w:rPr>
          <w:sz w:val="20"/>
          <w:szCs w:val="20"/>
          <w:color w:val="auto"/>
        </w:rPr>
      </w:pPr>
    </w:p>
    <w:p>
      <w:pPr>
        <w:ind w:left="680" w:hanging="320"/>
        <w:spacing w:after="0" w:line="277"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borrower or a governmental agency, has obtained against the school a nondefault, favorable contested judgment based on state or federal law in a court of administrative tribunal.</w:t>
      </w:r>
    </w:p>
    <w:p>
      <w:pPr>
        <w:spacing w:after="0" w:line="170" w:lineRule="exact"/>
        <w:rPr>
          <w:rFonts w:ascii="Arial" w:cs="Arial" w:eastAsia="Arial" w:hAnsi="Arial"/>
          <w:sz w:val="18"/>
          <w:szCs w:val="18"/>
          <w:color w:val="auto"/>
        </w:rPr>
      </w:pPr>
    </w:p>
    <w:p>
      <w:pPr>
        <w:ind w:left="680" w:hanging="320"/>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institution failed to perform its obligations under the terms of a contract with the student.</w:t>
      </w:r>
    </w:p>
    <w:p>
      <w:pPr>
        <w:spacing w:after="0" w:line="225" w:lineRule="exact"/>
        <w:rPr>
          <w:rFonts w:ascii="Arial" w:cs="Arial" w:eastAsia="Arial" w:hAnsi="Arial"/>
          <w:sz w:val="18"/>
          <w:szCs w:val="18"/>
          <w:color w:val="auto"/>
        </w:rPr>
      </w:pPr>
    </w:p>
    <w:p>
      <w:pPr>
        <w:ind w:left="680" w:right="420" w:hanging="320"/>
        <w:spacing w:after="0" w:line="276" w:lineRule="auto"/>
        <w:tabs>
          <w:tab w:leader="none" w:pos="6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school or any of its representatives (including contractors) or any institution, organization, or person with whom the school has an agreement to provide educational programs, or to provide marketing, advertising, recruiting or admissions services, made a substantial misrepresentation (as defined by ED regulations) that the borrower reasonably relied on to the borrower’s detriment when the borrower decided to attend, or to continue attending, the school or decided to take out a Direct Loan.</w:t>
      </w:r>
    </w:p>
    <w:p>
      <w:pPr>
        <w:spacing w:after="0" w:line="17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These regulations also established separate procedures for claims initiated for individual borrowers and claims initiated for groups of borrowers as well as separate procedures in the event that the institution is open or closed. The rules established varying, borrower-favorable statutes of limitations for the initiation of claims and, in some cases, imposed an unlimited statute of limitations. If the ED official or hearing official approves the borrower’s defense to repayment through the applicable administrative process established in the proposed regulations, ED may discharge the borrower’s obligation to repay some or all of the borrower’s student loans, may return to the borrower amounts already paid by the borrower toward the discharged portion of the loan, and may initiate a separate proceeding to collect the discharged and returned amounts from the institution.</w:t>
      </w:r>
    </w:p>
    <w:p>
      <w:pPr>
        <w:spacing w:after="0" w:line="192"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Although ED attempted to prevent the effectiveness of these regulations, an October 2018 court decision mandated that the Borrower Defense to Repayment regulations that were originally published by ED in 2016 are now in effect and apply to loans first disbursed after July 1, 2017 and (because of recent regulatory developments) prior to July 1, 2020.</w:t>
      </w:r>
    </w:p>
    <w:p>
      <w:pPr>
        <w:spacing w:after="0" w:line="147"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On September 23, 2019, ED published new regulations related to the “Borrower Defense to Repayment” regulations. These regulations, which are effective July 1, 2020 modify the existing regulations to now permit borrowers to raise as a defense to repayment on a student loan any statement, act, or omission to a borrower that is false, misleading, or deceptive; made with knowledge of its false, misleading, or deceptive nature or with a reckless disregard for the truth; and directly and clearly related to the making of a Direct Loan for enrollment at the school or the provision of educational services for which the loan was made. Among other things, the new regulations modify the procedures and standards for borrowers to assert through an ED-administered process a defense to the borrowers’ obligation to repay certain Title IV loans first disbursed on or after July 1, 2020, based on certain acts or omissions by the institution or a covered party. The procedures establish a process for students to obtain a loan discharge by establishing by a preponderance of the evidence that the institution made a misrepresentation of material fact, upon which the borrower</w:t>
      </w:r>
    </w:p>
    <w:p>
      <w:pPr>
        <w:sectPr>
          <w:pgSz w:w="11900" w:h="16838" w:orient="portrait"/>
          <w:cols w:equalWidth="0" w:num="1">
            <w:col w:w="9060"/>
          </w:cols>
          <w:pgMar w:left="1420" w:top="517" w:right="141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reasonably relied in deciding to obtain a covered loan, where such misrepresentation directly and clearly relates to enrollment or continuing enrollment at the institution or to the provision of educational services for which the loan was made, and where the borrower was financially harmed by the misrepresentation. The regulations establish revised definitions for misrepresentation and financial harm, identify a nonexclusive list of items that may be evidence that a misrepresentation occurred, identify a list of items that do not constitute a basis for a defense to repayment. The regulations also set forth rules on a limitations period for submitting claims and circumstances for extending this period, on the requirements for submitting an application for a discharge, on the consideration of the application by ED, on the opportunities for the institution to respond and submit evidence, and on the process for discharging the borrower’s loan and for ED to seek recovery of the discharged amounts from the institution.</w:t>
      </w:r>
    </w:p>
    <w:p>
      <w:pPr>
        <w:spacing w:after="0" w:line="18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current Borrower Defense to Repayment regulations, which are scheduled to remain in effect until July 1, 2020, revise the financial responsibility regulations to expand the list of actions or events that would require an institution to provide ED with a letter of credit or another form of acceptable financial protection and potentially be subject to other conditions and requirements. The specified list of events is extensive and includes events that ED contends might result in actual or potential debts, liabilities or losses and other events that ED contends might result in the institution being unable to meet all of its financial obligations and otherwise provide the administrative resources necessary to comply with the Title IV programs. The current regulations require institutions to notify ED and current and prospective students within specified timeframes of the occurrence of one or more of these events. If one or more of these events occur, ED recalculates the institution’s composite score by estimating the amount of actual and potential losses resulting from the events and determining whether the recalculated composite score is less than 1.0 and the institution fails the financial responsibility standards as a result. The current regulations could require institutions we service – like GCU – to submit a letter of credit or other form of acceptable financial protection and accept other conditions or requirements. This could put financial strain on our university partners and negatively affect our business.</w:t>
      </w:r>
    </w:p>
    <w:p>
      <w:pPr>
        <w:spacing w:after="0" w:line="188"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The regulations published on September 23, 2019 with an effective date of July 1, 2020 shorten and reduce the scope of the list of events that could result in ED determining that an institution has failed ED’s financial responsibility standards and requiring a letter of credit or other form of acceptable financial protection and the acceptance of other conditions or requirements. Specifically, the regulations establish revised lists of mandatory triggering events and discretionary triggering events. The regulation also establishes discretionary triggering events for which ED may determine that an institution is not able to meet its financial or administrative obligations if the events are likely to have a material adverse effect on the financial condition of the institution. The regulations require the institution to notify ED of the occurrence of a mandatory or discretionary event in accordance with procedures established by ED, typically within 10 days of the occurrence of the event with certain exceptions. ED may make a determination that an institution fails to meet the financial responsibility standards based on the occurrence of one or more mandatory or discretionary triggers and impose a letter of credit and/or other conditions upon the institution. As with the 2016 version of this rule, the 2019 version of the regulations could require institutions we service – like GCU – to submit a letter of credit or other form of acceptable financial protection and accept other conditions or requirements. This could put financial strain on our university partners and negatively affect our business.</w:t>
      </w:r>
    </w:p>
    <w:p>
      <w:pPr>
        <w:spacing w:after="0" w:line="18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Note, the borrower defense to repayment regulations discussed herein were and are extensive and this does not attempt to discuss all the facets of any of the versions of these regulations.</w:t>
      </w:r>
    </w:p>
    <w:p>
      <w:pPr>
        <w:spacing w:after="0" w:line="170"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Our client institutions are subject to announced and unannounced compliance reviews and audits</w:t>
      </w:r>
      <w:r>
        <w:rPr>
          <w:rFonts w:ascii="Arial" w:cs="Arial" w:eastAsia="Arial" w:hAnsi="Arial"/>
          <w:sz w:val="16"/>
          <w:szCs w:val="16"/>
          <w:i w:val="1"/>
          <w:iCs w:val="1"/>
          <w:color w:val="auto"/>
        </w:rPr>
        <w:t xml:space="preserve"> </w:t>
      </w:r>
      <w:r>
        <w:rPr>
          <w:rFonts w:ascii="Arial" w:cs="Arial" w:eastAsia="Arial" w:hAnsi="Arial"/>
          <w:sz w:val="16"/>
          <w:szCs w:val="16"/>
          <w:color w:val="auto"/>
        </w:rPr>
        <w:t>by 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167"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As a third-party servicer, not only are our university partners subject to reviews and audits that may require our involvement, but we are also subject to program reviews from ED and the Office of the Inspector General. Further, we</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also have an obligation to annually submit to ED a Title IV compliance audit conducted by an independent certified public accountant in accordance with applicable federal and ED audit standards.</w:t>
      </w:r>
    </w:p>
    <w:p>
      <w:pPr>
        <w:spacing w:after="0" w:line="170"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i w:val="1"/>
          <w:iCs w:val="1"/>
          <w:color w:val="auto"/>
        </w:rPr>
        <w:t xml:space="preserve">Gainful employment rules. </w:t>
      </w:r>
      <w:r>
        <w:rPr>
          <w:rFonts w:ascii="Arial" w:cs="Arial" w:eastAsia="Arial" w:hAnsi="Arial"/>
          <w:sz w:val="16"/>
          <w:szCs w:val="16"/>
          <w:color w:val="auto"/>
        </w:rPr>
        <w:t>Under the HEA, proprietary schools are eligible to participate in Title IV programs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educational programs that lead to “gainful employment in a recognized occupation,” with the limited exception of qualified programs leading to a bachelor’s degree in liberal arts. ED attempted to define this in a series of regulations from 2010 to 2016. On July 1, 2019, ED rescinded the previously enacted gainful employment regulations. While this change is effective July 1, 2020, ED also permitted institutions to enact this change as early as July 1, 2019, so long as any such institution made manifest its intention to be subject to the rescinded regulations. It is our understanding that GCU had made manifest that intention and, as of July 1, 2019, is no longer subject the gainful employment rules. While GCU largely complied with the previously published gainful employment rules, the previously published draft rates did indicate that four current degree programs were in the “Zone” – that is, potentially faced sanctions in the future if GCU could not reform the program to comply with the regulations – including three undergraduate education programs and the Masters in Theology.</w:t>
      </w:r>
    </w:p>
    <w:p>
      <w:pPr>
        <w:spacing w:after="0" w:line="169"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i w:val="1"/>
          <w:iCs w:val="1"/>
          <w:color w:val="auto"/>
        </w:rPr>
        <w:t>Substantial misrepresentation</w:t>
      </w:r>
      <w:r>
        <w:rPr>
          <w:rFonts w:ascii="Arial" w:cs="Arial" w:eastAsia="Arial" w:hAnsi="Arial"/>
          <w:sz w:val="16"/>
          <w:szCs w:val="16"/>
          <w:color w:val="auto"/>
        </w:rPr>
        <w:t>. The HEA prohibits an institution that participates in Title IV programs from engaging in</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misrepresentation” of the nature of its educational program, its financial charges, or the 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16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16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subcontractors.</w:t>
      </w:r>
    </w:p>
    <w:p>
      <w:pPr>
        <w:spacing w:after="0" w:line="167"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Despite our best efforts, we may face complaints from students and prospective students of our university partners over statements made by us and our agents throughout the conduct of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Federal Trade Commission, or FTC, applies similar rules prohibiting any unfair or deceptive marketing practices to the education sector. If ED or another regulator determines that statements made by us or on our behalf are in violation of the regulations, we could be subject to sanctions and other liability, which could have a material adverse effect on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Many actions that our university partners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7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and, similarly, is not required to obtain advance approval for new programs that prepare students for gainful employment in the same or a related recognized occupation as an educational program that has previously been designated by ED as an eligible program at that institution if it meets certain minimum-length requirements. GCU, because it is currently certified to participate in the Title IV programs through September 30, 2022, is required to obtain ED approval for new programs, which requirement could impede GCU’s ability to introduce new programs and slow its growth.</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8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Item 8,</w:t>
      </w:r>
      <w:r>
        <w:rPr>
          <w:rFonts w:ascii="Arial" w:cs="Arial" w:eastAsia="Arial" w:hAnsi="Arial"/>
          <w:sz w:val="18"/>
          <w:szCs w:val="18"/>
          <w:i w:val="1"/>
          <w:iCs w:val="1"/>
          <w:color w:val="auto"/>
        </w:rPr>
        <w:t xml:space="preserve"> Consolidated Financial Statements and Supplementary Data, </w:t>
      </w:r>
      <w:r>
        <w:rPr>
          <w:rFonts w:ascii="Arial" w:cs="Arial" w:eastAsia="Arial" w:hAnsi="Arial"/>
          <w:sz w:val="18"/>
          <w:szCs w:val="18"/>
          <w:color w:val="auto"/>
        </w:rPr>
        <w:t>including the related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r>
        <w:rPr>
          <w:rFonts w:ascii="Arial" w:cs="Arial" w:eastAsia="Arial" w:hAnsi="Arial"/>
          <w:sz w:val="18"/>
          <w:szCs w:val="18"/>
          <w:i w:val="1"/>
          <w:iCs w:val="1"/>
          <w:color w:val="auto"/>
        </w:rPr>
        <w:t>.</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Upon the consummation of the Transaction with GCU on July 1, 2018 (as discussed in “Part I. Business - The Transaction”), we became a third-party provider of education services to GCU, our only university partner during 2018. On January 22, 2019, we completed the acquisition of Orbis Education, an education services company that supports healthcare education programs for 22 university partners across the United States. While we currently provide services to 22 university partners across the United States, GCU is, and will for the foreseeable future remain, our most significant university partner. Given that our revenue from operations during 2018 was derived entirely from GCU, and that our revenue from operations will continue to be derived substantially from our contractual relationship with GCU for the foreseeable future, the risk factors set forth below include risks attributable to GCU operating as a non-profit university, which could materially affect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A large percentage of our revenue is attributable to our contractual relationship as a service provider to GCU, and the loss of, or a decline in enrollment in, GCU programs could significantly reduce our revenue and impact our overall financial performance.</w:t>
      </w:r>
    </w:p>
    <w:p>
      <w:pPr>
        <w:spacing w:after="0" w:line="18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expect the programs of GCU to account for a large percentage of our revenue for the foreseeable future. Any decline in reputation or changes in policies of GCU could adversely affect its student enrollment and its overall financial and operating results, which could materially impact us. Furthermore, GCU has the right to terminate the Master Services Agreement early after the later of seven (7) years or the payment in full of the Secured Note and, upon the expiration of the Management Services Agreement, GCU is not required to continue using us as the provider of the services set forth thereunder. If GCU were to terminate or not renew its relationship with us, or if certain of the programs</w:t>
      </w:r>
    </w:p>
    <w:p>
      <w:pPr>
        <w:sectPr>
          <w:pgSz w:w="11900" w:h="16838" w:orient="portrait"/>
          <w:cols w:equalWidth="0" w:num="1">
            <w:col w:w="9060"/>
          </w:cols>
          <w:pgMar w:left="1420" w:top="517" w:right="141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with GCU pursuant to the Master Services Agreement were to materially underperform for any reason, it could negatively affect our reputation, revenue and future operating results.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GCU’s board of trustees and management have fiduciary and other duties that require them to focus on the best interests of GCU and, over time, those interests could diverge from those of the Company.</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GCU is a separate non-profit entity under the control of an independent board of trustees, none of whose members have ever served in a management or corporate board role at the Company. Accordingly, the Company’s relationship with GCU, both pursuant to the Master Services Agreement and operationally, is no longer as owner and operator, but as a third-party service provider to an independent customer. While the Company believes that its relationship with GCU will remain strong, GCU’s board of trustees and management have fiduciary and other duties that require them to focus on the best interests of GCU and, over time, those interests could diverge from those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Chief Executive Officer’s role as President of GCU may adversely affect his ability to run the Company</w:t>
      </w:r>
      <w:r>
        <w:rPr>
          <w:rFonts w:ascii="Arial" w:cs="Arial" w:eastAsia="Arial" w:hAnsi="Arial"/>
          <w:sz w:val="17"/>
          <w:szCs w:val="17"/>
          <w:color w:val="auto"/>
        </w:rPr>
        <w:t>.</w:t>
      </w:r>
    </w:p>
    <w:p>
      <w:pPr>
        <w:spacing w:after="0" w:line="23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Mr. Brian E. Mueller has served as the Chief Executive Officer of the Company since 2008, the Chairman of the Board of the Company since 2017 and the President of GCU since 2012. In connection with the Transaction, the Board of Directors of the Company and the board of trustees of GCU each determined that Mr. Mueller should retain those roles. Accordingly, Mr. Mueller serves as the Chairman of the Board and Chief Executive Officer of the Company and as the President of GCU, although he is prohibited from serving on the board of trustees of GCU. Our Board and the board of trustees of GCU each recognized that Mr. Mueller’s dual role could raise conflict of interest issues. Accordingly, at the time of the Transaction, GCU adopted governance provisions that prohibit Mr. Mueller from serving on the board of trustees of GCU. We also jointly imposed a structure, through GCU’s governance documents and through express provisions of the Master Services Agreement, that prevent Mr. Mueller from participating in day-to-day management of, or negotiations between the Company and GCU relating to, the Master Services Agreement. In addition, Mr. Mueller’s dual capacity may at times adversely affect his ability to devote time, attention, and effort to the Company.</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purchase price for the Transferred Assets in the Transaction was paid in the form of a senior Secured Note, and our ability to realize the negotiated value of the acquired assets is subject to GCU’s performance and its ability to pay amounts due under the Secured Note as they come due.</w:t>
      </w:r>
    </w:p>
    <w:p>
      <w:pPr>
        <w:spacing w:after="0" w:line="181" w:lineRule="exact"/>
        <w:rPr>
          <w:sz w:val="20"/>
          <w:szCs w:val="20"/>
          <w:color w:val="auto"/>
        </w:rPr>
      </w:pPr>
    </w:p>
    <w:p>
      <w:pPr>
        <w:ind w:right="100" w:firstLine="324"/>
        <w:spacing w:after="0" w:line="286" w:lineRule="auto"/>
        <w:rPr>
          <w:sz w:val="20"/>
          <w:szCs w:val="20"/>
          <w:color w:val="auto"/>
        </w:rPr>
      </w:pPr>
      <w:r>
        <w:rPr>
          <w:rFonts w:ascii="Arial" w:cs="Arial" w:eastAsia="Arial" w:hAnsi="Arial"/>
          <w:sz w:val="16"/>
          <w:szCs w:val="16"/>
          <w:color w:val="auto"/>
        </w:rPr>
        <w:t>GCU paid the purchase price for the Transferred Assets by issuing to the Company a Secured Note that is governed by the Credit Agreement between the Company and GCU. The Credit Agreement contains customary commercial credit terms, including affirmative and negative covenants applicable to GCU, and provides that the Secured Note bears interest at an annual rate of 6.0%, has a maturity date of June 30, 2025, and is secured by all of the assets of GCU. The Secured</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provides for GCU to make interest only payments during the term, with all principal and accrued and unpaid interest due at maturity and also provides that the Company will lend additional amounts to GCU to fund GCU-approved capital expenditures during the first three years of the term. Our ability to realize the negotiated value of the acquired assets depends on GCU’s performance and its ability to pay amounts due under the Secured Note as they come due.</w:t>
      </w:r>
    </w:p>
    <w:p>
      <w:pPr>
        <w:spacing w:after="0" w:line="1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GCU were to lose its ability to continue participating in the Title IV programs, its students would lose their access to Title IV program funds.</w:t>
      </w:r>
    </w:p>
    <w:p>
      <w:pPr>
        <w:spacing w:after="0" w:line="17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On November 6, 2019, ED informed GCU that it had approved the Transaction and granted to GCU a provisional Program Participation Agreement (PPA), permitting GCU to participate in Title IV, HEA programs on a provisional basis for the period through September 30, 2022. This PPA, which was automatically granted on a provisional basis due to the fact that the Transaction constituted a change of control of GCU, was granted without any requirement to post a letter of credit or any growth restrictions. Accordingly, GCU is authorized to participate in Title IV, HEA programs for the stated period. GCU will need to reapply for certification on or before June 30, 2022 to continue its participation in the Title IV HEA programs and, at that time, a determination will be made whether GCU meets the requirements for full certification. There can be no assurance that ED will recertify GCU or that it will not impose conditions or other restrictions on GCU as a condition of granting GCU a provisional certification following its change in control. If, at such</w:t>
      </w:r>
    </w:p>
    <w:p>
      <w:pPr>
        <w:sectPr>
          <w:pgSz w:w="11900" w:h="16838" w:orient="portrait"/>
          <w:cols w:equalWidth="0" w:num="1">
            <w:col w:w="9040"/>
          </w:cols>
          <w:pgMar w:left="1420" w:top="517" w:right="14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time as GCU seeks renewal of the PPA in 2022, ED does not renew or withdraws the certification of GCU to participate in the Title IV programs, or if such certification is withdrawn at any other time, GCU’s students would no longer be able to receive Title IV program funds. Similarly, ED could renew GCU’s certification, but restrict or delay its students receipt of Title IV funds, limit the students to whom it could disburse funds, or place other restrictions on the university. Any of these outcomes would have a material adverse effect on GCU and on us.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ED’s determination to treat GCU as a proprietary institution for Title IV, HEA purposes could adversely impact GCU’s enrollment.</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November 6, 2019, in connection with its approval of the Transaction, ED also informed GCU that GCU does not satisfy ED’s definition of a nonprofit entity and, as a result, that ED will continue to treat GCU as a proprietary institution for purposes of its continued participation in Title IV programs. While the Company does not believe that ED’s determination will impact GCU’s ability to meet all regulatory requirements applicable to proprietary institutions, the determination, if upheld, would have the impact of limiting GCU’s ability to identify itself as a nonprofit university in its advertising or other materials. Such a limitation could harm GCU’s ability to compete against other nonprofit universities for students and could have a material adverse effect on its enrollment and, consequently, on its and our financial condition, results of operations and cash flows.</w:t>
      </w:r>
    </w:p>
    <w:p>
      <w:pPr>
        <w:spacing w:after="0" w:line="192" w:lineRule="exact"/>
        <w:rPr>
          <w:sz w:val="20"/>
          <w:szCs w:val="20"/>
          <w:color w:val="auto"/>
        </w:rPr>
      </w:pPr>
    </w:p>
    <w:p>
      <w:pPr>
        <w:ind w:right="720"/>
        <w:spacing w:after="0" w:line="381" w:lineRule="auto"/>
        <w:rPr>
          <w:sz w:val="20"/>
          <w:szCs w:val="20"/>
          <w:color w:val="auto"/>
        </w:rPr>
      </w:pPr>
      <w:r>
        <w:rPr>
          <w:rFonts w:ascii="Arial" w:cs="Arial" w:eastAsia="Arial" w:hAnsi="Arial"/>
          <w:sz w:val="15"/>
          <w:szCs w:val="15"/>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101"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Current regulations provide that higher education institutions agree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regulation, we are prohibited from offering our covered employees, which are those involved with or responsible for recruiting or admissions activities,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w:t>
      </w:r>
    </w:p>
    <w:p>
      <w:pPr>
        <w:spacing w:after="0" w:line="17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In addition, the regulation raises a question as to whether companies like ours, as an entity, are prohibited from entering into tuition revenue-sharing arrangements with university clients.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2-B in the DCL is described as a "possible business model" developed "with the statutory mandate in mind." Example 2-B describes the following as a possible business model:</w:t>
      </w:r>
    </w:p>
    <w:p>
      <w:pPr>
        <w:spacing w:after="0" w:line="173" w:lineRule="exact"/>
        <w:rPr>
          <w:sz w:val="20"/>
          <w:szCs w:val="20"/>
          <w:color w:val="auto"/>
        </w:rPr>
      </w:pPr>
    </w:p>
    <w:p>
      <w:pPr>
        <w:ind w:left="660" w:right="80"/>
        <w:spacing w:after="0" w:line="254" w:lineRule="auto"/>
        <w:rPr>
          <w:sz w:val="20"/>
          <w:szCs w:val="20"/>
          <w:color w:val="auto"/>
        </w:rPr>
      </w:pPr>
      <w:r>
        <w:rPr>
          <w:rFonts w:ascii="Arial" w:cs="Arial" w:eastAsia="Arial" w:hAnsi="Arial"/>
          <w:sz w:val="18"/>
          <w:szCs w:val="18"/>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ectPr>
          <w:pgSz w:w="11900" w:h="16838" w:orient="portrait"/>
          <w:cols w:equalWidth="0" w:num="1">
            <w:col w:w="9040"/>
          </w:cols>
          <w:pgMar w:left="1420" w:top="517" w:right="14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DCL guidance indicates that an arrangement that complies with Example 2-B will be deemed to be in compliance with the incentive compensation provisions of the HEA and ED’s regulations. Our business model and contractual arrangements with our university client closely follow Example 2-B in the DCL. In addition, we assure that none of our "covered employees" is paid any bonus or other incentive compensation in violation of the rule.</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clients, or in action that does not involve us at all. The revision, removal or invalidation of the bundled services rule by Congress, ED or a court could require us to change our business model.</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have difficulty integrating future acquisitions, which would reduce the anticipated benefits of those transactions and the Acquisition.</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addition to our Acquisition of Orbis Education, we intend to continually evaluate potential acquisitions of complementary businesses, products, services and technologies, including those that are significant in size and scope. The risks we may encounter in acquisitions include:</w:t>
      </w:r>
    </w:p>
    <w:p>
      <w:pPr>
        <w:spacing w:after="0" w:line="181" w:lineRule="exact"/>
        <w:rPr>
          <w:sz w:val="20"/>
          <w:szCs w:val="20"/>
          <w:color w:val="auto"/>
        </w:rPr>
      </w:pPr>
    </w:p>
    <w:p>
      <w:pPr>
        <w:ind w:left="1460" w:hanging="330"/>
        <w:spacing w:after="0" w:line="258"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incur significant debt to finance a future acquisition and our business does not perform as expected, we may have difficulty complying with debt covenants;</w:t>
      </w:r>
    </w:p>
    <w:p>
      <w:pPr>
        <w:spacing w:after="0" w:line="1" w:lineRule="exact"/>
        <w:rPr>
          <w:rFonts w:ascii="Arial" w:cs="Arial" w:eastAsia="Arial" w:hAnsi="Arial"/>
          <w:sz w:val="18"/>
          <w:szCs w:val="18"/>
          <w:color w:val="auto"/>
        </w:rPr>
      </w:pPr>
    </w:p>
    <w:p>
      <w:pPr>
        <w:ind w:left="1460" w:right="800" w:hanging="330"/>
        <w:spacing w:after="0" w:line="250"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make a future acquisition which is in our best interest due to our existing indebtedness;</w:t>
      </w:r>
    </w:p>
    <w:p>
      <w:pPr>
        <w:ind w:left="1460" w:hanging="330"/>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use our stock to make a future acquisition, it will dilute existing stockholders;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difficulty assimilating the operations and personnel of any acquired company;</w:t>
      </w:r>
    </w:p>
    <w:p>
      <w:pPr>
        <w:spacing w:after="0" w:line="9" w:lineRule="exact"/>
        <w:rPr>
          <w:rFonts w:ascii="Arial" w:cs="Arial" w:eastAsia="Arial" w:hAnsi="Arial"/>
          <w:sz w:val="18"/>
          <w:szCs w:val="18"/>
          <w:color w:val="auto"/>
        </w:rPr>
      </w:pPr>
    </w:p>
    <w:p>
      <w:pPr>
        <w:ind w:left="1460" w:right="880" w:hanging="330"/>
        <w:spacing w:after="0" w:line="250"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challenge and additional investment involved with integrating new products, services and technologies into our sales and marketing process;</w:t>
      </w:r>
    </w:p>
    <w:p>
      <w:pPr>
        <w:ind w:left="1460" w:hanging="330"/>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ongoing business may be disrupted by transition and integration issues;</w:t>
      </w:r>
    </w:p>
    <w:p>
      <w:pPr>
        <w:spacing w:after="0" w:line="9" w:lineRule="exact"/>
        <w:rPr>
          <w:rFonts w:ascii="Arial" w:cs="Arial" w:eastAsia="Arial" w:hAnsi="Arial"/>
          <w:sz w:val="18"/>
          <w:szCs w:val="18"/>
          <w:color w:val="auto"/>
        </w:rPr>
      </w:pPr>
    </w:p>
    <w:p>
      <w:pPr>
        <w:ind w:left="1460" w:right="600" w:hanging="330"/>
        <w:spacing w:after="0" w:line="250"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and complexity of integrating the internal information technology infrastructure of each acquired business with ours may be greater than expected and may require additional capital investments;</w:t>
      </w:r>
    </w:p>
    <w:p>
      <w:pPr>
        <w:spacing w:after="0" w:line="1" w:lineRule="exact"/>
        <w:rPr>
          <w:rFonts w:ascii="Arial" w:cs="Arial" w:eastAsia="Arial" w:hAnsi="Arial"/>
          <w:sz w:val="18"/>
          <w:szCs w:val="18"/>
          <w:color w:val="auto"/>
        </w:rPr>
      </w:pPr>
    </w:p>
    <w:p>
      <w:pPr>
        <w:ind w:left="1460" w:hanging="330"/>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unable to achieve the financial and strategic goals for any acquired businesses;</w:t>
      </w:r>
    </w:p>
    <w:p>
      <w:pPr>
        <w:spacing w:after="0" w:line="9" w:lineRule="exact"/>
        <w:rPr>
          <w:rFonts w:ascii="Arial" w:cs="Arial" w:eastAsia="Arial" w:hAnsi="Arial"/>
          <w:sz w:val="18"/>
          <w:szCs w:val="18"/>
          <w:color w:val="auto"/>
        </w:rPr>
      </w:pPr>
    </w:p>
    <w:p>
      <w:pPr>
        <w:ind w:left="1460" w:right="620" w:hanging="330"/>
        <w:spacing w:after="0" w:line="250"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difficulty in maintaining controls, procedures and policies during the transition and integration period following a future acquisition;</w:t>
      </w:r>
    </w:p>
    <w:p>
      <w:pPr>
        <w:ind w:left="1460" w:hanging="330"/>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relationships with existing clients could be adversely affected; and</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successor we may be subject to certain liabilities of our acquisition targets.</w:t>
      </w:r>
    </w:p>
    <w:p>
      <w:pPr>
        <w:spacing w:after="0" w:line="21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Our failure to effectively integrate any future acquisition would adversely affect the benefit of such transaction, including potential synergies or sales growth opportunities, in the time frame anticipated.</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in part, on the effectiveness of our marketing and advertising programs in recruiting new students.</w:t>
      </w:r>
    </w:p>
    <w:p>
      <w:pPr>
        <w:spacing w:after="0" w:line="233"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Building awareness of GCU and any other university partner institution, and the programs they offer, is critical to our ability to attract prospective students. It is also critical to our success that we convert prospective students to enrolled students in a cost-effective manner and that these enrolled students remain active in the programs of our client institutions. Some of the factors that could prevent us from successfully recruiting, enrolling, and retaining students in those programs include:</w:t>
      </w:r>
    </w:p>
    <w:p>
      <w:pPr>
        <w:spacing w:after="0" w:line="148" w:lineRule="exact"/>
        <w:rPr>
          <w:sz w:val="20"/>
          <w:szCs w:val="20"/>
          <w:color w:val="auto"/>
        </w:rPr>
      </w:pPr>
    </w:p>
    <w:p>
      <w:pPr>
        <w:ind w:left="1460" w:right="100" w:hanging="330"/>
        <w:spacing w:after="0" w:line="258"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 respect to GCU, ED’s determination to treat GCU as a proprietary institution for Title IV purposes, which could impact our ability to recruit students to GCU;</w:t>
      </w:r>
    </w:p>
    <w:p>
      <w:pPr>
        <w:spacing w:after="0" w:line="1" w:lineRule="exact"/>
        <w:rPr>
          <w:rFonts w:ascii="Arial" w:cs="Arial" w:eastAsia="Arial" w:hAnsi="Arial"/>
          <w:sz w:val="18"/>
          <w:szCs w:val="18"/>
          <w:color w:val="auto"/>
        </w:rPr>
      </w:pPr>
    </w:p>
    <w:p>
      <w:pPr>
        <w:ind w:left="1460" w:right="60" w:hanging="330"/>
        <w:spacing w:after="0" w:line="261"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reduced availability of, or higher interest rates and other costs associated with, Title IV loan funds or other sources of financial aid;</w:t>
      </w:r>
    </w:p>
    <w:p>
      <w:pPr>
        <w:sectPr>
          <w:pgSz w:w="11900" w:h="16838" w:orient="portrait"/>
          <w:cols w:equalWidth="0" w:num="1">
            <w:col w:w="9040"/>
          </w:cols>
          <w:pgMar w:left="1420" w:top="517" w:right="14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60" w:hanging="33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23" w:lineRule="exact"/>
        <w:rPr>
          <w:rFonts w:ascii="Arial" w:cs="Arial" w:eastAsia="Arial" w:hAnsi="Arial"/>
          <w:sz w:val="18"/>
          <w:szCs w:val="18"/>
          <w:color w:val="auto"/>
        </w:rPr>
      </w:pPr>
    </w:p>
    <w:p>
      <w:pPr>
        <w:ind w:left="1460" w:right="120" w:hanging="330"/>
        <w:spacing w:after="0" w:line="250"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ind w:left="1460" w:hanging="33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client institutions to maintain institutional and specialized accreditations;</w:t>
      </w:r>
    </w:p>
    <w:p>
      <w:pPr>
        <w:spacing w:after="0" w:line="9" w:lineRule="exact"/>
        <w:rPr>
          <w:rFonts w:ascii="Arial" w:cs="Arial" w:eastAsia="Arial" w:hAnsi="Arial"/>
          <w:sz w:val="18"/>
          <w:szCs w:val="18"/>
          <w:color w:val="auto"/>
        </w:rPr>
      </w:pPr>
    </w:p>
    <w:p>
      <w:pPr>
        <w:ind w:left="1460" w:right="140" w:hanging="330"/>
        <w:spacing w:after="0" w:line="250"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client institutions which could restrict their initiation of new programs and modification of existing programs;</w:t>
      </w:r>
    </w:p>
    <w:p>
      <w:pPr>
        <w:ind w:left="1460" w:right="100" w:hanging="330"/>
        <w:spacing w:after="0" w:line="250"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our university partner institutions which restrict the ways schools can compensate their recruitment personnel;</w:t>
      </w:r>
    </w:p>
    <w:p>
      <w:pPr>
        <w:ind w:left="1460" w:right="180" w:hanging="330"/>
        <w:spacing w:after="0" w:line="250"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our university partner institutions do not have a physical presence;</w:t>
      </w:r>
    </w:p>
    <w:p>
      <w:pPr>
        <w:ind w:left="1460" w:right="200" w:hanging="330"/>
        <w:spacing w:after="0" w:line="250"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ind w:left="1460" w:hanging="33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9" w:lineRule="exact"/>
        <w:rPr>
          <w:rFonts w:ascii="Arial" w:cs="Arial" w:eastAsia="Arial" w:hAnsi="Arial"/>
          <w:sz w:val="18"/>
          <w:szCs w:val="18"/>
          <w:color w:val="auto"/>
        </w:rPr>
      </w:pPr>
    </w:p>
    <w:p>
      <w:pPr>
        <w:ind w:left="1460" w:right="300" w:hanging="330"/>
        <w:spacing w:after="0" w:line="250"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post-secondary education sector;</w:t>
      </w:r>
    </w:p>
    <w:p>
      <w:pPr>
        <w:spacing w:after="0" w:line="1" w:lineRule="exact"/>
        <w:rPr>
          <w:rFonts w:ascii="Arial" w:cs="Arial" w:eastAsia="Arial" w:hAnsi="Arial"/>
          <w:sz w:val="18"/>
          <w:szCs w:val="18"/>
          <w:color w:val="auto"/>
        </w:rPr>
      </w:pPr>
    </w:p>
    <w:p>
      <w:pPr>
        <w:ind w:left="1460" w:hanging="33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adverse economic or other development that affects job prospects in our core disciplines; and</w:t>
      </w:r>
    </w:p>
    <w:p>
      <w:pPr>
        <w:spacing w:after="0" w:line="20" w:lineRule="exact"/>
        <w:rPr>
          <w:rFonts w:ascii="Arial" w:cs="Arial" w:eastAsia="Arial" w:hAnsi="Arial"/>
          <w:sz w:val="17"/>
          <w:szCs w:val="17"/>
          <w:color w:val="auto"/>
        </w:rPr>
      </w:pPr>
    </w:p>
    <w:p>
      <w:pPr>
        <w:ind w:left="1460" w:hanging="330"/>
        <w:spacing w:after="0" w:line="261"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the programs offered by any university partner institution.</w:t>
      </w:r>
    </w:p>
    <w:p>
      <w:pPr>
        <w:spacing w:after="0" w:line="18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If we are unable to continue to develop awareness of the programs of our university partners, and to recruit, enroll, and retain students, enrollments would suffer and our ability to increase revenues and maintain profitability would be significantly impaired.</w:t>
      </w:r>
    </w:p>
    <w:p>
      <w:pPr>
        <w:spacing w:after="0" w:line="15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meet the needs of our client institutions.</w:t>
      </w:r>
    </w:p>
    <w:p>
      <w:pPr>
        <w:spacing w:after="0" w:line="13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client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2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could cause our university partner institutions to experience lower enrollment, which could negatively impact our future growth.</w:t>
      </w:r>
    </w:p>
    <w:p>
      <w:pPr>
        <w:spacing w:after="0" w:line="154"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w:t>
      </w:r>
    </w:p>
    <w:p>
      <w:pPr>
        <w:ind w:right="160"/>
        <w:spacing w:after="0" w:line="292" w:lineRule="auto"/>
        <w:rPr>
          <w:sz w:val="20"/>
          <w:szCs w:val="20"/>
          <w:color w:val="auto"/>
        </w:rPr>
      </w:pPr>
      <w:r>
        <w:rPr>
          <w:rFonts w:ascii="Arial" w:cs="Arial" w:eastAsia="Arial" w:hAnsi="Arial"/>
          <w:sz w:val="16"/>
          <w:szCs w:val="16"/>
          <w:color w:val="auto"/>
        </w:rPr>
        <w:t>larger percentage of students in existing markets to our client institutions and work with university partner institutions to create new academic programs. In addition, if job growth in the fields related to our university partners’ core disciplines is weaker than expected, as a result of any regional or national economic downturn or otherwise, fewer students may seek the types of degrees that our clients offer. Our failure to attract new students for our university partners, or the decisions by prospective students to seek degrees in other disciplines, would have an adverse impact on our future growth.</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face competition from established and other emerging companies, which could divert university partners to our competitors, result in pricing pressure and significantly reduce our revenue.</w:t>
      </w:r>
    </w:p>
    <w:p>
      <w:pPr>
        <w:spacing w:after="0" w:line="12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expect existing competitors and new entrants to the educational services market to revise and improve their business models constantly in response to challenges from competing businesses, including ours. If these or other market participants introduce new or improved delivery of online education and technology-enabled services that we cannot match or exceed in a timely or cost-effective manner, our ability to continue to grow could be compromised.</w:t>
      </w:r>
    </w:p>
    <w:p>
      <w:pPr>
        <w:spacing w:after="0" w:line="131" w:lineRule="exact"/>
        <w:rPr>
          <w:sz w:val="20"/>
          <w:szCs w:val="20"/>
          <w:color w:val="auto"/>
        </w:rPr>
      </w:pPr>
    </w:p>
    <w:p>
      <w:pPr>
        <w:ind w:right="200" w:firstLine="324"/>
        <w:spacing w:after="0" w:line="302" w:lineRule="auto"/>
        <w:rPr>
          <w:sz w:val="20"/>
          <w:szCs w:val="20"/>
          <w:color w:val="auto"/>
        </w:rPr>
      </w:pPr>
      <w:r>
        <w:rPr>
          <w:rFonts w:ascii="Arial" w:cs="Arial" w:eastAsia="Arial" w:hAnsi="Arial"/>
          <w:sz w:val="16"/>
          <w:szCs w:val="16"/>
          <w:color w:val="auto"/>
        </w:rPr>
        <w:t>Our primary competitors include EmbanetCompass (owned by Pearson), Wiley Education Services, and 2U.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online learning solutions in-house, rather than pay for our solutions.</w:t>
      </w:r>
    </w:p>
    <w:p>
      <w:pPr>
        <w:spacing w:after="0" w:line="11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Increased competition may result in changes in the revenue share percentage we are able to negotiate to receive from a university partner. The competitive landscape may also result in longer and more complex sales cycles with a prospective university partner, which would negatively affect our ability to add additional university partners and thus our ability to grow our business.</w:t>
      </w:r>
    </w:p>
    <w:p>
      <w:pPr>
        <w:spacing w:after="0" w:line="16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 number of competitive factors could cause us to lose potential university partner opportunities or force us to offer our solutions on less favorable economic terms, including</w:t>
      </w:r>
    </w:p>
    <w:p>
      <w:pPr>
        <w:spacing w:after="0" w:line="130" w:lineRule="exact"/>
        <w:rPr>
          <w:sz w:val="20"/>
          <w:szCs w:val="20"/>
          <w:color w:val="auto"/>
        </w:rPr>
      </w:pPr>
    </w:p>
    <w:p>
      <w:pPr>
        <w:ind w:left="1460" w:right="720" w:hanging="330"/>
        <w:spacing w:after="0" w:line="258"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competitors may develop service offerings that our potential university partners find to be more compelling than ours;</w:t>
      </w:r>
    </w:p>
    <w:p>
      <w:pPr>
        <w:spacing w:after="0" w:line="1" w:lineRule="exact"/>
        <w:rPr>
          <w:rFonts w:ascii="Arial" w:cs="Arial" w:eastAsia="Arial" w:hAnsi="Arial"/>
          <w:sz w:val="18"/>
          <w:szCs w:val="18"/>
          <w:color w:val="auto"/>
        </w:rPr>
      </w:pPr>
    </w:p>
    <w:p>
      <w:pPr>
        <w:ind w:left="1460" w:right="20" w:hanging="330"/>
        <w:spacing w:after="0" w:line="265" w:lineRule="auto"/>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competitors may adopt more aggressive pricing policies and offer more attractive sales terms, adapt more quickly to new technologies and changes in university partner and student requirements, and devote greater resources to the acquisition of qualified students than we can; and</w:t>
      </w:r>
    </w:p>
    <w:p>
      <w:pPr>
        <w:ind w:left="1460" w:right="20" w:hanging="330"/>
        <w:spacing w:after="0" w:line="273" w:lineRule="auto"/>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current and potential competitors may establish cooperative relationships among themselves or with third parties to enhance their products and expand their markets, and our industry is likely to see an increasing number of new entrants and increased consolidation. Accordingly, new competitors or alliances among competitors may emerge and rapidly acquire significant market share.</w:t>
      </w:r>
    </w:p>
    <w:p>
      <w:pPr>
        <w:spacing w:after="0" w:line="17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could be impaired.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19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2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b w:val="1"/>
          <w:bCs w:val="1"/>
          <w:i w:val="1"/>
          <w:iCs w:val="1"/>
          <w:color w:val="auto"/>
        </w:rPr>
        <w:t>The protection of our exclusive proprietary rights and intellectual property is limited, and from time to time we may encounter disputes relating to the use by us of intellectual property of third parties, any of which could harm our operations and prospects.</w:t>
      </w:r>
    </w:p>
    <w:p>
      <w:pPr>
        <w:spacing w:after="0" w:line="141"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the rules and regulations of various education regulatory agencies. We rely on a combination of copyrights, trademarks, service marks, trade secrets, domain names, and agreements to protect our intellectual property. Protecting intellectual property rights can be difficult, particularly as it relates to the development by competitors of competing content delivery and related technologies, and unauthorized third parties may attempt to duplicate or copy the proprietary aspects of our systems and seek to offer competing services to those offered by us. We cannot assure you that protective measures taken by us will be adequate or that we have secured, or will be able to secure, appropriate protections for all of our proprietary rights in the United States, or that third parties will not infringe upon or violate our proprietary rights. We may from time to time encounter disputes over rights and obligations concerning intellectual property and may not always prevail in these disputes. Any such intellectual property claim could subject us to costly litigation and impose a significant strain on financial resources and management personnel regardless of whether such claim has merit.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may restrict our operations and our ability to complete certain transactions.</w:t>
      </w:r>
    </w:p>
    <w:p>
      <w:pPr>
        <w:spacing w:after="0" w:line="185"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Our credit agreement imposes certain operating restrictions on us, including limitations on our ability to incur additional debt or make certain investments, and requires us to maintain compliance with certain applicable regulatory standards. In addition, the credit agreement requires us to maintain a maximum leverage ratio, a minimum fixed charge coverage ratio and a minimum tangible net worth, in each case as such terms are defined in the credit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Company may face risk associated with the discontinuation of and transition from London Interbank Offered Rate (LIBOR) as a benchmark interest rate.</w:t>
      </w:r>
    </w:p>
    <w:p>
      <w:pPr>
        <w:spacing w:after="0" w:line="14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Our indebtedness under our credit agreement bears interest at variable interest rates that use LIBOR as a benchmark rate. On July 27, 2017, the United Kingdom's Financial Conduct Authority, which regulates LIBOR, announced that it intends to stop persuading or compelling banks to submit LIBOR quotations after 2021 (the "FCA Announcement"). The FCA Announcement indicates that the continuation of LIBOR on the current basis cannot and will not be assured after 2021, and LIBOR may cease to exist or otherwise be unsuitable for use as a benchmark. Recent proposals for LIBOR reforms may result in the establishment of new methods of calculating LIBOR or the establishment of one or more alternative benchmark rates. As a result, this change may adversely impact the interest rate paid on some of our loans and our interest expense may increase and our available cash flow and /or financial condition may be adversely affected.</w:t>
      </w:r>
    </w:p>
    <w:p>
      <w:pPr>
        <w:spacing w:after="0" w:line="12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4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Possession and use of personal information in our operations subjects us to risks and costs that could harm our business. We collect, use, and retain large amounts of personal information regarding our primary university partner’s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5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131" w:lineRule="exact"/>
        <w:rPr>
          <w:sz w:val="20"/>
          <w:szCs w:val="20"/>
          <w:color w:val="auto"/>
        </w:rPr>
      </w:pPr>
    </w:p>
    <w:p>
      <w:pPr>
        <w:jc w:val="both"/>
        <w:ind w:right="180" w:firstLine="324"/>
        <w:spacing w:after="0" w:line="312"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9"/>
        <w:spacing w:after="0" w:line="267" w:lineRule="auto"/>
        <w:rPr>
          <w:sz w:val="20"/>
          <w:szCs w:val="20"/>
          <w:color w:val="auto"/>
        </w:rPr>
      </w:pPr>
      <w:r>
        <w:rPr>
          <w:rFonts w:ascii="Arial" w:cs="Arial" w:eastAsia="Arial" w:hAnsi="Arial"/>
          <w:sz w:val="17"/>
          <w:szCs w:val="17"/>
          <w:color w:val="auto"/>
        </w:rPr>
        <w:t>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Similarly, California passed the California Consumer Privacy Act (CCPA) in 2018 (which went into effect in 2020), and Massachusetts recently proposed MA Bill SD 341, “An Act relative to consumer data privacy.” There are similar bills pending in a number of other states, as well. CCPA and MA Bill SD 341 each represent a trend toward stronger privacy protections and greater data transparency in the U.S. Currently, federal law legislates privacy on an industry by industry basis. Without an overarching federal law driving privacy compliance, the risk is high of a patchwork of privacy legislation formed by individual state laws, similar to the states’ approach to breach notification obligations. This could not only increase costs for compliance but also raise the risk of enforcement by individual state Attorneys General.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university partner’s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60" w:lineRule="exact"/>
        <w:rPr>
          <w:sz w:val="20"/>
          <w:szCs w:val="20"/>
          <w:color w:val="auto"/>
        </w:rPr>
      </w:pPr>
    </w:p>
    <w:p>
      <w:pPr>
        <w:ind w:right="239"/>
        <w:spacing w:after="0" w:line="277" w:lineRule="auto"/>
        <w:rPr>
          <w:sz w:val="20"/>
          <w:szCs w:val="20"/>
          <w:color w:val="auto"/>
        </w:rPr>
      </w:pPr>
      <w:r>
        <w:rPr>
          <w:rFonts w:ascii="Arial" w:cs="Arial" w:eastAsia="Arial" w:hAnsi="Arial"/>
          <w:sz w:val="18"/>
          <w:szCs w:val="18"/>
          <w:b w:val="1"/>
          <w:bCs w:val="1"/>
          <w:i w:val="1"/>
          <w:iCs w:val="1"/>
          <w:color w:val="auto"/>
        </w:rPr>
        <w:t>We are required to comply with The Family Educational Rights and Privacy Act, or FERPA, and failure to do so could harm our reputation and negatively affect our business.</w:t>
      </w:r>
    </w:p>
    <w:p>
      <w:pPr>
        <w:spacing w:after="0" w:line="130" w:lineRule="exact"/>
        <w:rPr>
          <w:sz w:val="20"/>
          <w:szCs w:val="20"/>
          <w:color w:val="auto"/>
        </w:rPr>
      </w:pPr>
    </w:p>
    <w:p>
      <w:pPr>
        <w:ind w:right="59" w:firstLine="324"/>
        <w:spacing w:after="0" w:line="270" w:lineRule="auto"/>
        <w:rPr>
          <w:sz w:val="20"/>
          <w:szCs w:val="20"/>
          <w:color w:val="auto"/>
        </w:rPr>
      </w:pPr>
      <w:r>
        <w:rPr>
          <w:rFonts w:ascii="Arial" w:cs="Arial" w:eastAsia="Arial" w:hAnsi="Arial"/>
          <w:sz w:val="17"/>
          <w:szCs w:val="17"/>
          <w:color w:val="auto"/>
        </w:rPr>
        <w:t>FERPA generally prohibits an institution of higher education participating in Title IV programs from disclosing personally identifiable information from a student’s education records without the student’s consent. Our university partners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contract with one or more of our university clients and could harm our reputation. Further, in the event that we disclose student information in violation of FERPA, the DOE could require a university client to suspend our access to their student information for at least five years.</w:t>
      </w:r>
    </w:p>
    <w:p>
      <w:pPr>
        <w:spacing w:after="0" w:line="141" w:lineRule="exact"/>
        <w:rPr>
          <w:sz w:val="20"/>
          <w:szCs w:val="20"/>
          <w:color w:val="auto"/>
        </w:rPr>
      </w:pPr>
    </w:p>
    <w:p>
      <w:pPr>
        <w:ind w:right="119"/>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43" w:lineRule="exact"/>
        <w:rPr>
          <w:sz w:val="20"/>
          <w:szCs w:val="20"/>
          <w:color w:val="auto"/>
        </w:rPr>
      </w:pPr>
    </w:p>
    <w:p>
      <w:pPr>
        <w:ind w:right="39" w:firstLine="324"/>
        <w:spacing w:after="0" w:line="286"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the online programs of our university partners, is critical to our operations, reputation and to our ability to attract and retain students on our university partners’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technology/services and result in a loss of potential or existing students of our university partner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university partner’s programs and to retain those students.</w:t>
      </w:r>
    </w:p>
    <w:p>
      <w:pPr>
        <w:sectPr>
          <w:pgSz w:w="11900" w:h="16838" w:orient="portrait"/>
          <w:cols w:equalWidth="0" w:num="1">
            <w:col w:w="9039"/>
          </w:cols>
          <w:pgMar w:left="1420" w:top="517" w:right="1440" w:bottom="1440" w:gutter="0" w:footer="0" w:header="0"/>
        </w:sect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79"/>
        <w:spacing w:after="0" w:line="308" w:lineRule="auto"/>
        <w:rPr>
          <w:sz w:val="20"/>
          <w:szCs w:val="20"/>
          <w:color w:val="auto"/>
        </w:rPr>
      </w:pPr>
      <w:r>
        <w:rPr>
          <w:rFonts w:ascii="Arial" w:cs="Arial" w:eastAsia="Arial" w:hAnsi="Arial"/>
          <w:sz w:val="17"/>
          <w:szCs w:val="17"/>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20"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as reauthorized, and the regulations thereunder, will be impaired, perhaps materially. Any such impairment could materially and adversely affect our financial condition, results of operations, and cash flows.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Extensive Regulation of The Higher Education Industry</w:t>
      </w:r>
    </w:p>
    <w:p>
      <w:pPr>
        <w:spacing w:after="0" w:line="229" w:lineRule="exact"/>
        <w:rPr>
          <w:sz w:val="20"/>
          <w:szCs w:val="20"/>
          <w:color w:val="auto"/>
        </w:rPr>
      </w:pPr>
    </w:p>
    <w:p>
      <w:pPr>
        <w:ind w:right="339"/>
        <w:spacing w:after="0" w:line="264" w:lineRule="auto"/>
        <w:rPr>
          <w:sz w:val="20"/>
          <w:szCs w:val="20"/>
          <w:color w:val="auto"/>
        </w:rPr>
      </w:pPr>
      <w:r>
        <w:rPr>
          <w:rFonts w:ascii="Arial" w:cs="Arial" w:eastAsia="Arial" w:hAnsi="Arial"/>
          <w:sz w:val="18"/>
          <w:szCs w:val="18"/>
          <w:b w:val="1"/>
          <w:bCs w:val="1"/>
          <w:i w:val="1"/>
          <w:iCs w:val="1"/>
          <w:color w:val="auto"/>
        </w:rPr>
        <w:t>Our failure, or our university partners’ failure, to comply with the extensive regulatory requirements governing institutions of higher education could result in financial penalties, restrictions on our operations or growth, or loss of external financial aid funding for our university partners’ students.</w:t>
      </w:r>
    </w:p>
    <w:p>
      <w:pPr>
        <w:spacing w:after="0" w:line="181" w:lineRule="exact"/>
        <w:rPr>
          <w:sz w:val="20"/>
          <w:szCs w:val="20"/>
          <w:color w:val="auto"/>
        </w:rPr>
      </w:pPr>
    </w:p>
    <w:p>
      <w:pPr>
        <w:ind w:right="19" w:firstLine="324"/>
        <w:spacing w:after="0" w:line="285" w:lineRule="auto"/>
        <w:rPr>
          <w:sz w:val="20"/>
          <w:szCs w:val="20"/>
          <w:color w:val="auto"/>
        </w:rPr>
      </w:pPr>
      <w:r>
        <w:rPr>
          <w:rFonts w:ascii="Arial" w:cs="Arial" w:eastAsia="Arial" w:hAnsi="Arial"/>
          <w:sz w:val="16"/>
          <w:szCs w:val="16"/>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primary university partner, and any future university partners, are regulated by other state education agencies and additional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university partners. These include regulations related to educational programs, instructional and administrative staff, administrative procedures, marketing, recruiting, financial operations, and financial condition of any university partner. These regulatory requirements also affect our ability to assist university partner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university partner has) interpreted or applied these requirements. Any misinterpretation of regulatory requirements could materially adversely affect us. If we fail, or any university partner institution fails, to comply with any of these regulatory requirements, we or any university partner could suffer financial penalties, limitations on our operations, or other sanctions, each of which could materially adversely affect us. In addition, if we or any university partner are charged with regulatory violations, our reputation could be damaged, which could have a negative impact on our stock price and enrollments at university partner institutions. ED and other regulators have increased the frequency and severity of their enforcement actions against post-secondary schools.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ED could materially and adversely affect our business.</w:t>
      </w:r>
    </w:p>
    <w:p>
      <w:pPr>
        <w:spacing w:after="0" w:line="225" w:lineRule="exact"/>
        <w:rPr>
          <w:sz w:val="20"/>
          <w:szCs w:val="20"/>
          <w:color w:val="auto"/>
        </w:rPr>
      </w:pPr>
    </w:p>
    <w:p>
      <w:pPr>
        <w:ind w:right="79" w:firstLine="324"/>
        <w:spacing w:after="0" w:line="255" w:lineRule="auto"/>
        <w:rPr>
          <w:sz w:val="20"/>
          <w:szCs w:val="20"/>
          <w:color w:val="auto"/>
        </w:rPr>
      </w:pPr>
      <w:r>
        <w:rPr>
          <w:rFonts w:ascii="Arial" w:cs="Arial" w:eastAsia="Arial" w:hAnsi="Arial"/>
          <w:sz w:val="18"/>
          <w:szCs w:val="18"/>
          <w:color w:val="auto"/>
        </w:rPr>
        <w:t>Over the past few years, the ED has regularly promulgated new regulations and guidance that impact our university partners and our business directly. These and other regulations and guidance documents, including those discussed above under “Business – Regulation,”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servicers, could further negatively impact our business.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b w:val="1"/>
          <w:bCs w:val="1"/>
          <w:i w:val="1"/>
          <w:iCs w:val="1"/>
          <w:color w:val="auto"/>
        </w:rPr>
        <w:t>If ED does not recertify a university partner institution to continue participating in the Title IV programs, the students we assist would lose their access to Title IV program funds, or a university partner institution could be recertified but required to accept significant limitations as a condition of its continued participation in the Title IV programs.</w:t>
      </w:r>
    </w:p>
    <w:p>
      <w:pPr>
        <w:spacing w:after="0" w:line="147"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There can be no assurance that ED will recertify any university partner institution at that time or that it will not impose conditions or other restrictions on any university partner institution as a condition of approving any future recertification. If ED does not renew or withdraws certification to participate in the Title IV programs from any university partners, students at that institution would no longer be able to receive Title IV program funds. Alternatively, ED could renew a university partner institution’s certification, but restrict or delay students’ receipt of Title IV funds, limit the number of students to whom it can disburse such funds, place other restrictions on the institution, or it could delay recertification after any university partners’ program participation agreement expires, in which case our university partner’s certification would continue on a month-to-month basis. Any of these outcomes could have a material adverse effect on our university partners’ enrollments and us.</w:t>
      </w:r>
    </w:p>
    <w:p>
      <w:pPr>
        <w:spacing w:after="0" w:line="16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A university partner institution could lose the ability to participate in the Title IV programs if it fails to maintain its institutional accreditation, and our university partners’ student enrollments could decline if a client institution fails to maintain any of its accreditations or approvals.</w:t>
      </w:r>
    </w:p>
    <w:p>
      <w:pPr>
        <w:spacing w:after="0" w:line="18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An institution must be accredited by an accrediting commission recognized by ED in order to participate in the Title IV programs. Our primary university partner, GCU has been regionally accredited by the HLC and its predecessor since 1968, most recently obtaining reaccreditation in 2017 for the ten-year period through 2027, and the HLC approved the Transaction in February 2018. Future clients may be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17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any client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university partner institutions will have educational programs that are also accredited by specialized accrediting commissions or approved by specialized state agencies. If our university partner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university partner institution may lose eligibility to participate in the Title IV programs if its student loan default rates are too high.</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GCU’s cohort default rates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university partner institutions, we cannot guarantee that all university partner institutions will have a cohort default rate as low as GCU. Having a university partner exceed the student loan default rate thresholds and losing eligibility to participate in the Title IV programs would have a material adverse effect on our business, prospects, financial condition, and results 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operations. Any future changes in the formula for calculating student loan default rates, economic conditions, or other factors that cause default rates to increase, could materially adversely affect us.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our university partner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181"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As a service provider, we are not directly subject to this regulation. However, if ED were to determine that a university partner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client institutions or the number of students they enroll, any of which sanctions could have an adverse impact on our business. Our most significant university partner, GCU, calculated its first composite score following the Transaction with respect to its fiscal year ending June 30, 2019, which score must be provided to ED by March 31, 2020. As of June 30, 2019, GCU’s composite score was 2.2 using the proprietary school calculation. If GCU’s future composite scores do not exceed 1.5 or if ED would impose any sanctions on GCU if its composite score is below 1.5. If any such sanctions were imposed, it could have a negative impact on our ability to conduct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university partner institutions do not comply with ED’s administrative capability standards, we could suffer harm.</w:t>
      </w:r>
    </w:p>
    <w:p>
      <w:pPr>
        <w:spacing w:after="0" w:line="26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university partners with some facets of these areas. As such, we must be mindful of, and compliant with, the administrative capability requirements. If our university partner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 finding that our university partner institutions violated ED’s substantial misrepresentation regulation could materially and adversely affect our business.</w:t>
      </w:r>
    </w:p>
    <w:p>
      <w:pPr>
        <w:spacing w:after="0" w:line="17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w:t>
      </w:r>
    </w:p>
    <w:p>
      <w:pPr>
        <w:sectPr>
          <w:pgSz w:w="11900" w:h="16838" w:orient="portrait"/>
          <w:cols w:equalWidth="0" w:num="1">
            <w:col w:w="9040"/>
          </w:cols>
          <w:pgMar w:left="1420" w:top="517" w:right="1439" w:bottom="1440" w:gutter="0" w:footer="0" w:header="0"/>
        </w:sect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 “substantial misrepresentation,” it is possible that despite our efforts to prevent such misrepresentations, our employees or contractors may make statements that could be construed as substantial misrepresentations for which our current and any future university partners would be held responsible by ED. We and our employees and subcontractors, as agents of our university partners, must use a high degree of care to comply with such rules and are prohibited by contract from making any false, erroneous or misleading statements about our university partners. To avoid an issue under the misrepresentation rule and similar rules, we assure that all marketing materials are approved in advance by our university partners before they are used by our employees and we carefully monitor our employees and subcontractors conversations with students and prospective students.</w:t>
      </w:r>
    </w:p>
    <w:p>
      <w:pPr>
        <w:spacing w:after="0" w:line="169"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Despite our best efforts, we may face complaints from our university partners’ students and prospective students over statements made by us and our agents throughout the conduct of all our services which would expose our university partners,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FTC applies similar rules prohibiting any unfair or deceptive marketing practices to the education sector. If ED or other regulator determines that statements made by us or on our university partner’s behalf are in violation of the regulations, we could be subject to sanctions and other liability, which could have a material adverse effect on our business.</w:t>
      </w:r>
    </w:p>
    <w:p>
      <w:pPr>
        <w:spacing w:after="0" w:line="1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To the extent we are performing return to Title IV calculations for our university partner institutions, we are subject to sanctions if we fail to correctly calculate and timely return Title IV program funds for students who withdraw before completing their educational program.</w:t>
      </w:r>
    </w:p>
    <w:p>
      <w:pPr>
        <w:spacing w:after="0" w:line="18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university partner include conducting returns to Title IV, as they do with our primary university partner, GCU, we would likely be jointly and severally liable to ED, along with the relevant client, for return of those funds. Further, we could be fined or otherwise sanctioned by ED, which could increase our cost of regulatory compliance and materially adversely affect us. Further, a failure to comply with these regulatory requirements could result in termination of our ability to continue providing these services to other university partner institutions, which would materially affect us.</w:t>
      </w:r>
    </w:p>
    <w:p>
      <w:pPr>
        <w:spacing w:after="0" w:line="182" w:lineRule="exact"/>
        <w:rPr>
          <w:sz w:val="20"/>
          <w:szCs w:val="20"/>
          <w:color w:val="auto"/>
        </w:rPr>
      </w:pPr>
    </w:p>
    <w:p>
      <w:pPr>
        <w:ind w:right="280"/>
        <w:spacing w:after="0" w:line="340"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university partner institutions, which could negatively impact our university partner institutions’ enrollments, revenue and results of operations.</w:t>
      </w:r>
    </w:p>
    <w:p>
      <w:pPr>
        <w:spacing w:after="0" w:line="131" w:lineRule="exact"/>
        <w:rPr>
          <w:sz w:val="20"/>
          <w:szCs w:val="20"/>
          <w:color w:val="auto"/>
        </w:rPr>
      </w:pPr>
    </w:p>
    <w:p>
      <w:pPr>
        <w:ind w:right="280" w:firstLine="324"/>
        <w:spacing w:after="0" w:line="279" w:lineRule="auto"/>
        <w:rPr>
          <w:sz w:val="20"/>
          <w:szCs w:val="20"/>
          <w:color w:val="auto"/>
        </w:rPr>
      </w:pPr>
      <w:r>
        <w:rPr>
          <w:rFonts w:ascii="Arial" w:cs="Arial" w:eastAsia="Arial" w:hAnsi="Arial"/>
          <w:sz w:val="17"/>
          <w:szCs w:val="17"/>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171" w:lineRule="exact"/>
        <w:rPr>
          <w:sz w:val="20"/>
          <w:szCs w:val="20"/>
          <w:color w:val="auto"/>
        </w:rPr>
      </w:pPr>
    </w:p>
    <w:p>
      <w:pPr>
        <w:jc w:val="both"/>
        <w:ind w:right="80" w:firstLine="324"/>
        <w:spacing w:after="0" w:line="286" w:lineRule="auto"/>
        <w:rPr>
          <w:sz w:val="20"/>
          <w:szCs w:val="20"/>
          <w:color w:val="auto"/>
        </w:rPr>
      </w:pPr>
      <w:r>
        <w:rPr>
          <w:rFonts w:ascii="Arial" w:cs="Arial" w:eastAsia="Arial" w:hAnsi="Arial"/>
          <w:sz w:val="17"/>
          <w:szCs w:val="17"/>
          <w:color w:val="auto"/>
        </w:rPr>
        <w:t>Any action by Congress that significantly reduces Title IV program funding, whether through across-the-board funding reductions, sequestration or otherwise, or materially impacts the eligibility of our client institutions or students to participate in Title IV programs would have a material adverse effect on our client institutions enrollment, financial</w:t>
      </w:r>
    </w:p>
    <w:p>
      <w:pPr>
        <w:sectPr>
          <w:pgSz w:w="11900" w:h="16838" w:orient="portrait"/>
          <w:cols w:equalWidth="0" w:num="1">
            <w:col w:w="9040"/>
          </w:cols>
          <w:pgMar w:left="1420" w:top="517" w:right="14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81"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cannot offer new programs for our university partners or expand university partner operations into certain states if such actions are not timely approved by the applicable regulatory agencies, and our university partners may have to repay Title IV funds disbursed to students enrolled in any such programs, schools, or states if they do not obtain prior approval.</w:t>
      </w:r>
    </w:p>
    <w:p>
      <w:pPr>
        <w:spacing w:after="0" w:line="13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Our expansion efforts include developing new educational programs for our university partners. If our university partner institutions are unable to obtain the necessary approvals for such new programs or operations, or if our university partner institutions are unable to obtain such approvals in a timely manner, our ability to consummate the planned actions and the ability of our university partner institutions to provide Title IV funds to any affected students would be impaired, which could have a material adverse effect on our expansion plans. In addition, if we were to determine erroneously that a new program did not need approval or that we had all required approvals, our university partners could be liable for repayment of the Title IV program funds provided to students in that program or at that location. GCU, because it is currently certified to participate in the Title IV programs through September 30, 2022, is required to obtain ED approval for new programs, which required could impede GCU’s ability to introduce new programs and slow its growth.</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our university partner institutions do not maintain state authorization, they may not operate or participate in the Title IV programs.</w:t>
      </w:r>
    </w:p>
    <w:p>
      <w:pPr>
        <w:spacing w:after="0" w:line="1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university partner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client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192"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ED requirements many schools have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GCU has been granted membership in SARA in Arizona (AZ-SARA), which is administered by the Western Interstate Commission for Higher Education (referred to as W-SARA). There is a yearly renewal for participating in NC-SARA and AZ-SARA and institutions must agree to meet certain requirements to participate. As of June 30, 2018, all states other than California are members of SARA.</w:t>
      </w:r>
    </w:p>
    <w:p>
      <w:pPr>
        <w:spacing w:after="0" w:line="178"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Any state that does not participate in SARA may impose regulatory requirements on out-of-state post-secondary institutions operating within their boundaries, such as those having a physical facility or conducting certain academic</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state, or fails to obtain licenses or authorizations when required, it could lose its state license or authorization by that state or be subject to other sanctions, including restrictions on its activities in, and fines and penalties imposed by, that state, as well as fines, penalties, and sanctions imposed by ED. The loss of licensure or authorization in any non-SARA state by a client institution could prohibit us from recruiting prospective students or offering services to current students in that state, which could significantly reduce our university partner’s enrollments.</w:t>
      </w:r>
    </w:p>
    <w:p>
      <w:pPr>
        <w:spacing w:after="0" w:line="19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81"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university partner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university partner institution is physically located could prohibit us from recruiting prospective students or assisting with offering educational services to current students in that state, which could significantly reduce enrollments.</w:t>
      </w:r>
    </w:p>
    <w:p>
      <w:pPr>
        <w:spacing w:after="0" w:line="18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Furthermore, our university partners must typically maintain a composite score of at least 1.5 to maintain their membership in a State Authorization Reciprocity Agreement, or SARA. Failure to maintain that score, and loss of eligibility for SARA, could result in the loss of the ability to offer online programs in various states unless the university partner is otherwise eligible to do so. This could greatly affect our ability to market our university partners’ online programs.</w:t>
      </w:r>
    </w:p>
    <w:p>
      <w:pPr>
        <w:spacing w:after="0" w:line="15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or our university partners based on alleged violations of the extensive regulatory requirements applicable to us and our university partners, which could cause the imposition of sanctions against us or our university partners.</w:t>
      </w:r>
    </w:p>
    <w:p>
      <w:pPr>
        <w:spacing w:after="0" w:line="187"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Because our university partner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university partners,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Similarly, reviews of us directly could also impose a host of limitations and monetary penalties and fines for wrongful actions on our part. Claims and lawsuits brought against us or our university partners, even if they are without merit, may also result in adverse publicity, damage our reputation, negatively affect the market price of our stock, adversely affect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85" w:lineRule="exact"/>
        <w:rPr>
          <w:sz w:val="20"/>
          <w:szCs w:val="20"/>
          <w:color w:val="auto"/>
        </w:rPr>
      </w:pPr>
    </w:p>
    <w:p>
      <w:pPr>
        <w:ind w:right="380"/>
        <w:spacing w:after="0" w:line="381" w:lineRule="auto"/>
        <w:rPr>
          <w:sz w:val="20"/>
          <w:szCs w:val="20"/>
          <w:color w:val="auto"/>
        </w:rPr>
      </w:pPr>
      <w:r>
        <w:rPr>
          <w:rFonts w:ascii="Arial" w:cs="Arial" w:eastAsia="Arial" w:hAnsi="Arial"/>
          <w:sz w:val="15"/>
          <w:szCs w:val="15"/>
          <w:b w:val="1"/>
          <w:bCs w:val="1"/>
          <w:i w:val="1"/>
          <w:iCs w:val="1"/>
          <w:color w:val="auto"/>
        </w:rPr>
        <w:t>The regulatory guidance governing third-party servicers imposes a number of requirements on our business and may expose us to liability for certain regulatory violations that are coextensive with our university partner institutions.</w:t>
      </w:r>
    </w:p>
    <w:p>
      <w:pPr>
        <w:spacing w:after="0" w:line="101"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A “Third-party servicer” is any person or entity used by “any eligible institution of higher education to administer, through either manual or automated processing, any aspect of such institution’s student assistance programs.” Third</w:t>
      </w:r>
    </w:p>
    <w:p>
      <w:pPr>
        <w:sectPr>
          <w:pgSz w:w="11900" w:h="16838" w:orient="portrait"/>
          <w:cols w:equalWidth="0" w:num="1">
            <w:col w:w="9060"/>
          </w:cols>
          <w:pgMar w:left="1420" w:top="517" w:right="14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party servicers have a number of requirements. For example, they must conduct and submit to ED compliance audits under 34 C.F.R. § 668.23. In addition, they must comply with the requirements of 34 C.F.R. § 668.25, which requires third-party servicers, in their contracts with institutions, to be contractually obligated to, among other things:</w:t>
      </w:r>
    </w:p>
    <w:p>
      <w:pPr>
        <w:spacing w:after="0" w:line="166" w:lineRule="exact"/>
        <w:rPr>
          <w:sz w:val="20"/>
          <w:szCs w:val="20"/>
          <w:color w:val="auto"/>
        </w:rPr>
      </w:pPr>
    </w:p>
    <w:p>
      <w:pPr>
        <w:ind w:left="1460" w:right="80" w:hanging="330"/>
        <w:spacing w:after="0" w:line="271" w:lineRule="auto"/>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ind w:left="1460" w:right="40" w:hanging="330"/>
        <w:spacing w:after="0" w:line="250"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2" w:lineRule="exact"/>
        <w:rPr>
          <w:rFonts w:ascii="Arial" w:cs="Arial" w:eastAsia="Arial" w:hAnsi="Arial"/>
          <w:sz w:val="18"/>
          <w:szCs w:val="18"/>
          <w:color w:val="auto"/>
        </w:rPr>
      </w:pPr>
    </w:p>
    <w:p>
      <w:pPr>
        <w:ind w:left="1460" w:hanging="330"/>
        <w:spacing w:after="0" w:line="273" w:lineRule="auto"/>
        <w:tabs>
          <w:tab w:leader="none" w:pos="1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7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We are also subject to a number of data security and privacy regulations given our role as a third-party servicer and these standards are evolving. To the extent we continue to provide third party servicer functions, we will be subject to these requirements, the compliance with which can materially impact our business model.</w:t>
      </w:r>
    </w:p>
    <w:p>
      <w:pPr>
        <w:spacing w:after="0" w:line="18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24" w:lineRule="exact"/>
        <w:rPr>
          <w:sz w:val="20"/>
          <w:szCs w:val="20"/>
          <w:color w:val="auto"/>
        </w:rPr>
      </w:pPr>
    </w:p>
    <w:p>
      <w:pPr>
        <w:ind w:right="280" w:firstLine="324"/>
        <w:spacing w:after="0" w:line="297" w:lineRule="auto"/>
        <w:rPr>
          <w:sz w:val="20"/>
          <w:szCs w:val="20"/>
          <w:color w:val="auto"/>
        </w:rPr>
      </w:pPr>
      <w:r>
        <w:rPr>
          <w:rFonts w:ascii="Arial" w:cs="Arial" w:eastAsia="Arial" w:hAnsi="Arial"/>
          <w:sz w:val="16"/>
          <w:szCs w:val="16"/>
          <w:color w:val="auto"/>
        </w:rPr>
        <w:t>The process of re-authorization of the Higher Education Act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1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our university partner institutions and us, in a negative manner. Adverse media coverage regarding educational institutions – whether or not a university partner – or regarding third party services such as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16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clients could compromise our ability to drive revenue through their programs or make our platform less attractive to them. Congress could also enact laws or regulations that require us to modify our practices in ways that could increase our costs.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0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2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43"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activity within the trading market for our common stock depends in part on the research and reports that industry or financial analysts publish about us, our business and the for-profit education sector. In recent periods, a number of analysts have dropped coverage of the sector. If analysts cease coverage of us or additional analysts cease coverage of our sector, we could lose visibility in the market for our stock, which in turn could cause our stock price to decline. If one or more of the analysts covering us downgrade their estimates or evaluations of our stock, the price of our stock could decline.</w:t>
      </w:r>
    </w:p>
    <w:p>
      <w:pPr>
        <w:spacing w:after="0" w:line="11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on a timely basis could be impaired.</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may require us to incur substantial additional 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46" w:lineRule="exact"/>
        <w:rPr>
          <w:sz w:val="20"/>
          <w:szCs w:val="20"/>
          <w:color w:val="auto"/>
        </w:rPr>
      </w:pPr>
    </w:p>
    <w:p>
      <w:pPr>
        <w:ind w:right="820"/>
        <w:spacing w:after="0" w:line="381" w:lineRule="auto"/>
        <w:rPr>
          <w:sz w:val="20"/>
          <w:szCs w:val="20"/>
          <w:color w:val="auto"/>
        </w:rPr>
      </w:pPr>
      <w:r>
        <w:rPr>
          <w:rFonts w:ascii="Arial" w:cs="Arial" w:eastAsia="Arial" w:hAnsi="Arial"/>
          <w:sz w:val="15"/>
          <w:szCs w:val="15"/>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0"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our existing credit facility preclude, and the terms of any future debt agreements is likely to similarly preclude, us from paying dividends. As a result, capital appreciation, if</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of our common stock will be your sole source of gain for the foreseeable future. Investors seeking cash dividends should not purchase our common stock</w:t>
      </w:r>
    </w:p>
    <w:p>
      <w:pPr>
        <w:spacing w:after="0" w:line="1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02"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Company owns a four story 325,000 square foot administrative building, which includes office space for approximately 2,700 employees, and a parking garage in close proximity to GCU’s ground campus. We constructed this space in 2016 and every aspect of the design was intended to maximize energy efficiency and minimize environmental impact. Lighting load and related electricity usage is a major environmental drain for most office buildings and this is especially true in Arizona. The Company’s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sun. The Company’s office building utilizes a rooftop rain water collection system for irrigating the landscaping below, which reduces water consumption. Additional environment-friendly design features include low VOC paints, use of recycled building materials, interior and exterior LED light bulbs, and implementation of an energy-efficient VRF mechanical system. Overall, the Company’s office building is 60% more energy efficient than a standard office building.</w:t>
      </w:r>
    </w:p>
    <w:p>
      <w:pPr>
        <w:spacing w:after="0" w:line="14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its owned facilities, the Company leases seventeen skills labs for use in serving its university partners, four office locations in California, one office location in Colorado, and office space in Indianapolis, Indiana. The Company has commitments to add 3 more skills labs as of December 31, 2019 that have not yet commenced and may add additional space in Arizona and in other states in the U.S. to accommodate our growth plans in 2020 and beyond. The Company works to maximize energy efficiency and minimize environmental impact in operating its leased facilities just as it does with its owned properties.</w:t>
      </w:r>
    </w:p>
    <w:p>
      <w:pPr>
        <w:spacing w:after="0" w:line="14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02"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160" w:firstLine="324"/>
        <w:spacing w:after="0" w:line="302" w:lineRule="auto"/>
        <w:rPr>
          <w:sz w:val="20"/>
          <w:szCs w:val="20"/>
          <w:color w:val="auto"/>
        </w:rPr>
      </w:pPr>
      <w:r>
        <w:rPr>
          <w:rFonts w:ascii="Arial" w:cs="Arial" w:eastAsia="Arial" w:hAnsi="Arial"/>
          <w:sz w:val="16"/>
          <w:szCs w:val="16"/>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As of December 31, 2019, there were approximately 146 registered holders of record of common stock. A substantially greater number of holders of common stock are “street name” or beneficial holders, whose shares are held of record by banks, brokers and other financial institutions.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Our Board of Directors has authorized us to repurchase up to $175.0 million in aggregate of our common stock, from time to time, depending on market conditions and other considerations. The current expiration date on the repurchase authorization by our Board of Directors is December 31, 2020. Repurchases occur at our discretion. Repurchases may be made in the open market or in privately negotiated transactions, pursuant to the applicable SEC rules. The amount and timing of future share repurchases, if any, will be made as market and business conditions warrant. Since the approval of our share repurchase plan, we have purchased 4.0 million shares of common stock at an aggregate cost of $122.7 million, which purchases are recorded at cost in the accompanying December 31, 2019 consolidated balance sheet and statement of stockholders’ equity. At December 31, 2019, there remained $52.3 million available under our current share repurchase authorization. During the fourth quarter and the year ended December 31, 2019, GCE repurchased 201,522 and 376,384 shares of common stock, respectively, at an aggregate cost of $18.5 million and $35.8 million, respectively.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2019: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9"/>
        </w:trPr>
        <w:tc>
          <w:tcPr>
            <w:tcW w:w="4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Announced</w:t>
            </w:r>
          </w:p>
        </w:tc>
        <w:tc>
          <w:tcPr>
            <w:tcW w:w="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4380" w:type="dxa"/>
            <w:vAlign w:val="bottom"/>
            <w:gridSpan w:val="3"/>
            <w:vMerge w:val="continue"/>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4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4"/>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October 1, 2019 – October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77,622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99.09</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77,622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2019 – November 30,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1, 2019 – December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31,400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89.27</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31,400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2019 – October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November 1, 2019 – November 30, 2019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2019 –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GCE Stock Performance</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following graph compares the cumulative total return of our common stock with the cumulative total returns of the S&amp;P 500 Index and our education services peer group of nine companies that includes: Wiley Education Services, Pearson plc., CHEGG, Inc., Instructure Inc., Pluralsight Inc., Laureate Education, Inc., Strategic Education, Inc., Adtalum Global Education, Inc, and 2U, Inc.. This chart assumes that an investment of $100 was made in our common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stock, in the index, and in the peer group on December 31, 2014 and that all dividends paid by us and such companies were reinvested, and tracks the relative performance of such investments through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102235</wp:posOffset>
            </wp:positionV>
            <wp:extent cx="5548630" cy="4579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48630" cy="457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12/14</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12/15</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12/16</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12/17</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12/18</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12/19</w:t>
            </w:r>
          </w:p>
        </w:tc>
      </w:tr>
      <w:tr>
        <w:trPr>
          <w:trHeight w:val="210"/>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125.27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191.88</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206.04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205.29</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97"/>
              </w:rPr>
              <w:t>S&amp;P</w:t>
            </w:r>
          </w:p>
        </w:tc>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500</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100.00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101.38</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4"/>
              </w:rPr>
              <w:t>113.51</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8"/>
              </w:rPr>
              <w:t>138.29</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0"/>
              </w:rPr>
              <w:t>132.23</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173.86</w:t>
            </w: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2019</w:t>
            </w:r>
          </w:p>
        </w:tc>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Peer Group</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100.00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71.71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91.80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101.23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92.84</w:t>
            </w:r>
          </w:p>
        </w:tc>
      </w:tr>
    </w:tbl>
    <w:p>
      <w:pPr>
        <w:spacing w:after="0" w:line="202"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229"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 xml:space="preserve">The following selected consolidated financial and other data should be read in conjunction with Item 8, </w:t>
      </w:r>
      <w:r>
        <w:rPr>
          <w:rFonts w:ascii="Arial" w:cs="Arial" w:eastAsia="Arial" w:hAnsi="Arial"/>
          <w:sz w:val="17"/>
          <w:szCs w:val="17"/>
          <w:i w:val="1"/>
          <w:iCs w:val="1"/>
          <w:color w:val="auto"/>
        </w:rPr>
        <w:t>Consolidated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and Supplementary Data</w:t>
      </w:r>
      <w:r>
        <w:rPr>
          <w:rFonts w:ascii="Arial" w:cs="Arial" w:eastAsia="Arial" w:hAnsi="Arial"/>
          <w:sz w:val="17"/>
          <w:szCs w:val="17"/>
          <w:color w:val="auto"/>
        </w:rPr>
        <w:t>, and Item 7,</w:t>
      </w:r>
      <w:r>
        <w:rPr>
          <w:rFonts w:ascii="Arial" w:cs="Arial" w:eastAsia="Arial" w:hAnsi="Arial"/>
          <w:sz w:val="17"/>
          <w:szCs w:val="17"/>
          <w:i w:val="1"/>
          <w:iCs w:val="1"/>
          <w:color w:val="auto"/>
        </w:rPr>
        <w:t xml:space="preserve"> Management’s Discussion and Analysis of</w:t>
      </w:r>
    </w:p>
    <w:p>
      <w:pPr>
        <w:sectPr>
          <w:pgSz w:w="11900" w:h="16838" w:orient="portrait"/>
          <w:cols w:equalWidth="0" w:num="1">
            <w:col w:w="9060"/>
          </w:cols>
          <w:pgMar w:left="1420" w:top="517" w:right="14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to fully understand the information presented below. The selected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income statement data and other data, excluding period end enrollment, for the years ended December 31, 2019, 2018, and 2017, and the selected consolidated balance sheet data as of December 31, 2019, and 2018, have been derived from our audited consolidated financial statements for such years, which are included herein. The selected consolidated income statement data and other data, excluding period end enrollment, for the years ended December 31, 2016 and 2015, and the selected consolidated balance sheet data as of December 31, 2017, 2016, and 2015, have been derived from our audited consolidated financial statements for such years, which are not included herein. Our historical results are not necessarily indicative of our results for any future period.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r>
      <w:tr>
        <w:trPr>
          <w:trHeight w:val="142"/>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7"/>
          </w:tcPr>
          <w:p>
            <w:pPr>
              <w:jc w:val="right"/>
              <w:ind w:right="315"/>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Statement Data: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Service revenue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778,643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333,002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University related revenue</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512,499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974,134</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873,344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778,200</w:t>
            </w:r>
          </w:p>
        </w:tc>
      </w:tr>
      <w:tr>
        <w:trPr>
          <w:trHeight w:val="196"/>
        </w:trPr>
        <w:tc>
          <w:tcPr>
            <w:tcW w:w="20" w:type="dxa"/>
            <w:vAlign w:val="bottom"/>
          </w:tcPr>
          <w:p>
            <w:pPr>
              <w:spacing w:after="0"/>
              <w:rPr>
                <w:sz w:val="17"/>
                <w:szCs w:val="17"/>
                <w:color w:val="auto"/>
              </w:rPr>
            </w:pPr>
          </w:p>
        </w:tc>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revenue</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778,643</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845,501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974,134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873,344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778,200</w:t>
            </w: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200"/>
              <w:spacing w:after="0" w:line="202" w:lineRule="exact"/>
              <w:rPr>
                <w:sz w:val="20"/>
                <w:szCs w:val="20"/>
                <w:color w:val="auto"/>
              </w:rPr>
            </w:pPr>
            <w:r>
              <w:rPr>
                <w:rFonts w:ascii="Arial" w:cs="Arial" w:eastAsia="Arial" w:hAnsi="Arial"/>
                <w:sz w:val="16"/>
                <w:szCs w:val="16"/>
                <w:color w:val="auto"/>
              </w:rPr>
              <w:t>Technology and academic services</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90,512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43,574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41,834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39,101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36,648</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6"/>
                <w:szCs w:val="16"/>
                <w:color w:val="auto"/>
              </w:rPr>
              <w:t>Counseling services and support</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223,598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204,690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164,746</w:t>
            </w:r>
          </w:p>
        </w:tc>
      </w:tr>
      <w:tr>
        <w:trPr>
          <w:trHeight w:val="203"/>
        </w:trPr>
        <w:tc>
          <w:tcPr>
            <w:tcW w:w="20" w:type="dxa"/>
            <w:vAlign w:val="bottom"/>
          </w:tcPr>
          <w:p>
            <w:pPr>
              <w:spacing w:after="0"/>
              <w:rPr>
                <w:sz w:val="17"/>
                <w:szCs w:val="17"/>
                <w:color w:val="auto"/>
              </w:rPr>
            </w:pPr>
          </w:p>
        </w:tc>
        <w:tc>
          <w:tcPr>
            <w:tcW w:w="3900" w:type="dxa"/>
            <w:vAlign w:val="bottom"/>
            <w:gridSpan w:val="2"/>
          </w:tcPr>
          <w:p>
            <w:pPr>
              <w:ind w:left="200"/>
              <w:spacing w:after="0" w:line="202" w:lineRule="exact"/>
              <w:rPr>
                <w:sz w:val="20"/>
                <w:szCs w:val="20"/>
                <w:color w:val="auto"/>
              </w:rPr>
            </w:pPr>
            <w:r>
              <w:rPr>
                <w:rFonts w:ascii="Arial" w:cs="Arial" w:eastAsia="Arial" w:hAnsi="Arial"/>
                <w:sz w:val="16"/>
                <w:szCs w:val="16"/>
                <w:color w:val="auto"/>
              </w:rPr>
              <w:t>Marketing and communication</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142,896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117,420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109,092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98,592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84,773</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26,707</w:t>
            </w:r>
          </w:p>
        </w:tc>
      </w:tr>
      <w:tr>
        <w:trPr>
          <w:trHeight w:val="203"/>
        </w:trPr>
        <w:tc>
          <w:tcPr>
            <w:tcW w:w="2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Arial" w:cs="Arial" w:eastAsia="Arial" w:hAnsi="Arial"/>
                <w:sz w:val="17"/>
                <w:szCs w:val="17"/>
                <w:color w:val="auto"/>
              </w:rPr>
              <w:t>Amortization of intangible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8,223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6"/>
                <w:szCs w:val="16"/>
                <w:color w:val="auto"/>
              </w:rPr>
              <w:t>University related expenses</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173,330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324,140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294,188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253,263</w:t>
            </w:r>
          </w:p>
        </w:tc>
      </w:tr>
      <w:tr>
        <w:trPr>
          <w:trHeight w:val="203"/>
        </w:trPr>
        <w:tc>
          <w:tcPr>
            <w:tcW w:w="20" w:type="dxa"/>
            <w:vAlign w:val="bottom"/>
          </w:tcPr>
          <w:p>
            <w:pPr>
              <w:spacing w:after="0"/>
              <w:rPr>
                <w:sz w:val="17"/>
                <w:szCs w:val="17"/>
                <w:color w:val="auto"/>
              </w:rPr>
            </w:pPr>
          </w:p>
        </w:tc>
        <w:tc>
          <w:tcPr>
            <w:tcW w:w="390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Loss on transaction</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3,966</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18,370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1,702</w:t>
            </w:r>
          </w:p>
        </w:tc>
      </w:tr>
      <w:tr>
        <w:trPr>
          <w:trHeight w:val="196"/>
        </w:trPr>
        <w:tc>
          <w:tcPr>
            <w:tcW w:w="20" w:type="dxa"/>
            <w:vAlign w:val="bottom"/>
          </w:tcPr>
          <w:p>
            <w:pPr>
              <w:spacing w:after="0"/>
              <w:rPr>
                <w:sz w:val="17"/>
                <w:szCs w:val="17"/>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Total costs and expenses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513,512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587,352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691,380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636,141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567,839</w:t>
            </w:r>
          </w:p>
        </w:tc>
      </w:tr>
      <w:tr>
        <w:trPr>
          <w:trHeight w:val="196"/>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Operating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265,131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258,149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282,754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237,203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210,361</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 on Secured Note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(11,311)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(2,169)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(1,248)</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interest and other</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4,385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196"/>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317,502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287,000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283,528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236,124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209,007</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58,327</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57,989</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80,209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87,610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77,596</w:t>
            </w:r>
          </w:p>
        </w:tc>
      </w:tr>
      <w:tr>
        <w:trPr>
          <w:trHeight w:val="236"/>
        </w:trPr>
        <w:tc>
          <w:tcPr>
            <w:tcW w:w="20" w:type="dxa"/>
            <w:vAlign w:val="bottom"/>
          </w:tcPr>
          <w:p>
            <w:pPr>
              <w:spacing w:after="0"/>
              <w:rPr>
                <w:sz w:val="20"/>
                <w:szCs w:val="20"/>
                <w:color w:val="auto"/>
              </w:rPr>
            </w:pPr>
          </w:p>
        </w:tc>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income</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259,175</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229,011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203,319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148,514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131,411</w:t>
            </w:r>
          </w:p>
        </w:tc>
      </w:tr>
      <w:tr>
        <w:trPr>
          <w:trHeight w:val="183"/>
        </w:trPr>
        <w:tc>
          <w:tcPr>
            <w:tcW w:w="20" w:type="dxa"/>
            <w:vAlign w:val="bottom"/>
          </w:tcPr>
          <w:p>
            <w:pPr>
              <w:spacing w:after="0"/>
              <w:rPr>
                <w:sz w:val="15"/>
                <w:szCs w:val="15"/>
                <w:color w:val="auto"/>
              </w:rPr>
            </w:pPr>
          </w:p>
        </w:tc>
        <w:tc>
          <w:tcPr>
            <w:tcW w:w="390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Earnings per common share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Arial" w:cs="Arial" w:eastAsia="Arial" w:hAnsi="Arial"/>
                <w:sz w:val="17"/>
                <w:szCs w:val="17"/>
                <w:color w:val="auto"/>
              </w:rPr>
              <w:t>Basic</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5.42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4.81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4.31</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3.22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Diluted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w:t>
            </w: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w w:val="93"/>
              </w:rPr>
              <w:t>Shares used in computing earnings per common 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Basic</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47,814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47,608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47,140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46,083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45,975</w:t>
            </w:r>
          </w:p>
        </w:tc>
      </w:tr>
      <w:tr>
        <w:trPr>
          <w:trHeight w:val="203"/>
        </w:trPr>
        <w:tc>
          <w:tcPr>
            <w:tcW w:w="20" w:type="dxa"/>
            <w:vAlign w:val="bottom"/>
          </w:tcPr>
          <w:p>
            <w:pPr>
              <w:spacing w:after="0"/>
              <w:rPr>
                <w:sz w:val="17"/>
                <w:szCs w:val="17"/>
                <w:color w:val="auto"/>
              </w:rPr>
            </w:pPr>
          </w:p>
        </w:tc>
        <w:tc>
          <w:tcPr>
            <w:tcW w:w="3900" w:type="dxa"/>
            <w:vAlign w:val="bottom"/>
            <w:gridSpan w:val="2"/>
          </w:tcPr>
          <w:p>
            <w:pPr>
              <w:ind w:left="200"/>
              <w:spacing w:after="0"/>
              <w:rPr>
                <w:sz w:val="20"/>
                <w:szCs w:val="20"/>
                <w:color w:val="auto"/>
              </w:rPr>
            </w:pPr>
            <w:r>
              <w:rPr>
                <w:rFonts w:ascii="Arial" w:cs="Arial" w:eastAsia="Arial" w:hAnsi="Arial"/>
                <w:sz w:val="17"/>
                <w:szCs w:val="17"/>
                <w:color w:val="auto"/>
              </w:rPr>
              <w:t>Diluted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48,266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48,414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48,235</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47,121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47,281</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Other Data: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Capital expenditures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22,391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94,857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123,954</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239,019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218,301</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35,379</w:t>
            </w: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Intangible asset amortization</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8,223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Adjusted EBITDA</w:t>
            </w:r>
            <w:r>
              <w:rPr>
                <w:rFonts w:ascii="Arial" w:cs="Arial" w:eastAsia="Arial" w:hAnsi="Arial"/>
                <w:sz w:val="23"/>
                <w:szCs w:val="23"/>
                <w:color w:val="auto"/>
                <w:vertAlign w:val="superscript"/>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311,342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274,052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245,122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209,358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177,235</w:t>
            </w: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line="202" w:lineRule="exact"/>
              <w:rPr>
                <w:sz w:val="20"/>
                <w:szCs w:val="20"/>
                <w:color w:val="auto"/>
              </w:rPr>
            </w:pPr>
            <w:r>
              <w:rPr>
                <w:rFonts w:ascii="Arial" w:cs="Arial" w:eastAsia="Arial" w:hAnsi="Arial"/>
                <w:sz w:val="16"/>
                <w:szCs w:val="16"/>
                <w:color w:val="auto"/>
              </w:rPr>
              <w:t>Period end enrollment</w:t>
            </w:r>
            <w:r>
              <w:rPr>
                <w:rFonts w:ascii="Arial" w:cs="Arial" w:eastAsia="Arial" w:hAnsi="Arial"/>
                <w:sz w:val="23"/>
                <w:szCs w:val="23"/>
                <w:color w:val="auto"/>
                <w:vertAlign w:val="superscript"/>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106,861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97,369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90,297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81,908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74,506</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Balance Sheet Data:</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Cash and cash equivalents, and investments</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143,873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120,346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242,745</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108,572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106,400</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cash, cash equivalents and investments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94,534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75,384</w:t>
            </w: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Secured Note receivable</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969,912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900,093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6"/>
                <w:szCs w:val="16"/>
                <w:color w:val="auto"/>
              </w:rPr>
              <w:t>Total assets</w:t>
            </w:r>
            <w:r>
              <w:rPr>
                <w:rFonts w:ascii="Arial" w:cs="Arial" w:eastAsia="Arial" w:hAnsi="Arial"/>
                <w:sz w:val="23"/>
                <w:szCs w:val="23"/>
                <w:color w:val="auto"/>
                <w:vertAlign w:val="superscript"/>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1,690,289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1,324,017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1,303,573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1,092,493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891,982</w:t>
            </w:r>
          </w:p>
        </w:tc>
      </w:tr>
      <w:tr>
        <w:trPr>
          <w:trHeight w:val="203"/>
        </w:trPr>
        <w:tc>
          <w:tcPr>
            <w:tcW w:w="2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7"/>
                <w:szCs w:val="17"/>
                <w:color w:val="auto"/>
              </w:rPr>
              <w:t>Notes payable (including short-term)</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140,918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59,905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66,616</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98,252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79,877</w:t>
            </w:r>
          </w:p>
        </w:tc>
      </w:tr>
      <w:tr>
        <w:trPr>
          <w:trHeight w:val="203"/>
        </w:trPr>
        <w:tc>
          <w:tcPr>
            <w:tcW w:w="20" w:type="dxa"/>
            <w:vAlign w:val="bottom"/>
          </w:tcPr>
          <w:p>
            <w:pPr>
              <w:spacing w:after="0"/>
              <w:rPr>
                <w:sz w:val="17"/>
                <w:szCs w:val="17"/>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1,443,433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1,213,597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985,951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773,686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610,251</w:t>
            </w:r>
          </w:p>
        </w:tc>
      </w:tr>
      <w:tr>
        <w:trPr>
          <w:trHeight w:val="115"/>
        </w:trPr>
        <w:tc>
          <w:tcPr>
            <w:tcW w:w="2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r>
    </w:tbl>
    <w:p>
      <w:pPr>
        <w:spacing w:after="0" w:line="67" w:lineRule="exact"/>
        <w:rPr>
          <w:sz w:val="20"/>
          <w:szCs w:val="20"/>
          <w:color w:val="auto"/>
        </w:rPr>
      </w:pPr>
    </w:p>
    <w:p>
      <w:pPr>
        <w:jc w:val="both"/>
        <w:ind w:left="460" w:right="60" w:hanging="451"/>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third quarter of 2018, the Company made changes in its presentation of operating expenses and reclassified prior periods to conform to the current presentation. All years in the five (5) year table were reclassified to conform to the current presentation.</w:t>
      </w:r>
    </w:p>
    <w:p>
      <w:pPr>
        <w:sectPr>
          <w:pgSz w:w="11900" w:h="16838" w:orient="portrait"/>
          <w:cols w:equalWidth="0" w:num="1">
            <w:col w:w="9060"/>
          </w:cols>
          <w:pgMar w:left="1420" w:top="517" w:right="14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60" w:right="139" w:hanging="451"/>
        <w:spacing w:after="0" w:line="288"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Adjusted EBITDA is a non-GAAP financial measure that we define as net income plus interest expense, less interest income and other gain (loss) recognized on investments, plus income tax expense, plus depreciation and amortization (but excluding depreciation and amortization included in university related expenses) (EBITDA), as adjusted for</w:t>
      </w:r>
    </w:p>
    <w:p>
      <w:pPr>
        <w:ind w:left="460" w:right="159"/>
        <w:spacing w:after="0" w:line="265" w:lineRule="auto"/>
        <w:rPr>
          <w:rFonts w:ascii="Arial" w:cs="Arial" w:eastAsia="Arial" w:hAnsi="Arial"/>
          <w:sz w:val="16"/>
          <w:szCs w:val="16"/>
          <w:color w:val="auto"/>
        </w:rPr>
      </w:pPr>
      <w:r>
        <w:rPr>
          <w:rFonts w:ascii="Arial" w:cs="Arial" w:eastAsia="Arial" w:hAnsi="Arial"/>
          <w:sz w:val="17"/>
          <w:szCs w:val="17"/>
          <w:color w:val="auto"/>
        </w:rPr>
        <w:t>(i) contributions to private Arizona school tuition organizations in lieu of the payment of state income taxes; (ii) loss on transaction; (iii) university related expenses; (iv) share-based compensation, (v) the revenue share rate on the Master Services Agreement, and (vi) unusual charges or gains, such as litigation and regulatory reserves, impairment charges and asset write-offs, and exit or lease termination costs. We have reclassified depreciation and amortization related to university assets and share-based compensation for former GCE employees who are employed by GCU to university related expenses to provide comparability between periods.</w:t>
      </w:r>
    </w:p>
    <w:p>
      <w:pPr>
        <w:spacing w:after="0" w:line="1" w:lineRule="exact"/>
        <w:rPr>
          <w:rFonts w:ascii="Arial" w:cs="Arial" w:eastAsia="Arial" w:hAnsi="Arial"/>
          <w:sz w:val="16"/>
          <w:szCs w:val="16"/>
          <w:color w:val="auto"/>
        </w:rPr>
      </w:pPr>
    </w:p>
    <w:p>
      <w:pPr>
        <w:ind w:left="460" w:hanging="451"/>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Enrollment represents individual students who attended a course during the last two months of the calendar quarter.</w:t>
      </w:r>
    </w:p>
    <w:p>
      <w:pPr>
        <w:spacing w:after="0" w:line="32" w:lineRule="exact"/>
        <w:rPr>
          <w:rFonts w:ascii="Arial" w:cs="Arial" w:eastAsia="Arial" w:hAnsi="Arial"/>
          <w:sz w:val="16"/>
          <w:szCs w:val="16"/>
          <w:color w:val="auto"/>
        </w:rPr>
      </w:pPr>
    </w:p>
    <w:p>
      <w:pPr>
        <w:ind w:left="460" w:right="119" w:hanging="451"/>
        <w:spacing w:after="0" w:line="27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first quarter of 2016, GCE made changes in its presentation of deferred tax assets and liabilities to comply with a new accounting standard. Accordingly, we reclassified the current deferred taxes to net against noncurrent deferred tax liabilities for all prior periods to conform to the current presentation.</w:t>
      </w:r>
    </w:p>
    <w:p>
      <w:pPr>
        <w:spacing w:after="0" w:line="389" w:lineRule="exact"/>
        <w:rPr>
          <w:sz w:val="20"/>
          <w:szCs w:val="20"/>
          <w:color w:val="auto"/>
        </w:rPr>
      </w:pPr>
    </w:p>
    <w:p>
      <w:pPr>
        <w:ind w:right="19" w:firstLine="324"/>
        <w:spacing w:after="0" w:line="270" w:lineRule="auto"/>
        <w:rPr>
          <w:sz w:val="20"/>
          <w:szCs w:val="20"/>
          <w:color w:val="auto"/>
        </w:rPr>
      </w:pPr>
      <w:r>
        <w:rPr>
          <w:rFonts w:ascii="Arial" w:cs="Arial" w:eastAsia="Arial" w:hAnsi="Arial"/>
          <w:sz w:val="17"/>
          <w:szCs w:val="17"/>
          <w:color w:val="auto"/>
        </w:rPr>
        <w:t>We present Adjusted EBITDA, a non-GAAP financial measure, because we consider it to be an important supplemental measure of our operating performance. We also make certain compensation decisions based, in part, on our operating performance, as measured by Adjusted EBITDA, and our credit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82" w:lineRule="exact"/>
        <w:rPr>
          <w:sz w:val="20"/>
          <w:szCs w:val="20"/>
          <w:color w:val="auto"/>
        </w:rPr>
      </w:pPr>
    </w:p>
    <w:p>
      <w:pPr>
        <w:ind w:right="19" w:firstLine="324"/>
        <w:spacing w:after="0" w:line="254" w:lineRule="auto"/>
        <w:rPr>
          <w:sz w:val="20"/>
          <w:szCs w:val="20"/>
          <w:color w:val="auto"/>
        </w:rPr>
      </w:pPr>
      <w:r>
        <w:rPr>
          <w:rFonts w:ascii="Arial" w:cs="Arial" w:eastAsia="Arial" w:hAnsi="Arial"/>
          <w:sz w:val="18"/>
          <w:szCs w:val="18"/>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92" w:lineRule="exact"/>
        <w:rPr>
          <w:sz w:val="20"/>
          <w:szCs w:val="20"/>
          <w:color w:val="auto"/>
        </w:rPr>
      </w:pPr>
    </w:p>
    <w:p>
      <w:pPr>
        <w:ind w:right="119" w:firstLine="324"/>
        <w:spacing w:after="0" w:line="259" w:lineRule="auto"/>
        <w:rPr>
          <w:sz w:val="20"/>
          <w:szCs w:val="20"/>
          <w:color w:val="auto"/>
        </w:rPr>
      </w:pPr>
      <w:r>
        <w:rPr>
          <w:rFonts w:ascii="Arial" w:cs="Arial" w:eastAsia="Arial" w:hAnsi="Arial"/>
          <w:sz w:val="18"/>
          <w:szCs w:val="18"/>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87" w:lineRule="exact"/>
        <w:rPr>
          <w:sz w:val="20"/>
          <w:szCs w:val="20"/>
          <w:color w:val="auto"/>
        </w:rPr>
      </w:pPr>
    </w:p>
    <w:p>
      <w:pPr>
        <w:ind w:left="1460" w:hanging="330"/>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23" w:lineRule="exact"/>
        <w:rPr>
          <w:rFonts w:ascii="Arial" w:cs="Arial" w:eastAsia="Arial" w:hAnsi="Arial"/>
          <w:sz w:val="18"/>
          <w:szCs w:val="18"/>
          <w:color w:val="auto"/>
        </w:rPr>
      </w:pPr>
    </w:p>
    <w:p>
      <w:pPr>
        <w:ind w:left="1460" w:hanging="330"/>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9" w:lineRule="exact"/>
        <w:rPr>
          <w:rFonts w:ascii="Arial" w:cs="Arial" w:eastAsia="Arial" w:hAnsi="Arial"/>
          <w:sz w:val="18"/>
          <w:szCs w:val="18"/>
          <w:color w:val="auto"/>
        </w:rPr>
      </w:pPr>
    </w:p>
    <w:p>
      <w:pPr>
        <w:ind w:left="1460" w:hanging="330"/>
        <w:spacing w:after="0"/>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interest expense, or the cash required to replace assets that are being depreciated or amortized; and</w:t>
      </w:r>
    </w:p>
    <w:p>
      <w:pPr>
        <w:spacing w:after="0" w:line="32" w:lineRule="exact"/>
        <w:rPr>
          <w:rFonts w:ascii="Arial" w:cs="Arial" w:eastAsia="Arial" w:hAnsi="Arial"/>
          <w:sz w:val="16"/>
          <w:szCs w:val="16"/>
          <w:color w:val="auto"/>
        </w:rPr>
      </w:pPr>
    </w:p>
    <w:p>
      <w:pPr>
        <w:ind w:left="1460" w:right="319" w:hanging="330"/>
        <w:spacing w:after="0" w:line="261"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84" w:lineRule="exact"/>
        <w:rPr>
          <w:sz w:val="20"/>
          <w:szCs w:val="20"/>
          <w:color w:val="auto"/>
        </w:rPr>
      </w:pPr>
    </w:p>
    <w:p>
      <w:pPr>
        <w:ind w:right="59" w:firstLine="324"/>
        <w:spacing w:after="0" w:line="272" w:lineRule="auto"/>
        <w:rPr>
          <w:sz w:val="20"/>
          <w:szCs w:val="20"/>
          <w:color w:val="auto"/>
        </w:rPr>
      </w:pPr>
      <w:r>
        <w:rPr>
          <w:rFonts w:ascii="Arial" w:cs="Arial" w:eastAsia="Arial" w:hAnsi="Arial"/>
          <w:sz w:val="17"/>
          <w:szCs w:val="17"/>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10-K.</w:t>
      </w:r>
    </w:p>
    <w:p>
      <w:pPr>
        <w:sectPr>
          <w:pgSz w:w="11900" w:h="16838" w:orient="portrait"/>
          <w:cols w:equalWidth="0" w:num="1">
            <w:col w:w="9039"/>
          </w:cols>
          <w:pgMar w:left="1420" w:top="517" w:right="1440" w:bottom="1440" w:gutter="0" w:footer="0" w:header="0"/>
        </w:sect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reconciles net income to Adjusted EBITDA to net income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511"/>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r>
      <w:tr>
        <w:trPr>
          <w:trHeight w:val="210"/>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$ 259,175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229,011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131,411</w:t>
            </w: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Plus: interest expense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11,311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interest income on Secured Note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Less: investment interest and other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77,596</w:t>
            </w: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Plus: amortization of intangible assets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Plus: depreciation and amortization</w:t>
            </w:r>
            <w:r>
              <w:rPr>
                <w:rFonts w:ascii="Arial" w:cs="Arial" w:eastAsia="Arial" w:hAnsi="Arial"/>
                <w:sz w:val="25"/>
                <w:szCs w:val="25"/>
                <w:color w:val="auto"/>
                <w:vertAlign w:val="superscript"/>
              </w:rPr>
              <w:t>(a)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w:t>
            </w:r>
          </w:p>
        </w:tc>
      </w:tr>
      <w:tr>
        <w:trPr>
          <w:trHeight w:val="182"/>
        </w:trPr>
        <w:tc>
          <w:tcPr>
            <w:tcW w:w="20" w:type="dxa"/>
            <w:vAlign w:val="bottom"/>
          </w:tcPr>
          <w:p>
            <w:pPr>
              <w:spacing w:after="0"/>
              <w:rPr>
                <w:sz w:val="15"/>
                <w:szCs w:val="15"/>
                <w:color w:val="auto"/>
              </w:rPr>
            </w:pPr>
          </w:p>
        </w:tc>
        <w:tc>
          <w:tcPr>
            <w:tcW w:w="4060" w:type="dxa"/>
            <w:vAlign w:val="bottom"/>
            <w:gridSpan w:val="2"/>
          </w:tcPr>
          <w:p>
            <w:pPr>
              <w:spacing w:after="0" w:line="182" w:lineRule="exact"/>
              <w:rPr>
                <w:sz w:val="20"/>
                <w:szCs w:val="20"/>
                <w:color w:val="auto"/>
              </w:rPr>
            </w:pPr>
            <w:r>
              <w:rPr>
                <w:rFonts w:ascii="Arial" w:cs="Arial" w:eastAsia="Arial" w:hAnsi="Arial"/>
                <w:sz w:val="18"/>
                <w:szCs w:val="18"/>
                <w:color w:val="auto"/>
                <w:w w:val="93"/>
              </w:rPr>
              <w:t>EBITDA, excluding university related depreciation and</w:t>
            </w: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30"/>
        </w:trPr>
        <w:tc>
          <w:tcPr>
            <w:tcW w:w="408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292,050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273,720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298,366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249,713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221,840</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6"/>
                <w:szCs w:val="16"/>
                <w:color w:val="auto"/>
              </w:rPr>
              <w:t>Plus: contributions in lieu of state income taxes</w:t>
            </w:r>
            <w:r>
              <w:rPr>
                <w:rFonts w:ascii="Arial" w:cs="Arial" w:eastAsia="Arial" w:hAnsi="Arial"/>
                <w:sz w:val="24"/>
                <w:szCs w:val="24"/>
                <w:color w:val="auto"/>
                <w:vertAlign w:val="superscript"/>
              </w:rPr>
              <w:t>(b)</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line="216" w:lineRule="exact"/>
              <w:rPr>
                <w:sz w:val="20"/>
                <w:szCs w:val="20"/>
                <w:color w:val="auto"/>
              </w:rPr>
            </w:pPr>
            <w:r>
              <w:rPr>
                <w:rFonts w:ascii="Arial" w:cs="Arial" w:eastAsia="Arial" w:hAnsi="Arial"/>
                <w:sz w:val="17"/>
                <w:szCs w:val="17"/>
                <w:color w:val="auto"/>
              </w:rPr>
              <w:t>Plus: loss on transaction</w:t>
            </w:r>
            <w:r>
              <w:rPr>
                <w:rFonts w:ascii="Arial" w:cs="Arial" w:eastAsia="Arial" w:hAnsi="Arial"/>
                <w:sz w:val="25"/>
                <w:szCs w:val="25"/>
                <w:color w:val="auto"/>
                <w:vertAlign w:val="superscript"/>
              </w:rPr>
              <w:t>(c)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Plus: university related expenses</w:t>
            </w:r>
            <w:r>
              <w:rPr>
                <w:rFonts w:ascii="Arial" w:cs="Arial" w:eastAsia="Arial" w:hAnsi="Arial"/>
                <w:sz w:val="25"/>
                <w:szCs w:val="25"/>
                <w:color w:val="auto"/>
                <w:vertAlign w:val="superscript"/>
              </w:rPr>
              <w:t>(d)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173,330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253,263</w:t>
            </w: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line="216" w:lineRule="exact"/>
              <w:rPr>
                <w:sz w:val="20"/>
                <w:szCs w:val="20"/>
                <w:color w:val="auto"/>
              </w:rPr>
            </w:pPr>
            <w:r>
              <w:rPr>
                <w:rFonts w:ascii="Arial" w:cs="Arial" w:eastAsia="Arial" w:hAnsi="Arial"/>
                <w:sz w:val="17"/>
                <w:szCs w:val="17"/>
                <w:color w:val="auto"/>
              </w:rPr>
              <w:t>Less: 40% of university related revenue</w:t>
            </w:r>
            <w:r>
              <w:rPr>
                <w:rFonts w:ascii="Arial" w:cs="Arial" w:eastAsia="Arial" w:hAnsi="Arial"/>
                <w:sz w:val="25"/>
                <w:szCs w:val="25"/>
                <w:color w:val="auto"/>
                <w:vertAlign w:val="superscript"/>
              </w:rPr>
              <w:t>(e)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(205,000)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(389,654)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(349,338)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(311,280)</w:t>
            </w: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Plus: share-based compensation</w:t>
            </w:r>
            <w:r>
              <w:rPr>
                <w:rFonts w:ascii="Arial" w:cs="Arial" w:eastAsia="Arial" w:hAnsi="Arial"/>
                <w:sz w:val="25"/>
                <w:szCs w:val="25"/>
                <w:color w:val="auto"/>
                <w:vertAlign w:val="superscript"/>
              </w:rPr>
              <w:t>(f)</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w w:val="98"/>
              </w:rPr>
              <w:t>Plus: estimated litigation and regulatory reserves(g)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$ 311,342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274,052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177,235</w:t>
            </w: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67" w:lineRule="exact"/>
        <w:rPr>
          <w:sz w:val="20"/>
          <w:szCs w:val="20"/>
          <w:color w:val="auto"/>
        </w:rPr>
      </w:pPr>
    </w:p>
    <w:p>
      <w:pPr>
        <w:ind w:left="680" w:right="140" w:hanging="320"/>
        <w:spacing w:after="0" w:line="258"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depreciation and amortization related to GCE assets. Depreciation and amortization amounts related to university assets have been reclassified to university related expenses.</w:t>
      </w:r>
    </w:p>
    <w:p>
      <w:pPr>
        <w:spacing w:after="0" w:line="1" w:lineRule="exact"/>
        <w:rPr>
          <w:rFonts w:ascii="Arial" w:cs="Arial" w:eastAsia="Arial" w:hAnsi="Arial"/>
          <w:sz w:val="18"/>
          <w:szCs w:val="18"/>
          <w:color w:val="auto"/>
        </w:rPr>
      </w:pPr>
    </w:p>
    <w:p>
      <w:pPr>
        <w:ind w:left="680" w:right="180" w:hanging="320"/>
        <w:spacing w:after="0" w:line="250"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18.4%, 20.2% and 28.3% for the years ended December 31, 2019, 2018 and 2017, respectively. Had these contributions not been made, our effective tax rate would have been 19.3%, 21.2% and 28.8%, for 2019, 2018 and 2017, respectively. Such contributions are viewed by our management to be made in lieu of payments of state income taxes and are therefore excluded from evaluation of our core operating performance.</w:t>
      </w:r>
    </w:p>
    <w:p>
      <w:pPr>
        <w:spacing w:after="0" w:line="3" w:lineRule="exact"/>
        <w:rPr>
          <w:rFonts w:ascii="Arial" w:cs="Arial" w:eastAsia="Arial" w:hAnsi="Arial"/>
          <w:sz w:val="18"/>
          <w:szCs w:val="18"/>
          <w:color w:val="auto"/>
        </w:rPr>
      </w:pPr>
    </w:p>
    <w:p>
      <w:pPr>
        <w:ind w:left="680" w:right="80" w:hanging="320"/>
        <w:spacing w:after="0" w:line="281" w:lineRule="auto"/>
        <w:tabs>
          <w:tab w:leader="none" w:pos="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costs incurred related to the acquisition and transaction. Costs incurred during 2019 include legal and other third-party costs related to the Orbis Education acquisition. 2018 amounts are primarily related to the GCU transaction and include legal and other third-party expenses of $5.8 million, an asset impairment of $3.0 million, and $9.6 million for a deferred compensation plan for GCU employees that were formerly GCE employees (the “Transferred Employees”) and that held unvested restricted stock of GCE that was forfeited upon the transaction in 2018. Costs incurred prior to 2018 primarily represent legal costs related to the GCU transaction.</w:t>
      </w:r>
    </w:p>
    <w:p>
      <w:pPr>
        <w:spacing w:after="0" w:line="4" w:lineRule="exact"/>
        <w:rPr>
          <w:rFonts w:ascii="Arial" w:cs="Arial" w:eastAsia="Arial" w:hAnsi="Arial"/>
          <w:sz w:val="16"/>
          <w:szCs w:val="16"/>
          <w:color w:val="auto"/>
        </w:rPr>
      </w:pPr>
    </w:p>
    <w:p>
      <w:pPr>
        <w:ind w:left="680" w:right="80" w:hanging="320"/>
        <w:spacing w:after="0" w:line="250"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costs that were transferred to GCU in the Transaction that are no longer incurred by GCE. Includes $3,523 of costs related to the early termination of leased space in 2016.</w:t>
      </w:r>
    </w:p>
    <w:p>
      <w:pPr>
        <w:ind w:left="680" w:right="140" w:hanging="320"/>
        <w:spacing w:after="0" w:line="250"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adjustment to reduce as reported university related revenue by 40% to reflect revenue share percentage of 60% under the Master Services Agreement.</w:t>
      </w:r>
    </w:p>
    <w:p>
      <w:pPr>
        <w:ind w:left="680" w:right="140" w:hanging="320"/>
        <w:spacing w:after="0" w:line="250"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share-based compensation expense related to GCE employees; amounts related to Transferred Employees that now work for the university were reclassified to university related expense to provide comparability between periods.</w:t>
      </w:r>
    </w:p>
    <w:p>
      <w:pPr>
        <w:spacing w:after="0" w:line="1" w:lineRule="exact"/>
        <w:rPr>
          <w:rFonts w:ascii="Arial" w:cs="Arial" w:eastAsia="Arial" w:hAnsi="Arial"/>
          <w:sz w:val="18"/>
          <w:szCs w:val="18"/>
          <w:color w:val="auto"/>
        </w:rPr>
      </w:pPr>
    </w:p>
    <w:p>
      <w:pPr>
        <w:jc w:val="both"/>
        <w:ind w:left="680" w:right="80" w:hanging="320"/>
        <w:spacing w:after="0" w:line="255" w:lineRule="auto"/>
        <w:tabs>
          <w:tab w:leader="none" w:pos="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Reflects primarily regulatory litigation as GCE retained responsibility for all liabilities of the business arising from pre-closing date of the transaction. See </w:t>
      </w:r>
      <w:r>
        <w:rPr>
          <w:rFonts w:ascii="Arial" w:cs="Arial" w:eastAsia="Arial" w:hAnsi="Arial"/>
          <w:sz w:val="18"/>
          <w:szCs w:val="18"/>
          <w:i w:val="1"/>
          <w:iCs w:val="1"/>
          <w:color w:val="auto"/>
        </w:rPr>
        <w:t>Note 2 – The Transaction</w:t>
      </w:r>
      <w:r>
        <w:rPr>
          <w:rFonts w:ascii="Arial" w:cs="Arial" w:eastAsia="Arial" w:hAnsi="Arial"/>
          <w:sz w:val="18"/>
          <w:szCs w:val="18"/>
          <w:color w:val="auto"/>
        </w:rPr>
        <w:t xml:space="preserve"> in our consolidated financial statements for a full description of the Transaction.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The following discussion and analysis of our financial condition and results of operations for the years ended December 31, 2019 and 2018 should be read in conjunction with our consolidated financial statements and related notes that appear in Item 8, </w:t>
      </w:r>
      <w:r>
        <w:rPr>
          <w:rFonts w:ascii="Arial" w:cs="Arial" w:eastAsia="Arial" w:hAnsi="Arial"/>
          <w:sz w:val="17"/>
          <w:szCs w:val="17"/>
          <w:i w:val="1"/>
          <w:iCs w:val="1"/>
          <w:color w:val="auto"/>
        </w:rPr>
        <w:t>Consolidated Financial Statements and Supplementary Data</w:t>
      </w:r>
      <w:r>
        <w:rPr>
          <w:rFonts w:ascii="Arial" w:cs="Arial" w:eastAsia="Arial" w:hAnsi="Arial"/>
          <w:sz w:val="17"/>
          <w:szCs w:val="17"/>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w:t>
      </w:r>
      <w:r>
        <w:rPr>
          <w:rFonts w:ascii="Arial" w:cs="Arial" w:eastAsia="Arial" w:hAnsi="Arial"/>
          <w:sz w:val="17"/>
          <w:szCs w:val="17"/>
          <w:i w:val="1"/>
          <w:iCs w:val="1"/>
          <w:color w:val="auto"/>
        </w:rPr>
        <w:t>Special Note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Regarding Forward-Looking Statements </w:t>
      </w:r>
      <w:r>
        <w:rPr>
          <w:rFonts w:ascii="Arial" w:cs="Arial" w:eastAsia="Arial" w:hAnsi="Arial"/>
          <w:sz w:val="17"/>
          <w:szCs w:val="17"/>
          <w:color w:val="auto"/>
        </w:rPr>
        <w:t>and in Item 1A,</w:t>
      </w:r>
      <w:r>
        <w:rPr>
          <w:rFonts w:ascii="Arial" w:cs="Arial" w:eastAsia="Arial" w:hAnsi="Arial"/>
          <w:sz w:val="17"/>
          <w:szCs w:val="17"/>
          <w:i w:val="1"/>
          <w:iCs w:val="1"/>
          <w:color w:val="auto"/>
        </w:rPr>
        <w:t xml:space="preserve"> Risk Factors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primary university partner is GCU, a comprehensive regionally accredited university that offers graduate and undergraduate degree programs, emphases and certificates across nine colleges both online and on ground at its campus in Phoenix, Arizona.</w:t>
      </w:r>
    </w:p>
    <w:p>
      <w:pPr>
        <w:spacing w:after="0" w:line="18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In January 2019, GCE began providing education services to numerous university partners across the United States, through our wholly owned subsidiary, Orbis Education, which we acquired on January 22, 2019. See </w:t>
      </w:r>
      <w:r>
        <w:rPr>
          <w:rFonts w:ascii="Arial" w:cs="Arial" w:eastAsia="Arial" w:hAnsi="Arial"/>
          <w:sz w:val="18"/>
          <w:szCs w:val="18"/>
          <w:i w:val="1"/>
          <w:iCs w:val="1"/>
          <w:color w:val="auto"/>
        </w:rPr>
        <w:t>Note 3 - Acquisition</w:t>
      </w:r>
      <w:r>
        <w:rPr>
          <w:rFonts w:ascii="Arial" w:cs="Arial" w:eastAsia="Arial" w:hAnsi="Arial"/>
          <w:sz w:val="18"/>
          <w:szCs w:val="18"/>
          <w:color w:val="auto"/>
        </w:rPr>
        <w:t xml:space="preserve"> to consolidated financial statements for a full description of the Acquisition. Orbis Education works in partnership with a growing number of top universities and healthcare networks across the country to develop high-quality, career-ready graduates who enter the workforce and ease healthcare industry demands. Orbis Education offers four primary academic programs with site simulation and skill labs located near healthcare providers. Therefore, the results of operations for the year ended December 31, 2019 include Orbis Education’s financial results for the period from January 22, 2019 to December 31, 2019.</w:t>
      </w:r>
    </w:p>
    <w:p>
      <w:pPr>
        <w:spacing w:after="0" w:line="19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 xml:space="preserve">Prior to July 1, 2018, GCE operated GCU. On July 1, 2018, the Company sold GCU to an independent, nonprofit entity (the “Transaction”). See </w:t>
      </w:r>
      <w:r>
        <w:rPr>
          <w:rFonts w:ascii="Arial" w:cs="Arial" w:eastAsia="Arial" w:hAnsi="Arial"/>
          <w:sz w:val="16"/>
          <w:szCs w:val="16"/>
          <w:i w:val="1"/>
          <w:iCs w:val="1"/>
          <w:color w:val="auto"/>
        </w:rPr>
        <w:t>Note 2- The Transaction</w:t>
      </w:r>
      <w:r>
        <w:rPr>
          <w:rFonts w:ascii="Arial" w:cs="Arial" w:eastAsia="Arial" w:hAnsi="Arial"/>
          <w:sz w:val="16"/>
          <w:szCs w:val="16"/>
          <w:color w:val="auto"/>
        </w:rPr>
        <w:t xml:space="preserve"> to our consolidated financial statements for a full description of the Transaction. Accordingly, the results of operations discussed herein for the twelve-month period ended December 31, 2018 reflect the Company’s operations prior to July 1, 2018 which were made up exclusively of the operations of GCU. For the period from July 1, 2018 to December 31, 2018 and for the year ended December 31, 2019, results of operations do not include the operations of GCU but rather reflect the operations of the Company as an education services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8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b w:val="1"/>
          <w:bCs w:val="1"/>
          <w:i w:val="1"/>
          <w:iCs w:val="1"/>
          <w:color w:val="auto"/>
        </w:rPr>
        <w:t>Revenue recognition</w:t>
      </w:r>
      <w:r>
        <w:rPr>
          <w:rFonts w:ascii="Arial" w:cs="Arial" w:eastAsia="Arial" w:hAnsi="Arial"/>
          <w:sz w:val="17"/>
          <w:szCs w:val="17"/>
          <w:color w:val="auto"/>
        </w:rPr>
        <w:t>. Starting July 1, 2018, the Company generates all of its revenue through services agreements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university partners (“Services Agreements”), pursuant to which the Company provides integrated technology and academic services, marketing and communication services, and as applicable, certain back office services to its university partners in return for a percentage of tuition and fee revenue.</w:t>
      </w:r>
    </w:p>
    <w:p>
      <w:pPr>
        <w:sectPr>
          <w:pgSz w:w="11900" w:h="16838" w:orient="portrait"/>
          <w:cols w:equalWidth="0" w:num="1">
            <w:col w:w="9060"/>
          </w:cols>
          <w:pgMar w:left="1420" w:top="517" w:right="1419"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one year for all partners. There are no refunds or return rights under the Services Agreements.</w:t>
      </w:r>
    </w:p>
    <w:p>
      <w:pPr>
        <w:spacing w:after="0" w:line="211" w:lineRule="exact"/>
        <w:rPr>
          <w:sz w:val="20"/>
          <w:szCs w:val="20"/>
          <w:color w:val="auto"/>
        </w:rPr>
      </w:pPr>
    </w:p>
    <w:p>
      <w:pPr>
        <w:ind w:right="100" w:firstLine="324"/>
        <w:spacing w:after="0" w:line="269" w:lineRule="auto"/>
        <w:rPr>
          <w:sz w:val="20"/>
          <w:szCs w:val="20"/>
          <w:color w:val="auto"/>
        </w:rPr>
      </w:pPr>
      <w:r>
        <w:rPr>
          <w:rFonts w:ascii="Arial" w:cs="Arial" w:eastAsia="Arial" w:hAnsi="Arial"/>
          <w:sz w:val="17"/>
          <w:szCs w:val="17"/>
          <w:b w:val="1"/>
          <w:bCs w:val="1"/>
          <w:i w:val="1"/>
          <w:iCs w:val="1"/>
          <w:color w:val="auto"/>
        </w:rPr>
        <w:t>Business Combinations, Intangible Assets, and Goodwill</w:t>
      </w:r>
      <w:r>
        <w:rPr>
          <w:rFonts w:ascii="Arial" w:cs="Arial" w:eastAsia="Arial" w:hAnsi="Arial"/>
          <w:sz w:val="17"/>
          <w:szCs w:val="17"/>
          <w:color w:val="auto"/>
        </w:rPr>
        <w:t>. We apply the purchase accounting standards for</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“Business</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to acquisitions. The purchase price of an acquisition is allocated to individual tangible and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intangible assets acquired and liabilities assumed based on their estimated fair values on the acquisition date. Any excess purchase price over the assigned values of net assets acquired is recorded as goodwill. On January 22, 2019, the Company acquired, by merger, all of the outstanding equity interests of Orbis Education Services, LLC for $361.2 million, net of cash acquired. As a result of this acquisition, the Company recorded $210.3 million of intangible assets, primarily customer relationships, and $157.8 million of goodwill. Refer to </w:t>
      </w:r>
      <w:r>
        <w:rPr>
          <w:rFonts w:ascii="Arial" w:cs="Arial" w:eastAsia="Arial" w:hAnsi="Arial"/>
          <w:sz w:val="17"/>
          <w:szCs w:val="17"/>
          <w:i w:val="1"/>
          <w:iCs w:val="1"/>
          <w:color w:val="auto"/>
        </w:rPr>
        <w:t>Note 3 – Acquisition</w:t>
      </w:r>
      <w:r>
        <w:rPr>
          <w:rFonts w:ascii="Arial" w:cs="Arial" w:eastAsia="Arial" w:hAnsi="Arial"/>
          <w:sz w:val="17"/>
          <w:szCs w:val="17"/>
          <w:color w:val="auto"/>
        </w:rPr>
        <w:t xml:space="preserve"> within the footnotes to the consolidated financial statements for additional information. The acquired goodwill was allocated to the entity level reporting unit. The determination of the fair value and useful lives of the intangible assets acquired involves certain judgements and estimates. These judgments can include, but are not limited to, the cash flows that an asset is expected to generate in the future and the appropriate weighted average cost of capital.</w:t>
      </w:r>
    </w:p>
    <w:p>
      <w:pPr>
        <w:spacing w:after="0" w:line="183"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for future tax consequences of events that have been recognized in our consolidated financial statements or tax returns. Deferred tax assets and liabilities are measured using enacted tax rates in effect for the year in which the temporary differences are expected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2019 and 2018, the Company has reserved approximately $6,773 and $1,960, respectively, for uncertain tax positions, including interest and penalties.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680" w:firstLine="324"/>
        <w:spacing w:after="0" w:line="312" w:lineRule="auto"/>
        <w:rPr>
          <w:sz w:val="20"/>
          <w:szCs w:val="20"/>
          <w:color w:val="auto"/>
        </w:rPr>
      </w:pPr>
      <w:r>
        <w:rPr>
          <w:rFonts w:ascii="Arial" w:cs="Arial" w:eastAsia="Arial" w:hAnsi="Arial"/>
          <w:sz w:val="16"/>
          <w:szCs w:val="16"/>
          <w:color w:val="auto"/>
        </w:rPr>
        <w:t xml:space="preserve">In July 2019, the FASB issued </w:t>
      </w:r>
      <w:r>
        <w:rPr>
          <w:rFonts w:ascii="Arial" w:cs="Arial" w:eastAsia="Arial" w:hAnsi="Arial"/>
          <w:sz w:val="16"/>
          <w:szCs w:val="16"/>
          <w:i w:val="1"/>
          <w:iCs w:val="1"/>
          <w:color w:val="auto"/>
        </w:rPr>
        <w:t>Accounting Standards Update 2019-07, “Codification Updates to SEC Sections-Amendments to SEC Paragraphs Pursuant to SEC Final Rule Releases No. 33-10532, Disclosure Update and Simplification"</w:t>
      </w:r>
      <w:r>
        <w:rPr>
          <w:rFonts w:ascii="Arial" w:cs="Arial" w:eastAsia="Arial" w:hAnsi="Arial"/>
          <w:sz w:val="16"/>
          <w:szCs w:val="16"/>
          <w:color w:val="auto"/>
        </w:rPr>
        <w:t>, which makes a number of changes meant to simplify certain disclosures in financial condition and</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0"/>
        <w:spacing w:after="0" w:line="297" w:lineRule="auto"/>
        <w:rPr>
          <w:rFonts w:ascii="Arial" w:cs="Arial" w:eastAsia="Arial" w:hAnsi="Arial"/>
          <w:sz w:val="16"/>
          <w:szCs w:val="16"/>
          <w:color w:val="0000EE"/>
        </w:rPr>
      </w:pPr>
      <w:r>
        <w:rPr>
          <w:rFonts w:ascii="Arial" w:cs="Arial" w:eastAsia="Arial" w:hAnsi="Arial"/>
          <w:sz w:val="16"/>
          <w:szCs w:val="16"/>
          <w:color w:val="auto"/>
        </w:rPr>
        <w:t xml:space="preserve">results of operations, particularly by eliminating year-to-year comparisons between prior periods previously disclosed. In complying with the relevant aspects of the rule covering the current year annual report, we now include disclosures on results of operations for fiscal year 2019 versus 2018 only. For a discussion of the results of operations for fiscal year 2018 vs 2017, </w:t>
      </w:r>
      <w:hyperlink r:id="rId62">
        <w:r>
          <w:rPr>
            <w:rFonts w:ascii="Arial" w:cs="Arial" w:eastAsia="Arial" w:hAnsi="Arial"/>
            <w:sz w:val="16"/>
            <w:szCs w:val="16"/>
            <w:color w:val="auto"/>
          </w:rPr>
          <w:t xml:space="preserve">see “Item 7. Management’s Discussion and Analysis of Financial Condition and Results of Operations” in our </w:t>
        </w:r>
        <w:r>
          <w:rPr>
            <w:rFonts w:ascii="Arial" w:cs="Arial" w:eastAsia="Arial" w:hAnsi="Arial"/>
            <w:sz w:val="16"/>
            <w:szCs w:val="16"/>
            <w:u w:val="single" w:color="auto"/>
            <w:color w:val="0000EE"/>
          </w:rPr>
          <w:t>Annual Report</w:t>
        </w:r>
      </w:hyperlink>
      <w:r>
        <w:rPr>
          <w:rFonts w:ascii="Arial" w:cs="Arial" w:eastAsia="Arial" w:hAnsi="Arial"/>
          <w:sz w:val="16"/>
          <w:szCs w:val="16"/>
          <w:color w:val="auto"/>
        </w:rPr>
        <w:t xml:space="preserve"> </w:t>
      </w:r>
      <w:hyperlink r:id="rId62">
        <w:r>
          <w:rPr>
            <w:rFonts w:ascii="Arial" w:cs="Arial" w:eastAsia="Arial" w:hAnsi="Arial"/>
            <w:sz w:val="16"/>
            <w:szCs w:val="16"/>
            <w:u w:val="single" w:color="auto"/>
            <w:color w:val="0000EE"/>
          </w:rPr>
          <w:t>on Form 10-K filed with the SEC for the fiscal year ended December 31, 2018</w:t>
        </w:r>
        <w:r>
          <w:rPr>
            <w:rFonts w:ascii="Arial" w:cs="Arial" w:eastAsia="Arial" w:hAnsi="Arial"/>
            <w:sz w:val="16"/>
            <w:szCs w:val="16"/>
            <w:color w:val="0000EE"/>
          </w:rPr>
          <w:t xml:space="preserve"> </w:t>
        </w:r>
        <w:r>
          <w:rPr>
            <w:rFonts w:ascii="Arial" w:cs="Arial" w:eastAsia="Arial" w:hAnsi="Arial"/>
            <w:sz w:val="16"/>
            <w:szCs w:val="16"/>
            <w:color w:val="000000"/>
          </w:rPr>
          <w:t>incorporated herein by reference.</w:t>
        </w:r>
      </w:hyperlink>
    </w:p>
    <w:p>
      <w:pPr>
        <w:spacing w:after="0" w:line="158"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The following table sets forth certain income statement data as a percentage of net revenue for each of the periods indicated. University related expenses, amortization of intangible assets and the loss on transaction have been excluded from the table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Technology and academic 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Counseling services and support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r>
      <w:tr>
        <w:trPr>
          <w:trHeight w:val="216"/>
        </w:trPr>
        <w:tc>
          <w:tcPr>
            <w:tcW w:w="7100" w:type="dxa"/>
            <w:vAlign w:val="bottom"/>
          </w:tcPr>
          <w:p>
            <w:pPr>
              <w:ind w:left="120"/>
              <w:spacing w:after="0"/>
              <w:rPr>
                <w:sz w:val="20"/>
                <w:szCs w:val="20"/>
                <w:color w:val="auto"/>
              </w:rPr>
            </w:pPr>
            <w:r>
              <w:rPr>
                <w:rFonts w:ascii="Arial" w:cs="Arial" w:eastAsia="Arial" w:hAnsi="Arial"/>
                <w:sz w:val="18"/>
                <w:szCs w:val="18"/>
                <w:color w:val="auto"/>
              </w:rPr>
              <w:t>Marketing and communication</w:t>
            </w:r>
          </w:p>
        </w:tc>
        <w:tc>
          <w:tcPr>
            <w:tcW w:w="740" w:type="dxa"/>
            <w:vAlign w:val="bottom"/>
          </w:tcPr>
          <w:p>
            <w:pPr>
              <w:jc w:val="right"/>
              <w:spacing w:after="0"/>
              <w:rPr>
                <w:sz w:val="20"/>
                <w:szCs w:val="20"/>
                <w:color w:val="auto"/>
              </w:rPr>
            </w:pPr>
            <w:r>
              <w:rPr>
                <w:rFonts w:ascii="Arial" w:cs="Arial" w:eastAsia="Arial" w:hAnsi="Arial"/>
                <w:sz w:val="18"/>
                <w:szCs w:val="18"/>
                <w:color w:val="auto"/>
              </w:rPr>
              <w:t>18.4</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reflected in the table above, the income statement data as a percentage of revenue is not comparable between periods. This is due to the reduction in revenues associated with the Company transitioning to an education service company as of July 1, 2018, the date of the Transaction. As a result, the Company has also provided two additional tables to enhance comparability between periods by showing, on a comparable basis, the types of levels of operating expenses the Company currently incurs as compared to prior to the Transaction. The Company uses 60% of university related revenues for periods prior to July 1, 2018, which is the percentage of GCU’s tuition and fee revenue to which the Company is entitled under the Master Services Agreement, to calculate the adjustment to university related revenue for purposes of deriving as adjusted “Non-GAAP” net revenue. The percentages set forth below for periods prior to July 1, 2018 have been derived by dividing the indicated expense by as adjusted “Non-GAAP” net revenue. University related expenses, amortization of intangible assets and the loss on transaction have been excluded from the table below:</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9"/>
          </w:tcPr>
          <w:p>
            <w:pPr>
              <w:jc w:val="right"/>
              <w:ind w:right="24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1860"/>
              <w:spacing w:after="0"/>
              <w:rPr>
                <w:sz w:val="20"/>
                <w:szCs w:val="20"/>
                <w:color w:val="auto"/>
              </w:rPr>
            </w:pPr>
            <w:r>
              <w:rPr>
                <w:rFonts w:ascii="Arial" w:cs="Arial" w:eastAsia="Arial" w:hAnsi="Arial"/>
                <w:sz w:val="18"/>
                <w:szCs w:val="18"/>
                <w:b w:val="1"/>
                <w:bCs w:val="1"/>
                <w:color w:val="auto"/>
              </w:rPr>
              <w:t>As Adjusted “Non-GAAP” net revenue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Service revenue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778,643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3"/>
          </w:tcPr>
          <w:p>
            <w:pPr>
              <w:jc w:val="right"/>
              <w:ind w:right="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333,002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revenue</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512,499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revenue</w:t>
            </w:r>
          </w:p>
        </w:tc>
        <w:tc>
          <w:tcPr>
            <w:tcW w:w="9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778,643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845,501</w:t>
            </w:r>
          </w:p>
        </w:tc>
        <w:tc>
          <w:tcPr>
            <w:tcW w:w="6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60% of university related revenue</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307,499</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40"/>
              <w:spacing w:after="0"/>
              <w:rPr>
                <w:sz w:val="20"/>
                <w:szCs w:val="20"/>
                <w:color w:val="auto"/>
              </w:rPr>
            </w:pPr>
            <w:r>
              <w:rPr>
                <w:rFonts w:ascii="Arial" w:cs="Arial" w:eastAsia="Arial" w:hAnsi="Arial"/>
                <w:sz w:val="18"/>
                <w:szCs w:val="18"/>
                <w:color w:val="auto"/>
              </w:rPr>
              <w:t>As adjusted “Non-GAAP” net revenue</w:t>
            </w: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778,643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640,501</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Borders>
              <w:bottom w:val="single" w:sz="8" w:color="auto"/>
            </w:tcBorders>
            <w:gridSpan w:val="9"/>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vMerge w:val="restart"/>
          </w:tcPr>
          <w:p>
            <w:pPr>
              <w:ind w:left="1720"/>
              <w:spacing w:after="0"/>
              <w:rPr>
                <w:sz w:val="20"/>
                <w:szCs w:val="20"/>
                <w:color w:val="auto"/>
              </w:rPr>
            </w:pPr>
            <w:r>
              <w:rPr>
                <w:rFonts w:ascii="Arial" w:cs="Arial" w:eastAsia="Arial" w:hAnsi="Arial"/>
                <w:sz w:val="18"/>
                <w:szCs w:val="18"/>
                <w:b w:val="1"/>
                <w:bCs w:val="1"/>
                <w:color w:val="auto"/>
              </w:rPr>
              <w:t>As % of As Adjusted "Non-GAAP" Revenue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Costs and expenses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11.6 %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6080" w:type="dxa"/>
            <w:vAlign w:val="bottom"/>
            <w:gridSpan w:val="2"/>
          </w:tcPr>
          <w:p>
            <w:pPr>
              <w:jc w:val="right"/>
              <w:ind w:right="1370"/>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225"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i w:val="1"/>
          <w:iCs w:val="1"/>
          <w:color w:val="auto"/>
        </w:rPr>
        <w:t>Service revenue and University related revenue</w:t>
      </w:r>
      <w:r>
        <w:rPr>
          <w:rFonts w:ascii="Arial" w:cs="Arial" w:eastAsia="Arial" w:hAnsi="Arial"/>
          <w:sz w:val="16"/>
          <w:szCs w:val="16"/>
          <w:color w:val="auto"/>
        </w:rPr>
        <w:t>. Our service revenue for the year ended December 31, 2019 was</w:t>
      </w:r>
      <w:r>
        <w:rPr>
          <w:rFonts w:ascii="Arial" w:cs="Arial" w:eastAsia="Arial" w:hAnsi="Arial"/>
          <w:sz w:val="16"/>
          <w:szCs w:val="16"/>
          <w:i w:val="1"/>
          <w:iCs w:val="1"/>
          <w:color w:val="auto"/>
        </w:rPr>
        <w:t xml:space="preserve"> </w:t>
      </w:r>
      <w:r>
        <w:rPr>
          <w:rFonts w:ascii="Arial" w:cs="Arial" w:eastAsia="Arial" w:hAnsi="Arial"/>
          <w:sz w:val="16"/>
          <w:szCs w:val="16"/>
          <w:color w:val="auto"/>
        </w:rPr>
        <w:t>$778.6 million compared to service revenue and university related revenue of $333.0 million and $512.5 million, respectively, for the year ended December 31, 2018. Commencing July 1, 2018, the results of our operations no longer include the operations of the University but rather reflect the operations of the Company as an education services company with 22 university partners. As an education services company for GCU, our most significant university partner, the Company receives, as service revenue, 60% of GCU’s tuition and fee revenue and no longer has university related revenue, thus resulting in the decrease from the prior period. The sum of service revenue for the six months ended December 31, 2018 of $333.0 million and 60% of university related revenue for the six months ended June 30, 2018 of $307.5 million, totals $640.5 million. The 21.6% increase year over year in comparable service fee revenue was primarily due to our Orbis Education acquisition on January 22, 2019 and an increase in GCU enrollments between years of 5.9%. Partner enrollments in programs serviced by Orbis Education at December 31, 2019 was 3,750. The Orbis Education university partnership agreements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We are also seeing an increase in revenue per student from our GCU partnership resulting from an increase in residential students who pay GCU not only tuition and fees but room and board.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year ended December</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31, 2019 were $90.5 million, an increase of $46.9 million, or 107.7%, as compared to technology and academic services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expenses of $43.6 million for the year ended December 31, 2018. This increase was primarily attributable to the Orbis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Education university partnership agreements, which require certain technology and academic services including headcount,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well as the use of classroom facilities and equipment to be provided to each university partner. These costs along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increased cost to service GCU resulted in increases in employee compensation and related expenses including share-based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in occupancy and depreciation including lease expenses, and in technology and academic supply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$36.4 million, $7.0 million, and $3.5 million, respectively. The increase in employee compensation and related expenses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the increase in the number of staff needed to support our 22 university partners, and their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enrollment growth, tenure based salary adjustments and an increase in benefit costs between years. Our technology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academic services expenses as a percentage of as adjusted non-GAAP net revenue increased 4.8% to 11.6%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2019, from 6.8% for the year ended December 31, 2018 primarily due to the Orbis Education university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partnership agreements acquired, which require a higher level of technology and academic services than our agreement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GCU.</w:t>
      </w:r>
    </w:p>
    <w:p>
      <w:pPr>
        <w:spacing w:after="0" w:line="21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were $223.6 million, an increase of $18.9 million, or 9.2%, as compared to counseling services and support expenses of $204.7 million for the year ended December 31, 2018. This increase was primarily attributable to the Orbis Education university partnership agreements, which require certain counseling services and support, principally headcount to be provided to each university partner. These costs along with the increased cost to service GCU resulted in increases in employee compensation and related expenses including share-based compensation, in other counseling services and support related expenses, and in depreciation, amortization and occupancy costs of $15.0 million, $2.9 million and $1.0 million, respectively. The increase in employee compensation and related expenses is primarily due to increased headcount to support our university partners, and their increased enrollment growth, tenure-based salary adjustments and an increase in benefit costs between years. The increase in other counseling services is primarily the result of increased travel costs to service our 22 university partners. Our counseling services and support expenses as a percentage of as adjusted non-GAAP net revenue decreased 3.3% to 28.7% for the year ended December 31, 2019, from 32.0% for the year ended December 31, 2018 primarily due to the counseling services and support costs to service the Orbis Education partnership agreements being less as a percentage of revenue than the costs to service the GCU agreement and due to our ability to leverage our counseling services and support costs to service GCU across an increasing revenue base.</w:t>
      </w:r>
    </w:p>
    <w:p>
      <w:pPr>
        <w:spacing w:after="0" w:line="169"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i w:val="1"/>
          <w:iCs w:val="1"/>
          <w:color w:val="auto"/>
        </w:rPr>
        <w:t>Marketing and communication</w:t>
      </w:r>
      <w:r>
        <w:rPr>
          <w:rFonts w:ascii="Arial" w:cs="Arial" w:eastAsia="Arial" w:hAnsi="Arial"/>
          <w:sz w:val="17"/>
          <w:szCs w:val="17"/>
          <w:color w:val="auto"/>
        </w:rPr>
        <w:t>. Our marketing and communication expenses for the year ended December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were $142.9 million, an increase of $25.5 million, or 21.7%, as compared to marketing and communication</w:t>
      </w:r>
    </w:p>
    <w:p>
      <w:pPr>
        <w:sectPr>
          <w:pgSz w:w="11900" w:h="16838" w:orient="portrait"/>
          <w:cols w:equalWidth="0" w:num="1">
            <w:col w:w="9040"/>
          </w:cols>
          <w:pgMar w:left="1420" w:top="517" w:right="1439" w:bottom="1440" w:gutter="0" w:footer="0" w:header="0"/>
        </w:sect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expenses of $117.4 million for the year ended December 31, 2018. This increase was primarily attributable to the Orbis Education partnership agreements, which require marketing of the university partners’ programs. These costs along with the increased cost to market GCU’s programs resulted in increased advertising, and in employee compensation and related expenses including share-based compensation of $22.5 million and $3.0 million, respectively. Our marketing and communication expenses as a percentage of as adjusted non-GAAP net revenue increased slightly by 0.1% to 18.4% for the year ended December 31, 2019, from 18.3% for the year ended December 31, 2018.</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for the year ended December 31, 2019 were</w:t>
      </w:r>
      <w:r>
        <w:rPr>
          <w:rFonts w:ascii="Arial" w:cs="Arial" w:eastAsia="Arial" w:hAnsi="Arial"/>
          <w:sz w:val="16"/>
          <w:szCs w:val="16"/>
          <w:i w:val="1"/>
          <w:iCs w:val="1"/>
          <w:color w:val="auto"/>
        </w:rPr>
        <w:t xml:space="preserve"> </w:t>
      </w:r>
      <w:r>
        <w:rPr>
          <w:rFonts w:ascii="Arial" w:cs="Arial" w:eastAsia="Arial" w:hAnsi="Arial"/>
          <w:sz w:val="16"/>
          <w:szCs w:val="16"/>
          <w:color w:val="auto"/>
        </w:rPr>
        <w:t>$44.3 million, an increase of $14.3 million, or 47.9%, as compared to general and administrative expenses of $30.0 million for the year ended December 31, 2018. This increase was primarily due to increases in employee compensation including share-based compensation, in professional fees, in other general and administrative costs, and in occupancy and depreciation of $7.3 million, $3.0 million, $2.9 million, and $1.1 million, respectively. Our increases in employee compensation, occupancy and depreciation, and other general and administrative costs are primarily related to the acquisition of Orbis Education, including additional headcount, and office space in Indianapolis, Indiana. Our increase in professional fees is primarily related to a payment made to an outside provider that assisted us in obtaining a state tax refund with a favorable tax impact of $5.9 million in the first quarter of 2019 and higher legal fees. Our increase in other general and administrative costs is primarily due to increases in travel costs and an increase in contributions made in lieu of state income taxes to school sponsoring organizations from $3.7 million for the year ended December 31, 2018 to $4.0 million for the year ended December 31, 2019. Our general and administrative expenses as a percentage of as adjusted non-GAAP net revenue increased by 1.0% to 5.7% for the year ended December 31, 2019, from 4.7% for the year ended December 31, 2018 due to higher general and administrative costs at Orbis Education as a percentage of net revenue, partially offset by our ability to leverage our other general and administrative expenses across an increasing revenue base.</w:t>
      </w:r>
    </w:p>
    <w:p>
      <w:pPr>
        <w:spacing w:after="0" w:line="16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The amortization of intangible assets for the year ended December 31,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$8.2 million and is related to the acquisition of Orbis Education, which resulted in the creation of certain identifiable intangible assets that will be amortized over their expected lives.</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University related expenses</w:t>
      </w:r>
      <w:r>
        <w:rPr>
          <w:rFonts w:ascii="Arial" w:cs="Arial" w:eastAsia="Arial" w:hAnsi="Arial"/>
          <w:sz w:val="18"/>
          <w:szCs w:val="18"/>
          <w:color w:val="auto"/>
        </w:rPr>
        <w:t>. Our university related expenses for the year ended December 31, 2018 were $173.3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These expenses represent the costs transferred to the university for the six months ended June 30, 2018 and in the six months ended December 31, 2018 are primarily due to the Company’s Board of Directors modifying the vesting condition for certain restricted stock awards for personnel that transferred to GCU, which resulted in $7.9 million of share-based compensation expense, and employer taxes of $0.2 million on such modification. This amount was partially offset by reversals of employee related liabilities totaling $1.9 million that were not part of the transferred assets for the GCU transaction.</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year ended December 31, 2019 was $4.0 million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costs related to the acquisition of Orbis Education. Our loss on transaction expenses for the year ended December 31, 2018 was primarily related to the GCU transaction and totaled $18.4 million, which included third-party transaction costs of $5.8 million and an asset impairment of $3.0 million. In addition, the Company transferred to GCU cash of $9.6 million to fund a deferred compensation plan for GCU employees who were formerly GCE employees and that held unvested restricted stock of GCE that was forfeited upon the Transaction.</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As a component of the transaction with GCU, GCU issued a Secured Note to GCE</w:t>
      </w:r>
      <w:r>
        <w:rPr>
          <w:rFonts w:ascii="Arial" w:cs="Arial" w:eastAsia="Arial" w:hAnsi="Arial"/>
          <w:sz w:val="18"/>
          <w:szCs w:val="18"/>
          <w:i w:val="1"/>
          <w:iCs w:val="1"/>
          <w:color w:val="auto"/>
        </w:rPr>
        <w:t xml:space="preserve"> </w:t>
      </w:r>
      <w:r>
        <w:rPr>
          <w:rFonts w:ascii="Arial" w:cs="Arial" w:eastAsia="Arial" w:hAnsi="Arial"/>
          <w:sz w:val="18"/>
          <w:szCs w:val="18"/>
          <w:color w:val="auto"/>
        </w:rPr>
        <w:t>on July 1, 2018. Interest income on the Secured Note for the year ended December 31, 2019 was $59.3 million, an increase of $32.4 million, as compared to interest income on Secured Note of $26.9 million for the year ended December 31, 2018. The Company recognizes interest income on its Secured Note with GCU including borrowings made for capital expenditures, earning interest at 6%, with monthly interest payments.</w:t>
      </w:r>
    </w:p>
    <w:p>
      <w:pPr>
        <w:spacing w:after="0" w:line="18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was $11.3 million for the year ended December 31, 2019, an increase of $9.8</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as compared to interest expense of $1.5 million for the year ended December 31, 2018. The increase in interest expense is primarily due to the acquisition of Orbis Education, which resulted in a $190.1 million increase in our outstanding credit facility, a slightly higher interest rate on the credit facility, and additional fees on the revolving credit facility. In addition, we had no capitalized interest as compared to the same period in the prior year due to the</w:t>
      </w:r>
    </w:p>
    <w:p>
      <w:pPr>
        <w:sectPr>
          <w:pgSz w:w="11900" w:h="16838" w:orient="portrait"/>
          <w:cols w:equalWidth="0" w:num="1">
            <w:col w:w="9040"/>
          </w:cols>
          <w:pgMar w:left="1420" w:top="517" w:right="1439" w:bottom="1440"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significant decline in capital expenditures, and $1.1 million of interest expense was recognized in December 2019 due to the expiration of the interest rate corridor.</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year ended December 31, 2019 was $4.4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$1.0 million, as compared to $3.4 million for the year ended December 31, 2018.</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year ended December 31, 2019 was $58.3 million, an increase of</w:t>
      </w:r>
      <w:r>
        <w:rPr>
          <w:rFonts w:ascii="Arial" w:cs="Arial" w:eastAsia="Arial" w:hAnsi="Arial"/>
          <w:sz w:val="17"/>
          <w:szCs w:val="17"/>
          <w:i w:val="1"/>
          <w:iCs w:val="1"/>
          <w:color w:val="auto"/>
        </w:rPr>
        <w:t xml:space="preserve"> </w:t>
      </w:r>
      <w:r>
        <w:rPr>
          <w:rFonts w:ascii="Arial" w:cs="Arial" w:eastAsia="Arial" w:hAnsi="Arial"/>
          <w:sz w:val="17"/>
          <w:szCs w:val="17"/>
          <w:color w:val="auto"/>
        </w:rPr>
        <w:t>$0.3 million, or 0.6%, as compared to income tax expense of $58.0 million for the year ended December 31, 2018. This increase is the result of an increase in our taxable income between periods, offset by a decrease in our effective tax rate. Our effective tax rate was 18.4% during the year ended December 31, 2019 compared to 20.2% during the year ended December 31, 2018. The decrease in the effective tax rate was primarily the result of an agreement with the Arizona Department of Revenue regarding previously filed refund claims related to income tax obligations for prior calendar years, which resulted in a favorable tax impact of $5.9 million recorded as a discrete tax item in the first quarter of 2019. In addition, the effective tax rate was favorably impacted by a law change with respect to Arizona state taxes, partially offset by a slight decrease in excess tax benefits to $7.2 million from $10.5 million for the year ended December 31, 2019 and 2018, respectively. The inclusion of excess tax benefits and deficiencies as a component of our income tax expense increases the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8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months ended December 31, 2019 was $259.2 million, an increase of $30.2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13.2% as compared to $229.0 million for the year ended December 31, 2018, due to the factors discussed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2019, we financed our acquisition of Orbis Education for $361.2 million, net of cash acquired,</w:t>
      </w:r>
      <w:r>
        <w:rPr>
          <w:rFonts w:ascii="Arial" w:cs="Arial" w:eastAsia="Arial" w:hAnsi="Arial"/>
          <w:sz w:val="17"/>
          <w:szCs w:val="17"/>
          <w:i w:val="1"/>
          <w:iCs w:val="1"/>
          <w:color w:val="auto"/>
        </w:rPr>
        <w:t xml:space="preserve"> </w:t>
      </w:r>
      <w:r>
        <w:rPr>
          <w:rFonts w:ascii="Arial" w:cs="Arial" w:eastAsia="Arial" w:hAnsi="Arial"/>
          <w:sz w:val="17"/>
          <w:szCs w:val="17"/>
          <w:color w:val="auto"/>
        </w:rPr>
        <w:t>from an increase in our credit facility of $190.1 million and the use of $171.1 million of operating cash on hand. Our unrestricted cash and cash equivalents and investments were $143.9 million at December 31, 2019. As of December 31, 2019, we had $300,000 of restricted cash and cash equivalents, for pledged collateral for a site lease.</w:t>
      </w:r>
    </w:p>
    <w:p>
      <w:pPr>
        <w:spacing w:after="0" w:line="17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Concurrent with the closing of the Acquisition, we entered into an amended and restated credit agreement dated January 22, 2019 and two related amendments dated January 31, 2019 and February 1, 2019, respectively, that together provided a credit facility of $325.0 million comprised of a term loan facility of $243.8 million and a revolving credit facility of $81.3 million,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30-Day</w:t>
      </w:r>
    </w:p>
    <w:p>
      <w:pPr>
        <w:sectPr>
          <w:pgSz w:w="11900" w:h="16838" w:orient="portrait"/>
          <w:cols w:equalWidth="0" w:num="1">
            <w:col w:w="9040"/>
          </w:cols>
          <w:pgMar w:left="1420" w:top="517" w:right="1439"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LIBOR plus an applicable margin of 2%. The proceeds of the term loan, together with $6.3 million drawn under the revolver and cash on hand, were used to pay the purchase price in the Acquisition. Concurrent with the entry into the amended and restated credit agreement and the completion of the Acquisition, we repaid our existing term loan of $59.9 million and our cash collateral of $61.7 million was released.</w:t>
      </w:r>
    </w:p>
    <w:p>
      <w:pPr>
        <w:spacing w:after="0" w:line="187"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The Company entered into a further amendment to the credit facility on October 31, 2019. This amendment increased the revolving commitment by $68.8 million to $150.0 million, while reducing the term loan by the same $68.8 million to $150.6 million. The Company elected to repay the $68.8 million revolver balance on November 1, 2019.</w:t>
      </w:r>
    </w:p>
    <w:p>
      <w:pPr>
        <w:spacing w:after="0" w:line="14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1, 2018, in consideration for the transfer of assets under the Asset Purchase Agreement, we received a secured note from GCU in the initial principal amount of $870.1 million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Funding net of repayments of $100.0 million for capital expenditures for GCU since July 1, 2018 totals $99.8 million as of December 31, 2019.</w:t>
      </w:r>
    </w:p>
    <w:p>
      <w:pPr>
        <w:spacing w:after="0" w:line="179"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Board of Directors has authorized us to repurchase up to $175.0 million in aggregate of common stock, from time to time, depending on market conditions and other considerations. The current expiration date on the repurchase authorization by our Board of Directors is December 31, 2020. Repurchases occur at our discretion.</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 Rules. The amount and timing of future share repurchases, if any, will be made as market and business conditions warrant.</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Since the approval of the initial share repurchase plan, we have purchased 4.0 million shares of common stock at an aggregate cost of $122.7 million, which includes 376,384 shares of common stock at an aggregate cost of $35.8 million during the year ended December 31, 2019. At December 31, 2019, there remains $52.3 million available under our current share repurchase authorization.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operating activities for the years ended December 31, 2019 and 2018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$306.3 million and $199.1 million, respectively. Cash provided by operations in 2019 and 2018 resulted from our net income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adjusted for non-cash charges for share-based compensation, depreciation and amortization, timing of income tax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employee related payments and changes in other working capital. The significant increase in net cash from operating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activities between 2018 and 2019 is primarily due to the higher net income and changes in working capital balances.</w:t>
      </w:r>
    </w:p>
    <w:p>
      <w:pPr>
        <w:spacing w:after="0" w:line="222"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$405.9 million and $238.2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2019 and 2018, respectively. Our cash used in investing activities in 2019 was primarily related to the Acquisition, the funding of capital expenditures to GCU, and the liquidation of short-term investments and capital expenditures. We paid $361.2 million, net of cash acquired, to acquire Orbis Education on January 22, 2019. Funding to GCU for capital expenditures during the year ended December 31, 2019 totaled $69.8 million, net of repayments made by GCU of $100.0 million in 2019. Proceeds from investments, net of purchases of short-term investments, was $47.8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million and $18.2 million for the years ended December 31, 2019 and 2018, respectively. Cash used in investing activities for the year ended December 31, 2018 was primarily related to the GCU Transaction, which result in $131.6 million of cash being transferred to GCU at its close on July 1, 2018. Capital expenditures were $22.4 million and $94.5 million for the years ended December 31, 2019 and 2018, respectively. During the year ended December 31, 2019, capital expenditures primarily consisted of leasehold improvements and equipment for new partner locations, internally developed software, as well as purchases of computer equipment, other internal use software projects and furniture and equipment to support our increasing employee headcount. During the year ended December 31, 2018, capital expenditures primarily consisted of the University’s ground campus construction projects incurred prior to June 30, 2018 as well as purchases of computer equipment, other internal use software projects and furniture and equipment to support our increasing employee headcount.</w:t>
      </w:r>
    </w:p>
    <w:p>
      <w:pPr>
        <w:spacing w:after="0" w:line="16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Net cash provided by financing activities was $40.1 million for the year ended December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Net cash used in financing activities was $26.8 million for the year ended December 31, 2018. During 2019, $243.8 million of proceeds was drawn on the term loan, and $26.3 million was drawn and repaid on the revolver in 2019, and the term loan balance of the prior credit agreement of $59.9 million was repaid along with the repayment of $101.3 million of principal and revolver payments on the new credit facility. In addition, $2.4 million of debt issuance costs were incurred on the new credit facility and $8.1 million was used to purchase common shares withheld in lieu of income taxes resulting from the vesting of restricted share awards and $35.8 million was used to purchase treasury stock in accordance with the Company’s share repurchase program. Proceeds from the exercise of stock options of $3.8 million were received for the year ended December 31, 2019. During 2018, $15.2 million was used to purchase common shares withheld in lieu of income taxes resulting from the vesting of restricted share awards and $9.6 million was used to purchase treasury stock in accordance with the Company’s share repurchase program. Principal payments on notes payable totaled $6.7 million, partially offset by proceeds from the exercise of stock options of $4.6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sets forth, as of December 31, 2019, the aggregate amounts of our significant contractual obligations and commitments with definitive payment terms due in each of the periods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2-3 Years</w:t>
            </w:r>
          </w:p>
        </w:tc>
        <w:tc>
          <w:tcPr>
            <w:tcW w:w="180" w:type="dxa"/>
            <w:vAlign w:val="bottom"/>
          </w:tcPr>
          <w:p>
            <w:pPr>
              <w:spacing w:after="0"/>
              <w:rPr>
                <w:sz w:val="10"/>
                <w:szCs w:val="10"/>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2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Long term notes payable</w:t>
            </w:r>
            <w:r>
              <w:rPr>
                <w:rFonts w:ascii="Arial" w:cs="Arial" w:eastAsia="Arial" w:hAnsi="Arial"/>
                <w:sz w:val="24"/>
                <w:szCs w:val="24"/>
                <w:color w:val="auto"/>
                <w:vertAlign w:val="superscript"/>
              </w:rPr>
              <w:t>(1)</w:t>
            </w:r>
          </w:p>
        </w:tc>
        <w:tc>
          <w:tcPr>
            <w:tcW w:w="2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Pr>
          <w:p>
            <w:pPr>
              <w:spacing w:after="0" w:line="216" w:lineRule="exact"/>
              <w:rPr>
                <w:sz w:val="20"/>
                <w:szCs w:val="20"/>
                <w:color w:val="auto"/>
              </w:rPr>
            </w:pPr>
            <w:r>
              <w:rPr>
                <w:rFonts w:ascii="Arial" w:cs="Arial" w:eastAsia="Arial" w:hAnsi="Arial"/>
                <w:sz w:val="17"/>
                <w:szCs w:val="17"/>
                <w:color w:val="auto"/>
              </w:rPr>
              <w:t>Lease liabilities</w:t>
            </w:r>
            <w:r>
              <w:rPr>
                <w:rFonts w:ascii="Arial" w:cs="Arial" w:eastAsia="Arial" w:hAnsi="Arial"/>
                <w:sz w:val="25"/>
                <w:szCs w:val="25"/>
                <w:color w:val="auto"/>
                <w:vertAlign w:val="superscript"/>
              </w:rPr>
              <w:t>(2)</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5"/>
                <w:szCs w:val="25"/>
                <w:color w:val="auto"/>
                <w:vertAlign w:val="superscript"/>
              </w:rPr>
              <w:t>(3)</w:t>
            </w:r>
          </w:p>
        </w:tc>
        <w:tc>
          <w:tcPr>
            <w:tcW w:w="2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80" w:type="dxa"/>
            <w:vAlign w:val="bottom"/>
            <w:gridSpan w:val="2"/>
          </w:tcPr>
          <w:p>
            <w:pPr>
              <w:spacing w:after="0"/>
              <w:rPr>
                <w:sz w:val="20"/>
                <w:szCs w:val="20"/>
                <w:color w:val="auto"/>
              </w:rPr>
            </w:pPr>
            <w:r>
              <w:rPr>
                <w:rFonts w:ascii="Arial" w:cs="Arial" w:eastAsia="Arial" w:hAnsi="Arial"/>
                <w:sz w:val="18"/>
                <w:szCs w:val="18"/>
                <w:color w:val="auto"/>
              </w:rPr>
              <w:t>Total contractual obligations</w:t>
            </w:r>
          </w:p>
        </w:tc>
        <w:tc>
          <w:tcPr>
            <w:tcW w:w="25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460" w:right="180" w:hanging="397"/>
        <w:spacing w:after="0" w:line="256"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See Note 10, “Notes Payable and Other Noncurrent Liabilities,” to our consolidated financial statements,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for a discussion of our long term notes payable and other obligations.</w:t>
      </w:r>
    </w:p>
    <w:p>
      <w:pPr>
        <w:ind w:left="460" w:right="80" w:hanging="397"/>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See Note 9, “Leases,” to our consolidated financial statements, included in Item 8,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w:t>
      </w:r>
      <w:r>
        <w:rPr>
          <w:rFonts w:ascii="Arial" w:cs="Arial" w:eastAsia="Arial" w:hAnsi="Arial"/>
          <w:sz w:val="18"/>
          <w:szCs w:val="18"/>
          <w:color w:val="auto"/>
        </w:rPr>
        <w:t>, for a discussion of our leases.</w:t>
      </w:r>
    </w:p>
    <w:p>
      <w:pPr>
        <w:ind w:left="460" w:hanging="397"/>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our GAAP results, we use Adjusted EBITDA as a supplemental measure of our operating performance and as part of our compensation determinations. Adjusted EBITDA is not required by or presented in</w:t>
      </w:r>
    </w:p>
    <w:p>
      <w:pPr>
        <w:sectPr>
          <w:pgSz w:w="11900" w:h="16838" w:orient="portrait"/>
          <w:cols w:equalWidth="0" w:num="1">
            <w:col w:w="9060"/>
          </w:cols>
          <w:pgMar w:left="1420" w:top="517" w:right="1419"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99"/>
        <w:spacing w:after="0" w:line="255" w:lineRule="auto"/>
        <w:rPr>
          <w:sz w:val="20"/>
          <w:szCs w:val="20"/>
          <w:color w:val="auto"/>
        </w:rPr>
      </w:pPr>
      <w:r>
        <w:rPr>
          <w:rFonts w:ascii="Arial" w:cs="Arial" w:eastAsia="Arial" w:hAnsi="Arial"/>
          <w:sz w:val="18"/>
          <w:szCs w:val="18"/>
          <w:color w:val="auto"/>
        </w:rPr>
        <w:t xml:space="preserve">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8"/>
          <w:szCs w:val="18"/>
          <w:i w:val="1"/>
          <w:iCs w:val="1"/>
          <w:color w:val="auto"/>
        </w:rPr>
        <w:t>Selected Consolidated Financial and Other Data,</w:t>
      </w:r>
      <w:r>
        <w:rPr>
          <w:rFonts w:ascii="Arial" w:cs="Arial" w:eastAsia="Arial" w:hAnsi="Arial"/>
          <w:sz w:val="18"/>
          <w:szCs w:val="18"/>
          <w:color w:val="auto"/>
        </w:rPr>
        <w:t xml:space="preserve"> for a discussion of our Adjusted EBITDA computation and reconciliation. For information on how we calculate as adjusted net revenue for comparison purposes, see “Item 7. </w:t>
      </w:r>
      <w:r>
        <w:rPr>
          <w:rFonts w:ascii="Arial" w:cs="Arial" w:eastAsia="Arial" w:hAnsi="Arial"/>
          <w:sz w:val="18"/>
          <w:szCs w:val="18"/>
          <w:i w:val="1"/>
          <w:iCs w:val="1"/>
          <w:color w:val="auto"/>
        </w:rPr>
        <w:t>Management’s Discussion and Analysis of Financial Condition and Results of Operation –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919" w:firstLine="324"/>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4 - Summary of Significant Accounting Policies</w:t>
      </w:r>
      <w:r>
        <w:rPr>
          <w:rFonts w:ascii="Arial" w:cs="Arial" w:eastAsia="Arial" w:hAnsi="Arial"/>
          <w:sz w:val="18"/>
          <w:szCs w:val="18"/>
          <w:color w:val="auto"/>
        </w:rPr>
        <w:t xml:space="preserve">,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p>
    <w:p>
      <w:pPr>
        <w:spacing w:after="0" w:line="16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ind w:right="59" w:firstLine="324"/>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2018, or 2017. There can be no assurance that future inflation will not have an adverse impact on our operating results and financial condition.</w:t>
      </w:r>
    </w:p>
    <w:p>
      <w:pPr>
        <w:spacing w:after="0" w:line="181" w:lineRule="exact"/>
        <w:rPr>
          <w:sz w:val="20"/>
          <w:szCs w:val="20"/>
          <w:color w:val="auto"/>
        </w:rPr>
      </w:pPr>
    </w:p>
    <w:p>
      <w:pPr>
        <w:ind w:right="19" w:firstLine="324"/>
        <w:spacing w:after="0" w:line="273"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In 2013 we entered into an interest rate corridor to manage our 30-day LIBOR interest exposure from</w:t>
      </w:r>
      <w:r>
        <w:rPr>
          <w:rFonts w:ascii="Arial" w:cs="Arial" w:eastAsia="Arial" w:hAnsi="Arial"/>
          <w:sz w:val="17"/>
          <w:szCs w:val="17"/>
          <w:i w:val="1"/>
          <w:iCs w:val="1"/>
          <w:color w:val="auto"/>
        </w:rPr>
        <w:t xml:space="preserve"> </w:t>
      </w:r>
      <w:r>
        <w:rPr>
          <w:rFonts w:ascii="Arial" w:cs="Arial" w:eastAsia="Arial" w:hAnsi="Arial"/>
          <w:sz w:val="17"/>
          <w:szCs w:val="17"/>
          <w:color w:val="auto"/>
        </w:rPr>
        <w:t>variable rate debt, which matured in December 2019. The corridor instrument hedged variable interest rate risk starting March 1, 2013 through its expiration date of December 20, 2019 and permitted us to hedge our interest rate risk at several thresholds. Under this arrangement, in addition to the credit spread, we paid variable interest rates based on the 30-day LIBOR rates monthly until that index reached 1.5%. If 30-day LIBOR was equal to 1.5% through 3.0%, we continued to pay 1.5%. If the 30-day LIBOR exceeded 3.0%, we paid actual 30-day LIBOR less 1.5%.</w:t>
      </w:r>
    </w:p>
    <w:p>
      <w:pPr>
        <w:spacing w:after="0" w:line="178" w:lineRule="exact"/>
        <w:rPr>
          <w:sz w:val="20"/>
          <w:szCs w:val="20"/>
          <w:color w:val="auto"/>
        </w:rPr>
      </w:pPr>
    </w:p>
    <w:p>
      <w:pPr>
        <w:ind w:right="99" w:firstLine="324"/>
        <w:spacing w:after="0" w:line="264" w:lineRule="auto"/>
        <w:rPr>
          <w:sz w:val="20"/>
          <w:szCs w:val="20"/>
          <w:color w:val="auto"/>
        </w:rPr>
      </w:pPr>
      <w:r>
        <w:rPr>
          <w:rFonts w:ascii="Arial" w:cs="Arial" w:eastAsia="Arial" w:hAnsi="Arial"/>
          <w:sz w:val="18"/>
          <w:szCs w:val="18"/>
          <w:color w:val="auto"/>
        </w:rPr>
        <w:t>As of December 31, 2019, we have no derivative financial instruments or derivative commodity instruments. We invest cash in excess of current operating requirements in short term certificates of deposit and money market instruments, municipal bond portfolios, or municipal mutual funds at multiple financial institutions.</w:t>
      </w:r>
    </w:p>
    <w:p>
      <w:pPr>
        <w:spacing w:after="0" w:line="181" w:lineRule="exact"/>
        <w:rPr>
          <w:sz w:val="20"/>
          <w:szCs w:val="20"/>
          <w:color w:val="auto"/>
        </w:rPr>
      </w:pPr>
    </w:p>
    <w:p>
      <w:pPr>
        <w:ind w:right="79" w:firstLine="324"/>
        <w:spacing w:after="0" w:line="293"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by investing excess funds in cash equivalents, BBB or higher rated</w:t>
      </w:r>
      <w:r>
        <w:rPr>
          <w:rFonts w:ascii="Arial" w:cs="Arial" w:eastAsia="Arial" w:hAnsi="Arial"/>
          <w:sz w:val="16"/>
          <w:szCs w:val="16"/>
          <w:i w:val="1"/>
          <w:iCs w:val="1"/>
          <w:color w:val="auto"/>
        </w:rPr>
        <w:t xml:space="preserve"> </w:t>
      </w:r>
      <w:r>
        <w:rPr>
          <w:rFonts w:ascii="Arial" w:cs="Arial" w:eastAsia="Arial" w:hAnsi="Arial"/>
          <w:sz w:val="16"/>
          <w:szCs w:val="16"/>
          <w:color w:val="auto"/>
        </w:rPr>
        <w:t>municipal bonds, municipal mutual funds and commercial paper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2019, a 10% increase or decrease in interest rates would not have a material impact on our future earnings, fair values,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000" w:type="dxa"/>
            <w:vAlign w:val="bottom"/>
            <w:gridSpan w:val="8"/>
          </w:tcPr>
          <w:p>
            <w:pPr>
              <w:ind w:left="18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40" w:type="dxa"/>
            <w:vAlign w:val="bottom"/>
          </w:tcPr>
          <w:p>
            <w:pPr>
              <w:spacing w:after="0"/>
              <w:rPr>
                <w:sz w:val="20"/>
                <w:szCs w:val="20"/>
                <w:color w:val="auto"/>
              </w:rPr>
            </w:pPr>
          </w:p>
        </w:tc>
      </w:tr>
      <w:tr>
        <w:trPr>
          <w:trHeight w:val="365"/>
        </w:trPr>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85"/>
        </w:trPr>
        <w:tc>
          <w:tcPr>
            <w:tcW w:w="872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 as of December 31, 2019 and 2018</w:t>
              </w:r>
            </w:hyperlink>
          </w:p>
        </w:tc>
        <w:tc>
          <w:tcPr>
            <w:tcW w:w="406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412"/>
        </w:trPr>
        <w:tc>
          <w:tcPr>
            <w:tcW w:w="64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Income Statements for the years ended December 31, 2019, 2018 and 2017</w:t>
              </w:r>
            </w:hyperlink>
          </w:p>
        </w:tc>
        <w:tc>
          <w:tcPr>
            <w:tcW w:w="2300" w:type="dxa"/>
            <w:vAlign w:val="bottom"/>
            <w:gridSpan w:val="4"/>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412"/>
        </w:trPr>
        <w:tc>
          <w:tcPr>
            <w:tcW w:w="872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Comprehensive Income for the years ended December 31, 2019, 2018 and 2017</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12"/>
        </w:trPr>
        <w:tc>
          <w:tcPr>
            <w:tcW w:w="7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Stockholders’ Equity for the years ended December 31, 2019, 2018 and 2017</w:t>
              </w:r>
            </w:hyperlink>
          </w:p>
        </w:tc>
        <w:tc>
          <w:tcPr>
            <w:tcW w:w="18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12"/>
        </w:trPr>
        <w:tc>
          <w:tcPr>
            <w:tcW w:w="69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Cash Flows for the years ended December 31, 2019, 2018 and 2017</w:t>
              </w:r>
            </w:hyperlink>
          </w:p>
        </w:tc>
        <w:tc>
          <w:tcPr>
            <w:tcW w:w="180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2"/>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Notes to Consolidated Financial Statements</w:t>
              </w:r>
            </w:hyperlink>
          </w:p>
        </w:tc>
        <w:tc>
          <w:tcPr>
            <w:tcW w:w="5560" w:type="dxa"/>
            <w:vAlign w:val="bottom"/>
            <w:gridSpan w:val="7"/>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audited the accompanying consolidated balance sheets of Grand Canyon Education, Inc. and subsidiaries (the Company) as of December 31, 2019 and 2018, the related consolidated statements of income, comprehensive income, stockholders’ equity, and cash flows for each of the years in the three-year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three-year period ended December 31, 2019, in conformity with U.S. generally accepted accounting principles.</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and our report dated February 19, 2020 expressed an unqualified opinion on the effectiveness of the Company’s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As discussed in Note 4 to the consolidated financial statements, the Company has changed its method of accounting for leases as of January 1, 2019 due to the adoption of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4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4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Orbis Education Services, LLC</w:t>
      </w:r>
    </w:p>
    <w:p>
      <w:pPr>
        <w:spacing w:after="0" w:line="131" w:lineRule="exact"/>
        <w:rPr>
          <w:sz w:val="20"/>
          <w:szCs w:val="20"/>
          <w:color w:val="auto"/>
        </w:rPr>
      </w:pPr>
    </w:p>
    <w:p>
      <w:pPr>
        <w:ind w:left="340" w:right="160"/>
        <w:spacing w:after="0" w:line="302" w:lineRule="auto"/>
        <w:rPr>
          <w:sz w:val="20"/>
          <w:szCs w:val="20"/>
          <w:color w:val="auto"/>
        </w:rPr>
      </w:pPr>
      <w:r>
        <w:rPr>
          <w:rFonts w:ascii="Arial" w:cs="Arial" w:eastAsia="Arial" w:hAnsi="Arial"/>
          <w:sz w:val="16"/>
          <w:szCs w:val="16"/>
          <w:color w:val="auto"/>
        </w:rPr>
        <w:t>As discussed in Note 3 to the consolidated financial statements, the Company acquired Orbis Education Services, LLC (“Orbis”) for $366 million on January 22, 2019. The Company applied the acquisition method of accounting and allocated the purchase price to the assets acquired and liabilities assumed based on their estimated acquisition date fair value. The Company recorded tangible assets of $29.3 million, customer relationships of $210.3 million,</w:t>
      </w:r>
    </w:p>
    <w:p>
      <w:pPr>
        <w:sectPr>
          <w:pgSz w:w="11900" w:h="16838" w:orient="portrait"/>
          <w:cols w:equalWidth="0" w:num="1">
            <w:col w:w="9060"/>
          </w:cols>
          <w:pgMar w:left="1420" w:top="517" w:right="141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right="319"/>
        <w:spacing w:after="0" w:line="277" w:lineRule="auto"/>
        <w:rPr>
          <w:sz w:val="20"/>
          <w:szCs w:val="20"/>
          <w:color w:val="auto"/>
        </w:rPr>
      </w:pPr>
      <w:r>
        <w:rPr>
          <w:rFonts w:ascii="Arial" w:cs="Arial" w:eastAsia="Arial" w:hAnsi="Arial"/>
          <w:sz w:val="18"/>
          <w:szCs w:val="18"/>
          <w:color w:val="auto"/>
        </w:rPr>
        <w:t>liabilities assumed of $31.4 million, and goodwill of $157.8 million. The determination of the fair value of acquired customer relationships involved significant estimation uncertainty.</w:t>
      </w:r>
    </w:p>
    <w:p>
      <w:pPr>
        <w:spacing w:after="0" w:line="89" w:lineRule="exact"/>
        <w:rPr>
          <w:sz w:val="20"/>
          <w:szCs w:val="20"/>
          <w:color w:val="auto"/>
        </w:rPr>
      </w:pPr>
    </w:p>
    <w:p>
      <w:pPr>
        <w:ind w:left="340" w:right="79"/>
        <w:spacing w:after="0" w:line="257" w:lineRule="auto"/>
        <w:rPr>
          <w:sz w:val="20"/>
          <w:szCs w:val="20"/>
          <w:color w:val="auto"/>
        </w:rPr>
      </w:pPr>
      <w:r>
        <w:rPr>
          <w:rFonts w:ascii="Arial" w:cs="Arial" w:eastAsia="Arial" w:hAnsi="Arial"/>
          <w:sz w:val="18"/>
          <w:szCs w:val="18"/>
          <w:color w:val="auto"/>
        </w:rPr>
        <w:t>We identified the assessment of the initial fair value measurement of the customer relationships acquired in this transaction as a critical audit matter. Testing the assumptions regarding forecasted revenue growth rates, customer attrition rates and discount rates, which were used to calculate the fair values, involved a high degree of subjectivity. In addition, the fair values of the customer relationships were challenging to audit due to the sensitivity of the fair value determination to changes in the assumptions.</w:t>
      </w:r>
    </w:p>
    <w:p>
      <w:pPr>
        <w:spacing w:after="0" w:line="94" w:lineRule="exact"/>
        <w:rPr>
          <w:sz w:val="20"/>
          <w:szCs w:val="20"/>
          <w:color w:val="auto"/>
        </w:rPr>
      </w:pPr>
    </w:p>
    <w:p>
      <w:pPr>
        <w:ind w:left="340" w:right="19"/>
        <w:spacing w:after="0" w:line="271"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acquisition date valuation process, including controls related to the forecasted revenue growth rates, customer attrition rates and discount rates. We performed sensitivity analyses to assess the impact of reasonably possible changes to the revenue growth rates. We challenged the Company’s revenue growth rates, including those related to customer attrition, by comparing the growth assumptions to peer companies’ forecasted growth rates and historical growth rates. We compared the Company’s forecasted revenue to actual results for the same period to assess the Company’s ability to accurately forecast. We involved valuation professionals with specialized skills and knowledge who assisted in:</w:t>
      </w:r>
    </w:p>
    <w:p>
      <w:pPr>
        <w:spacing w:after="0" w:line="84" w:lineRule="exact"/>
        <w:rPr>
          <w:sz w:val="20"/>
          <w:szCs w:val="20"/>
          <w:color w:val="auto"/>
        </w:rPr>
      </w:pPr>
    </w:p>
    <w:p>
      <w:pPr>
        <w:ind w:left="1300" w:right="399" w:hanging="643"/>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performing sensitivity analyses over customer attrition rates and discount rates to assess the impact of reasonably possible changes in the respective rate; and</w:t>
      </w:r>
    </w:p>
    <w:p>
      <w:pPr>
        <w:spacing w:after="0" w:line="75" w:lineRule="exact"/>
        <w:rPr>
          <w:rFonts w:ascii="Arial" w:cs="Arial" w:eastAsia="Arial" w:hAnsi="Arial"/>
          <w:sz w:val="18"/>
          <w:szCs w:val="18"/>
          <w:color w:val="auto"/>
        </w:rPr>
      </w:pPr>
    </w:p>
    <w:p>
      <w:pPr>
        <w:ind w:left="1300" w:right="919" w:hanging="643"/>
        <w:spacing w:after="0" w:line="308" w:lineRule="auto"/>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evaluating the Company’s discount rate, by comparing it against a discount rate range that was independently developed using publicly available market data for comparable entities.</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the sufficiency of audit evidence over service revenue</w:t>
      </w:r>
    </w:p>
    <w:p>
      <w:pPr>
        <w:spacing w:after="0" w:line="144" w:lineRule="exact"/>
        <w:rPr>
          <w:sz w:val="20"/>
          <w:szCs w:val="20"/>
          <w:color w:val="auto"/>
        </w:rPr>
      </w:pPr>
    </w:p>
    <w:p>
      <w:pPr>
        <w:ind w:left="340" w:right="19"/>
        <w:spacing w:after="0" w:line="255" w:lineRule="auto"/>
        <w:rPr>
          <w:sz w:val="20"/>
          <w:szCs w:val="20"/>
          <w:color w:val="auto"/>
        </w:rPr>
      </w:pPr>
      <w:r>
        <w:rPr>
          <w:rFonts w:ascii="Arial" w:cs="Arial" w:eastAsia="Arial" w:hAnsi="Arial"/>
          <w:sz w:val="18"/>
          <w:szCs w:val="18"/>
          <w:color w:val="auto"/>
        </w:rPr>
        <w:t>As discussed in Note 4 to the consolidated financial statements, service revenue is recognized from the delivery of support services to institutions in the post-secondary education sector of the United States (University Partners). The transaction price for support services is based on the Company receiving a contracted percentage of the University Partner’s tuition and fee revenue. The tuition and fee information received varies depending on the respective University Partner’s reporting processes and the services provided. The Company recorded $778.6 million of service revenue for the year ended December 31, 2019.</w:t>
      </w:r>
    </w:p>
    <w:p>
      <w:pPr>
        <w:spacing w:after="0" w:line="99" w:lineRule="exact"/>
        <w:rPr>
          <w:sz w:val="20"/>
          <w:szCs w:val="20"/>
          <w:color w:val="auto"/>
        </w:rPr>
      </w:pPr>
    </w:p>
    <w:p>
      <w:pPr>
        <w:ind w:left="340" w:right="79"/>
        <w:spacing w:after="0" w:line="279" w:lineRule="auto"/>
        <w:rPr>
          <w:sz w:val="20"/>
          <w:szCs w:val="20"/>
          <w:color w:val="auto"/>
        </w:rPr>
      </w:pPr>
      <w:r>
        <w:rPr>
          <w:rFonts w:ascii="Arial" w:cs="Arial" w:eastAsia="Arial" w:hAnsi="Arial"/>
          <w:sz w:val="17"/>
          <w:szCs w:val="17"/>
          <w:color w:val="auto"/>
        </w:rPr>
        <w:t>We identified the evaluation of the sufficiency of audit evidence over service revenue as a critical audit matter. This required especially subjective auditor judgment because service revenue recorded by the Company is dependent on the tuition and fee information of the University Partners. This included determining the nature and extent of procedures to be performed and evaluating the evidence obtained over the tuition and fee information.</w:t>
      </w:r>
    </w:p>
    <w:p>
      <w:pPr>
        <w:spacing w:after="0" w:line="77" w:lineRule="exact"/>
        <w:rPr>
          <w:sz w:val="20"/>
          <w:szCs w:val="20"/>
          <w:color w:val="auto"/>
        </w:rPr>
      </w:pPr>
    </w:p>
    <w:p>
      <w:pPr>
        <w:ind w:left="340" w:right="59"/>
        <w:spacing w:after="0" w:line="273"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applied auditor judgment to determine the nature and extent of procedures to be performed over tuition and fee information of the University Partners. We tested certain internal controls over the Company’s service revenue processes, including the Company’s controls over the accurate recording of amounts. We assessed the recorded service revenues by selecting a sample of transactions and compared the amounts recognized for consistency with underlying documentation, including contracts with University Partners and student enrollment documentation.</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evaluated the overall sufficiency of audit evidence obtained over service revenues.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/s/ KPMG LLP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5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0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Restricted cash and cash equivalents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48,939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 on Secured Note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208,344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Right-of-use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202,057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1,690,289</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1,324,017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14,835</w:t>
            </w:r>
          </w:p>
        </w:tc>
        <w:tc>
          <w:tcPr>
            <w:tcW w:w="16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16,771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notes payable</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246,856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Preferred stock, $0.01 par value, 10,000 shares authorized; 0 shares issued and outstanding at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and December 31, 2018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tcPr>
          <w:p>
            <w:pPr>
              <w:spacing w:after="0" w:line="201" w:lineRule="exact"/>
              <w:rPr>
                <w:sz w:val="20"/>
                <w:szCs w:val="20"/>
                <w:color w:val="auto"/>
              </w:rPr>
            </w:pPr>
            <w:r>
              <w:rPr>
                <w:rFonts w:ascii="Arial" w:cs="Arial" w:eastAsia="Arial" w:hAnsi="Arial"/>
                <w:sz w:val="18"/>
                <w:szCs w:val="18"/>
                <w:color w:val="auto"/>
                <w:w w:val="89"/>
              </w:rPr>
              <w:t>Common stock, $0.01 par value, 100,000 shares authorized; 53,054 and 52,690 shares issued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20"/>
                <w:szCs w:val="20"/>
                <w:color w:val="auto"/>
              </w:rPr>
            </w:pPr>
            <w:r>
              <w:rPr>
                <w:rFonts w:ascii="Arial" w:cs="Arial" w:eastAsia="Arial" w:hAnsi="Arial"/>
                <w:sz w:val="18"/>
                <w:szCs w:val="18"/>
                <w:color w:val="auto"/>
                <w:w w:val="93"/>
              </w:rPr>
              <w:t>and 48,105 and 48,201 shares outstanding at December 31, 2019 and December 31, 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Treasury stock, at cost, 4,949 and 4,489 shares of common stock at December 31, 2019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 respectively</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(169,365)</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270,923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1,341,344</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1,082,169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1,443,433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1,213,597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1,690,289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1,324,017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5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Service revenue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778,643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333,002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University related revenue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512,499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974,134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778,643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845,501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974,134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223,598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204,690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142,896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117,420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44,317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University related expenses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173,330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324,140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transaction</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513,512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587,352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691,380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258,149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00"/>
              <w:spacing w:after="0"/>
              <w:rPr>
                <w:sz w:val="20"/>
                <w:szCs w:val="20"/>
                <w:color w:val="auto"/>
              </w:rPr>
            </w:pPr>
            <w:r>
              <w:rPr>
                <w:rFonts w:ascii="Arial" w:cs="Arial" w:eastAsia="Arial" w:hAnsi="Arial"/>
                <w:sz w:val="18"/>
                <w:szCs w:val="18"/>
                <w:color w:val="auto"/>
              </w:rPr>
              <w:t>Interest income on Secured Note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59,297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Investment interest and other</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287,000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259,175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229,011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0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b w:val="1"/>
                <w:bCs w:val="1"/>
                <w:color w:val="auto"/>
              </w:rPr>
              <w:t>Diluted income per share</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5.37</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4.73</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Basic weighted average shares outstanding</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47,814</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47,608</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Diluted weighted average shares outstanding</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48,266</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48,414</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760" w:type="dxa"/>
            <w:vAlign w:val="bottom"/>
            <w:tcBorders>
              <w:bottom w:val="single" w:sz="8" w:color="auto"/>
            </w:tcBorders>
            <w:gridSpan w:val="7"/>
          </w:tcPr>
          <w:p>
            <w:pPr>
              <w:jc w:val="right"/>
              <w:ind w:right="49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$ 259,175</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$ 229,011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Unrealized gains (losses) on hedging derivatives, net of taxes of $107, $39, and $6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 the years ended December 31, 2019, 2018 and 2017, respectively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tcPr>
          <w:p>
            <w:pPr>
              <w:ind w:left="100"/>
              <w:spacing w:after="0" w:line="201" w:lineRule="exact"/>
              <w:rPr>
                <w:sz w:val="20"/>
                <w:szCs w:val="20"/>
                <w:color w:val="auto"/>
              </w:rPr>
            </w:pPr>
            <w:r>
              <w:rPr>
                <w:rFonts w:ascii="Arial" w:cs="Arial" w:eastAsia="Arial" w:hAnsi="Arial"/>
                <w:sz w:val="18"/>
                <w:szCs w:val="18"/>
                <w:color w:val="auto"/>
                <w:w w:val="92"/>
              </w:rPr>
              <w:t>Unrealized gains (losses) on available for sale securities, net of taxes of $0, $103</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ind w:left="100"/>
              <w:spacing w:after="0"/>
              <w:rPr>
                <w:sz w:val="20"/>
                <w:szCs w:val="20"/>
                <w:color w:val="auto"/>
              </w:rPr>
            </w:pPr>
            <w:r>
              <w:rPr>
                <w:rFonts w:ascii="Arial" w:cs="Arial" w:eastAsia="Arial" w:hAnsi="Arial"/>
                <w:sz w:val="18"/>
                <w:szCs w:val="18"/>
                <w:color w:val="auto"/>
                <w:w w:val="94"/>
              </w:rPr>
              <w:t>and $108 for the years ended December 31, 2019, 2018 and 2017, respectively</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Reclassification of expired interest rate corridor to interest expense, net of taxes of</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$ 259,628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$ 229,438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203,505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58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15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580" w:type="dxa"/>
            <w:vAlign w:val="bottom"/>
            <w:gridSpan w:val="5"/>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62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2"/>
                <w:szCs w:val="12"/>
                <w:color w:val="auto"/>
              </w:rPr>
            </w:pPr>
          </w:p>
        </w:tc>
        <w:tc>
          <w:tcPr>
            <w:tcW w:w="6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51,509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(89,394)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212,559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650,916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773,686</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Cumulative effect from the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adoption of accounting</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pronouncements, net of taxes</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203,319</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203,505</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treasury</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(9,790)</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12,686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2017</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52,277</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w:t>
            </w:r>
          </w:p>
        </w:tc>
        <w:tc>
          <w:tcPr>
            <w:tcW w:w="1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(100,694)</w:t>
            </w:r>
          </w:p>
        </w:tc>
        <w:tc>
          <w:tcPr>
            <w:tcW w:w="12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232,670</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854,176</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985,951</w:t>
            </w:r>
          </w:p>
        </w:tc>
        <w:tc>
          <w:tcPr>
            <w:tcW w:w="0" w:type="dxa"/>
            <w:vAlign w:val="bottom"/>
          </w:tcPr>
          <w:p>
            <w:pPr>
              <w:spacing w:after="0"/>
              <w:rPr>
                <w:sz w:val="1"/>
                <w:szCs w:val="1"/>
                <w:color w:val="auto"/>
              </w:rPr>
            </w:pPr>
          </w:p>
        </w:tc>
      </w:tr>
      <w:tr>
        <w:trPr>
          <w:trHeight w:val="155"/>
        </w:trPr>
        <w:tc>
          <w:tcPr>
            <w:tcW w:w="260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Cumulative effect from the</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adoption of accounting</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pronouncements, net of taxes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Comprehensive income</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427</w:t>
            </w: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229,011</w:t>
            </w: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229,438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Adoption impact – ASU 2018-02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treasury</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2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(15,152)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19,506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Balance at December 31, 2018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52,690</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527</w:t>
            </w:r>
          </w:p>
        </w:tc>
        <w:tc>
          <w:tcPr>
            <w:tcW w:w="12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4,489</w:t>
            </w:r>
          </w:p>
        </w:tc>
        <w:tc>
          <w:tcPr>
            <w:tcW w:w="12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91"/>
              </w:rPr>
              <w:t>$ (125,452)</w:t>
            </w:r>
          </w:p>
        </w:tc>
        <w:tc>
          <w:tcPr>
            <w:tcW w:w="120" w:type="dxa"/>
            <w:vAlign w:val="bottom"/>
            <w:tcBorders>
              <w:bottom w:val="single" w:sz="8" w:color="CCEEFF"/>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w w:val="89"/>
              </w:rPr>
              <w:t>$ 256,806</w:t>
            </w: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1,082,169</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86"/>
              </w:rPr>
              <w:t>$</w:t>
            </w:r>
            <w:r>
              <w:rPr>
                <w:rFonts w:ascii="Arial" w:cs="Arial" w:eastAsia="Arial" w:hAnsi="Arial"/>
                <w:sz w:val="17"/>
                <w:szCs w:val="17"/>
                <w:color w:val="auto"/>
                <w:w w:val="86"/>
              </w:rPr>
              <w:t>1,213,597</w:t>
            </w: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Comprehensive income</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453</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259,175</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259,628</w:t>
            </w:r>
          </w:p>
        </w:tc>
        <w:tc>
          <w:tcPr>
            <w:tcW w:w="0" w:type="dxa"/>
            <w:vAlign w:val="bottom"/>
          </w:tcPr>
          <w:p>
            <w:pPr>
              <w:spacing w:after="0"/>
              <w:rPr>
                <w:sz w:val="1"/>
                <w:szCs w:val="1"/>
                <w:color w:val="auto"/>
              </w:rPr>
            </w:pPr>
          </w:p>
        </w:tc>
      </w:tr>
      <w:tr>
        <w:trPr>
          <w:trHeight w:val="202"/>
        </w:trPr>
        <w:tc>
          <w:tcPr>
            <w:tcW w:w="2600" w:type="dxa"/>
            <w:vAlign w:val="bottom"/>
          </w:tcPr>
          <w:p>
            <w:pPr>
              <w:spacing w:after="0" w:line="201" w:lineRule="exact"/>
              <w:rPr>
                <w:sz w:val="20"/>
                <w:szCs w:val="20"/>
                <w:color w:val="auto"/>
              </w:rPr>
            </w:pPr>
            <w:r>
              <w:rPr>
                <w:rFonts w:ascii="Arial" w:cs="Arial" w:eastAsia="Arial" w:hAnsi="Arial"/>
                <w:sz w:val="18"/>
                <w:szCs w:val="18"/>
                <w:color w:val="auto"/>
              </w:rPr>
              <w:t>Common stock purchased for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treasury</w:t>
            </w: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376</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(35,786)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(35,786)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620" w:type="dxa"/>
            <w:vAlign w:val="bottom"/>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68</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(8,127)</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10,298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2,173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3,821</w:t>
            </w:r>
          </w:p>
        </w:tc>
        <w:tc>
          <w:tcPr>
            <w:tcW w:w="0" w:type="dxa"/>
            <w:vAlign w:val="bottom"/>
          </w:tcPr>
          <w:p>
            <w:pPr>
              <w:spacing w:after="0"/>
              <w:rPr>
                <w:sz w:val="1"/>
                <w:szCs w:val="1"/>
                <w:color w:val="auto"/>
              </w:rPr>
            </w:pPr>
          </w:p>
        </w:tc>
      </w:tr>
      <w:tr>
        <w:trPr>
          <w:trHeight w:val="196"/>
        </w:trPr>
        <w:tc>
          <w:tcPr>
            <w:tcW w:w="2600" w:type="dxa"/>
            <w:vAlign w:val="bottom"/>
          </w:tcPr>
          <w:p>
            <w:pPr>
              <w:spacing w:after="0" w:line="196" w:lineRule="exact"/>
              <w:rPr>
                <w:sz w:val="20"/>
                <w:szCs w:val="20"/>
                <w:color w:val="auto"/>
              </w:rPr>
            </w:pPr>
            <w:r>
              <w:rPr>
                <w:rFonts w:ascii="Arial" w:cs="Arial" w:eastAsia="Arial" w:hAnsi="Arial"/>
                <w:sz w:val="18"/>
                <w:szCs w:val="18"/>
                <w:color w:val="auto"/>
              </w:rPr>
              <w:t>Balance at December 31, 2019</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53,054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531</w:t>
            </w:r>
          </w:p>
        </w:tc>
        <w:tc>
          <w:tcPr>
            <w:tcW w:w="1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4,949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(169,365)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270,923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1,341,344</w:t>
            </w:r>
          </w:p>
        </w:tc>
        <w:tc>
          <w:tcPr>
            <w:tcW w:w="1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1,443,433</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358140</wp:posOffset>
            </wp:positionV>
            <wp:extent cx="608012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080125" cy="26035"/>
                    </a:xfrm>
                    <a:prstGeom prst="rect">
                      <a:avLst/>
                    </a:prstGeom>
                    <a:noFill/>
                  </pic:spPr>
                </pic:pic>
              </a:graphicData>
            </a:graphic>
          </wp:anchor>
        </w:drawing>
      </w:r>
    </w:p>
    <w:p>
      <w:pPr>
        <w:sectPr>
          <w:pgSz w:w="11900" w:h="16838" w:orient="portrait"/>
          <w:cols w:equalWidth="0" w:num="1">
            <w:col w:w="9580"/>
          </w:cols>
          <w:pgMar w:left="1160" w:top="517" w:right="11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3"/>
                <w:szCs w:val="13"/>
                <w:b w:val="1"/>
                <w:bCs w:val="1"/>
                <w:color w:val="auto"/>
              </w:rPr>
              <w:t>Year Ended December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1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ind w:right="217"/>
              <w:spacing w:after="0" w:line="129"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provided by operating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259,175</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229,011</w:t>
            </w:r>
          </w:p>
        </w:tc>
        <w:tc>
          <w:tcPr>
            <w:tcW w:w="3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203,319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Share-based compensation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10,300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19,508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12,688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Provision for bad debts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8,669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18,696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35,673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54,228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Amortization of intangible assets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8,223</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Deferred income taxes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1,670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(11,507)</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(5,160)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Loss on transaction, net of costs and asset impairment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3,966</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12,605</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Other, including fixed asset impairments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(335)</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2,101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3,883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Changes in assets and liabilities: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200"/>
              <w:spacing w:after="0" w:line="135" w:lineRule="exact"/>
              <w:rPr>
                <w:sz w:val="20"/>
                <w:szCs w:val="20"/>
                <w:color w:val="auto"/>
              </w:rPr>
            </w:pPr>
            <w:r>
              <w:rPr>
                <w:rFonts w:ascii="Arial" w:cs="Arial" w:eastAsia="Arial" w:hAnsi="Arial"/>
                <w:sz w:val="13"/>
                <w:szCs w:val="13"/>
                <w:color w:val="auto"/>
              </w:rPr>
              <w:t>Accounts receivable and interest receivable from university partners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766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(51,480)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receivable</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(7,784)</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(19,848)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200"/>
              <w:spacing w:after="0" w:line="135" w:lineRule="exact"/>
              <w:rPr>
                <w:sz w:val="20"/>
                <w:szCs w:val="20"/>
                <w:color w:val="auto"/>
              </w:rPr>
            </w:pPr>
            <w:r>
              <w:rPr>
                <w:rFonts w:ascii="Arial" w:cs="Arial" w:eastAsia="Arial" w:hAnsi="Arial"/>
                <w:sz w:val="13"/>
                <w:szCs w:val="13"/>
                <w:color w:val="auto"/>
              </w:rPr>
              <w:t>Prepaid expenses and other</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2,136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1,553</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(2,399)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Right-of-use assets and lease liabilities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833</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200"/>
              <w:spacing w:after="0" w:line="135" w:lineRule="exact"/>
              <w:rPr>
                <w:sz w:val="20"/>
                <w:szCs w:val="20"/>
                <w:color w:val="auto"/>
              </w:rPr>
            </w:pPr>
            <w:r>
              <w:rPr>
                <w:rFonts w:ascii="Arial" w:cs="Arial" w:eastAsia="Arial" w:hAnsi="Arial"/>
                <w:sz w:val="13"/>
                <w:szCs w:val="13"/>
                <w:color w:val="auto"/>
              </w:rPr>
              <w:t>Accounts payable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(3,095)</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(14,306)</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5,378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Accrued liabilities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5,078</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(15,700)</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200"/>
              <w:spacing w:after="0" w:line="135" w:lineRule="exact"/>
              <w:rPr>
                <w:sz w:val="20"/>
                <w:szCs w:val="20"/>
                <w:color w:val="auto"/>
              </w:rPr>
            </w:pPr>
            <w:r>
              <w:rPr>
                <w:rFonts w:ascii="Arial" w:cs="Arial" w:eastAsia="Arial" w:hAnsi="Arial"/>
                <w:sz w:val="13"/>
                <w:szCs w:val="13"/>
                <w:color w:val="auto"/>
              </w:rPr>
              <w:t>Income taxes receivable/payable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(1,044)</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(8,662)</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16,048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rent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200"/>
              <w:spacing w:after="0" w:line="135" w:lineRule="exact"/>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(25)</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6,881</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6,156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Student deposits</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(7,288)</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9,417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cash provided by operating activities</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306,344</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199,085</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304,898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used in investing activities: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Capital expenditures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(22,391)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(94,527)</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(113,586)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Purchases of land and building improvements related to off-site development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Additions of amortizable content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(260)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Acquisition, net of cash acquired</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(361,184)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Disposition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(131,550)</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Funding to GCU at closing in excess of required capital</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(7,377)</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Repayment of excess funds by GCU</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7,377</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Funding to GCU for capital expenditures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(169,819)</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(29,996)</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Repayment by GCU for capital expenditures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100,000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Return of equity method investment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Purchases of investments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(9,384)</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(46,948)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(94,054)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sale or maturity of investments</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57,163</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65,116</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65,259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(405,875)</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(238,235)</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(152,064)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provided by (used in) financing activities: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Principal payments on notes payable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(92,433)</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(6,719)</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(6,805)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Debt issuance costs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(2,385)</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Proceeds from notes payable</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243,750</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borrowings from revolving line of credit</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(68,750)</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Repurchase of common shares including shares withheld in lieu of income taxes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(43,913)</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(24,758)</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Net proceeds from exercise of stock options</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3,821</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4,632</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7,372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cash provided by (used in) financing activities</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40,090</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(26,845)</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(35,733)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(decrease) increase in cash and cash equivalents and restricted cash</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(59,441)</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(65,995)</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117,101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b w:val="1"/>
                <w:bCs w:val="1"/>
                <w:color w:val="auto"/>
              </w:rPr>
              <w:t>Cash and cash equivalents and restricted cash, beginning of period</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182,013</w:t>
            </w: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248,008</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130,907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and cash equivalents and restricted cash, end of period</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122,572</w:t>
            </w:r>
          </w:p>
        </w:tc>
        <w:tc>
          <w:tcPr>
            <w:tcW w:w="18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182,013</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248,008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line="129"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Cash paid for interest</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11,516</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1,511</w:t>
            </w:r>
          </w:p>
        </w:tc>
        <w:tc>
          <w:tcPr>
            <w:tcW w:w="38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2,252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Cash paid for income taxes</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59,903</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78,195</w:t>
            </w:r>
          </w:p>
        </w:tc>
        <w:tc>
          <w:tcPr>
            <w:tcW w:w="3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69,606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Sale transaction to GCU through Secured Note financing</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870,097</w:t>
            </w:r>
          </w:p>
        </w:tc>
        <w:tc>
          <w:tcPr>
            <w:tcW w:w="3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Purchases of property and equipment included in accounts payable</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469</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1,121</w:t>
            </w:r>
          </w:p>
        </w:tc>
        <w:tc>
          <w:tcPr>
            <w:tcW w:w="38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Reclassification of capitalized costs – adoption of ASC 606</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9,015</w:t>
            </w:r>
          </w:p>
        </w:tc>
        <w:tc>
          <w:tcPr>
            <w:tcW w:w="3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Reclassification of deferred revenue – adoption of ASC 606</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7,451</w:t>
            </w:r>
          </w:p>
        </w:tc>
        <w:tc>
          <w:tcPr>
            <w:tcW w:w="38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Lease adoption - gross up of right of use assets and lease liabilities</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498</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ROU Asset and Liability gross up</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14,203</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tcPr>
          <w:p>
            <w:pPr>
              <w:ind w:left="100"/>
              <w:spacing w:after="0" w:line="135" w:lineRule="exact"/>
              <w:rPr>
                <w:sz w:val="20"/>
                <w:szCs w:val="20"/>
                <w:color w:val="auto"/>
              </w:rPr>
            </w:pPr>
            <w:r>
              <w:rPr>
                <w:rFonts w:ascii="Arial" w:cs="Arial" w:eastAsia="Arial" w:hAnsi="Arial"/>
                <w:sz w:val="13"/>
                <w:szCs w:val="13"/>
                <w:color w:val="auto"/>
              </w:rPr>
              <w:t>Reclassification of interest rate corridor due to expiration</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1,100</w:t>
            </w:r>
          </w:p>
        </w:tc>
        <w:tc>
          <w:tcPr>
            <w:tcW w:w="34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380" w:type="dxa"/>
            <w:vAlign w:val="bottom"/>
            <w:gridSpan w:val="2"/>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Reclassification of tax effect within accumulated other comprehensive income</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34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w:t>
            </w:r>
          </w:p>
        </w:tc>
        <w:tc>
          <w:tcPr>
            <w:tcW w:w="380" w:type="dxa"/>
            <w:vAlign w:val="bottom"/>
            <w:gridSpan w:val="2"/>
            <w:shd w:val="clear" w:color="auto" w:fill="CCEEFF"/>
          </w:tcPr>
          <w:p>
            <w:pPr>
              <w:jc w:val="right"/>
              <w:ind w:right="93"/>
              <w:spacing w:after="0" w:line="135"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right="19" w:firstLine="324"/>
        <w:spacing w:after="0" w:line="287" w:lineRule="auto"/>
        <w:rPr>
          <w:sz w:val="20"/>
          <w:szCs w:val="20"/>
          <w:color w:val="auto"/>
        </w:rPr>
      </w:pPr>
      <w:r>
        <w:rPr>
          <w:rFonts w:ascii="Arial" w:cs="Arial" w:eastAsia="Arial" w:hAnsi="Arial"/>
          <w:sz w:val="16"/>
          <w:szCs w:val="16"/>
          <w:color w:val="auto"/>
        </w:rPr>
        <w:t>Grand Canyon Education, Inc. (together with its subsidiaries, the “Company” or “GCE”) is a publicly traded education services company. Prior to July 1, 2018, GCE owned and operated Grand Canyon University (the “University”), a 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Grand Canyon University, an Arizona non-profit corporation formerly known as Gazelle University (“GCU”). As a result of this transaction (the “Transaction”), GCE became an education services company focused on providing a full array of support services to institutions in the post-secondary education sector. GCE provides education services, that include technology and academic services, counseling services and support, marketing and communication services, and for its largest university partner several back-office services such as accounting, reporting, tax, human resources, and procurement services. GCE has developed significant technological solutions, infrastructure and operational processes to provide services to these institutions on a large scale. See Note 2 to our consolidated financial statements for a full description of the Transaction.</w:t>
      </w:r>
    </w:p>
    <w:p>
      <w:pPr>
        <w:spacing w:after="0" w:line="169" w:lineRule="exact"/>
        <w:rPr>
          <w:sz w:val="20"/>
          <w:szCs w:val="20"/>
          <w:color w:val="auto"/>
        </w:rPr>
      </w:pPr>
    </w:p>
    <w:p>
      <w:pPr>
        <w:ind w:right="39" w:firstLine="648"/>
        <w:spacing w:after="0" w:line="276" w:lineRule="auto"/>
        <w:rPr>
          <w:sz w:val="20"/>
          <w:szCs w:val="20"/>
          <w:color w:val="auto"/>
        </w:rPr>
      </w:pPr>
      <w:r>
        <w:rPr>
          <w:rFonts w:ascii="Arial" w:cs="Arial" w:eastAsia="Arial" w:hAnsi="Arial"/>
          <w:sz w:val="17"/>
          <w:szCs w:val="17"/>
          <w:color w:val="auto"/>
        </w:rPr>
        <w:t>On January 22, 2019, GCE acquired, by merger, all of the outstanding equity interest of Orbis Education Services, LLC (“Orbis Education”), an education services company that supports healthcare education programs for 22 university partners across the United States, for $361,184, net of cash acquired (the “Acquisition”). The Company financed a portion of the purchase price through a credit facility provided by a consortium of banks led by our existing bank group. See Note 3 to our consolidated financial statement for a full description of the Acquisition.</w:t>
      </w:r>
    </w:p>
    <w:p>
      <w:pPr>
        <w:spacing w:after="0" w:line="173" w:lineRule="exact"/>
        <w:rPr>
          <w:sz w:val="20"/>
          <w:szCs w:val="20"/>
          <w:color w:val="auto"/>
        </w:rPr>
      </w:pPr>
    </w:p>
    <w:p>
      <w:pPr>
        <w:ind w:right="219" w:firstLine="648"/>
        <w:spacing w:after="0" w:line="277" w:lineRule="auto"/>
        <w:rPr>
          <w:sz w:val="20"/>
          <w:szCs w:val="20"/>
          <w:color w:val="auto"/>
        </w:rPr>
      </w:pPr>
      <w:r>
        <w:rPr>
          <w:rFonts w:ascii="Arial" w:cs="Arial" w:eastAsia="Arial" w:hAnsi="Arial"/>
          <w:sz w:val="18"/>
          <w:szCs w:val="18"/>
          <w:color w:val="auto"/>
        </w:rPr>
        <w:t>As a result of the Transaction and Acquisition, the Company no longer owns and operates an institution of higher education, but instead provides a bundle of services in support of its 22 university partners.</w:t>
      </w:r>
    </w:p>
    <w:p>
      <w:pPr>
        <w:spacing w:after="0" w:line="170" w:lineRule="exact"/>
        <w:rPr>
          <w:sz w:val="20"/>
          <w:szCs w:val="20"/>
          <w:color w:val="auto"/>
        </w:rPr>
      </w:pPr>
    </w:p>
    <w:p>
      <w:pPr>
        <w:ind w:right="119" w:firstLine="324"/>
        <w:spacing w:after="0" w:line="255" w:lineRule="auto"/>
        <w:rPr>
          <w:sz w:val="20"/>
          <w:szCs w:val="20"/>
          <w:color w:val="auto"/>
        </w:rPr>
      </w:pPr>
      <w:r>
        <w:rPr>
          <w:rFonts w:ascii="Arial" w:cs="Arial" w:eastAsia="Arial" w:hAnsi="Arial"/>
          <w:sz w:val="18"/>
          <w:szCs w:val="18"/>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 The Company’s wholly-owned subsidiaries were historically used to facilitate expansion of the university campus prior to the transaction.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Purchase Agreement and Related Agreements</w:t>
      </w:r>
    </w:p>
    <w:p>
      <w:pPr>
        <w:spacing w:after="0" w:line="225" w:lineRule="exact"/>
        <w:rPr>
          <w:sz w:val="20"/>
          <w:szCs w:val="20"/>
          <w:color w:val="auto"/>
        </w:rPr>
      </w:pPr>
    </w:p>
    <w:p>
      <w:pPr>
        <w:ind w:right="39" w:firstLine="648"/>
        <w:spacing w:after="0" w:line="268"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December 31, 2019, the Company had loaned $99,815 to GCU for capital expenditures, which is net of GCU’s repayment of $100,000 during the year ended December 31, 2019.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was a party to a credit agreement with Bank of America, N.A. as Administrative Agent, and other lenders, dated December 21, 2012 and amended as of January 15, 2016. Effective July 1, 2018, the Company and the lenders amended the credit agreement (the “Amendment”) to release the assets pledged as collateral in order to enable GCE to sell them to GCU and complete the Transaction. In connection with the Amendment, GCE provided restricted cash collateral in the amount of $61,667 as of December 31, 2018, which was released on January 22, 2019. See Note 10 to our consolidated financial statements for a full description of our credit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Disposed Assets, previously Assets and Liabilities Held for Sale</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received Board approval to consummate the Transaction on June 28, 2018, and completed the Transaction on July 1, 2018. As a result, the Company determined that it had met the accounting requirements to classify the assets and liabilities to be transferred in the Transaction as assets and liabilities held for sale as of June 30, 2018. The assets and liabilities held for sale were sold as part of the Transaction on July 1, 2018. Accordingly, the following balances were transferred to GCU as of July 1, 2018:</w:t>
      </w:r>
    </w:p>
    <w:p>
      <w:pPr>
        <w:spacing w:after="0" w:line="21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Accounts receivable, net of allowance for doubtful accounts of $6,093</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 of accumulated depreciation of $166,066</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870,097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held for sale, current</w:t>
            </w: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984,997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Student deposits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Note payable</w:t>
            </w:r>
          </w:p>
        </w:tc>
        <w:tc>
          <w:tcPr>
            <w:tcW w:w="6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held for sale, current</w:t>
            </w:r>
          </w:p>
        </w:tc>
        <w:tc>
          <w:tcPr>
            <w:tcW w:w="6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139,439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received a Secured Note for the Transferred Assets. The Company also transferred cash equal to $34,107 representing a working capital adjustment as part of the closing. Except for identified liabilities assumed by GCU, GCE retained responsibility for all liabilities of the business arising from pre-closing operations. For the year ended December 31, 2018 the Company had a loss of $18,370, included in loss on transaction due to transaction costs of $5,765, which includes both disposition and acquisition related transaction costs, and an asset impairment of $3,037. In addition, the Company transferred to GCU cash of $9,568 to fund a deferred compensation plan for GCU employees that were formerly GCE employees (the “Transferred Employees”) and that held unvested restricted stock of GCE that was forfeited upon the Transaction. Included in the university related expenses for the six months ended December 31, 2018 is $7,880 of share-based compensation expense resulting from the modification and vesting of previously issued restricted stock grants held by Transferred Employees, employer tax expense of $191 related to the share-based compensation modification, net of reversals of employee related liabilities that were not part of the Transferred Assets for the Transaction of $1,907.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Entity and Related Party Considerations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ASC 810-10-15-17 provides scope exceptions to the variable interest entity analysis that include a not-for profit entity carve out. GCU is not a related party to the Company in accordance with ASC Topic 850. The following factors were considered:</w:t>
      </w:r>
    </w:p>
    <w:p>
      <w:pPr>
        <w:spacing w:after="0" w:line="181" w:lineRule="exact"/>
        <w:rPr>
          <w:sz w:val="20"/>
          <w:szCs w:val="20"/>
          <w:color w:val="auto"/>
        </w:rPr>
      </w:pPr>
    </w:p>
    <w:p>
      <w:pPr>
        <w:ind w:left="1000" w:right="280" w:hanging="316"/>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Since GCU is an Arizona non-profit corporation, the Company has no ownership interest or voting rights in GCU.</w:t>
      </w:r>
    </w:p>
    <w:p>
      <w:pPr>
        <w:spacing w:after="0" w:line="170" w:lineRule="exact"/>
        <w:rPr>
          <w:rFonts w:ascii="Arial" w:cs="Arial" w:eastAsia="Arial" w:hAnsi="Arial"/>
          <w:sz w:val="18"/>
          <w:szCs w:val="18"/>
          <w:color w:val="auto"/>
        </w:rPr>
      </w:pPr>
    </w:p>
    <w:p>
      <w:pPr>
        <w:ind w:left="1000" w:right="500" w:hanging="316"/>
        <w:spacing w:after="0" w:line="342"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GCU is a separate non-profit entity under the control of an independent board of trustees, none of whose members have ever served in a management or corporate board role at the Company. GCU’s board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1000" w:right="60"/>
        <w:spacing w:after="0" w:line="270" w:lineRule="auto"/>
        <w:rPr>
          <w:sz w:val="20"/>
          <w:szCs w:val="20"/>
          <w:color w:val="auto"/>
        </w:rPr>
      </w:pPr>
      <w:r>
        <w:rPr>
          <w:rFonts w:ascii="Arial" w:cs="Arial" w:eastAsia="Arial" w:hAnsi="Arial"/>
          <w:sz w:val="17"/>
          <w:szCs w:val="17"/>
          <w:color w:val="auto"/>
        </w:rPr>
        <w:t>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the Master Services Agreement and GCU’s relationship with the Company, and (iii) prohibits any trustee from having any financial interest in, or role with, the Company. Accordingly, the Company’s relationship with GCU, both pursuant to the Master Services Agreement and operationally, is no longer as owner and operator, but as a third-party service provider to an independent customer. While the Company believes that its relationship with GCU will remain strong, GCU’s board of trustees and management will have fiduciary and other duties that will require them to focus on the best interests of GCU and over time those interests could diverge from those of the Company.</w:t>
      </w:r>
    </w:p>
    <w:p>
      <w:pPr>
        <w:spacing w:after="0" w:line="178" w:lineRule="exact"/>
        <w:rPr>
          <w:sz w:val="20"/>
          <w:szCs w:val="20"/>
          <w:color w:val="auto"/>
        </w:rPr>
      </w:pPr>
    </w:p>
    <w:p>
      <w:pPr>
        <w:ind w:left="1000" w:right="20" w:hanging="316"/>
        <w:spacing w:after="0" w:line="289" w:lineRule="auto"/>
        <w:tabs>
          <w:tab w:leader="none" w:pos="10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Mr. Brian E. Mueller has served as the Chief Executive Officer of the Company since 2008 and the Chairman of the Board of the Company since 2017 and has also served as the President of the University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continues to serve as the President of GCU. As noted above, however, Mr. Mueller is prohibited from serving on the board of trustees of GCU. Aside from Mr. Mueller, no other employee of GCU or GCE has a dual role in both organizations. A structure has been put in place that prevents Mr. Mueller from participating in operational matters involving the Company and GCU, including with respect to the Master Services Agreement.</w:t>
      </w:r>
    </w:p>
    <w:p>
      <w:pPr>
        <w:spacing w:after="0" w:line="166" w:lineRule="exact"/>
        <w:rPr>
          <w:rFonts w:ascii="Arial" w:cs="Arial" w:eastAsia="Arial" w:hAnsi="Arial"/>
          <w:sz w:val="16"/>
          <w:szCs w:val="16"/>
          <w:color w:val="auto"/>
        </w:rPr>
      </w:pPr>
    </w:p>
    <w:p>
      <w:pPr>
        <w:ind w:left="1000" w:right="120" w:hanging="316"/>
        <w:spacing w:after="0" w:line="273" w:lineRule="auto"/>
        <w:tabs>
          <w:tab w:leader="none" w:pos="10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terms of the Master Services Agreement vest in GCU and its board of trustees full authority over decision making related to the day-to-day operations of GCU, including, without limitation, (i) selecting, hiring and firing its personnel, (ii) selecting and adopting academic programs and courses, (iii) establishing admission standards and admitting students, (iv) overseeing instruction, (v) setting credit and student performance requirements, (vi) determining graduation requirements, and (vii) conferring degrees. Per the terms of the MSA, GCE has no authority over GCU’s day-to-day operations.</w:t>
      </w:r>
    </w:p>
    <w:p>
      <w:pPr>
        <w:spacing w:after="0" w:line="178" w:lineRule="exact"/>
        <w:rPr>
          <w:rFonts w:ascii="Arial" w:cs="Arial" w:eastAsia="Arial" w:hAnsi="Arial"/>
          <w:sz w:val="17"/>
          <w:szCs w:val="17"/>
          <w:color w:val="auto"/>
        </w:rPr>
      </w:pPr>
    </w:p>
    <w:p>
      <w:pPr>
        <w:ind w:left="1000" w:right="160" w:hanging="316"/>
        <w:spacing w:after="0" w:line="264"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GCU were to default under the Credit Agreement, the Company would be able to pursue assets of GCU, which are pledged as collateral for the Secured Note. However, the Company would not become the owner or operator of GCU.</w:t>
      </w:r>
    </w:p>
    <w:p>
      <w:pPr>
        <w:spacing w:after="0" w:line="181" w:lineRule="exact"/>
        <w:rPr>
          <w:rFonts w:ascii="Arial" w:cs="Arial" w:eastAsia="Arial" w:hAnsi="Arial"/>
          <w:sz w:val="18"/>
          <w:szCs w:val="18"/>
          <w:color w:val="auto"/>
        </w:rPr>
      </w:pPr>
    </w:p>
    <w:p>
      <w:pPr>
        <w:ind w:left="1000" w:hanging="316"/>
        <w:spacing w:after="0"/>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There is no parent entity and subsidiary relationship between the Company and GCU.</w:t>
      </w:r>
    </w:p>
    <w:p>
      <w:pPr>
        <w:spacing w:after="0" w:line="225" w:lineRule="exact"/>
        <w:rPr>
          <w:rFonts w:ascii="Arial" w:cs="Arial" w:eastAsia="Arial" w:hAnsi="Arial"/>
          <w:sz w:val="18"/>
          <w:szCs w:val="18"/>
          <w:color w:val="auto"/>
        </w:rPr>
      </w:pPr>
    </w:p>
    <w:p>
      <w:pPr>
        <w:ind w:left="1000" w:right="340" w:hanging="316"/>
        <w:spacing w:after="0" w:line="277"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and GCU both engaged their own outside corporate counsel, outside regulatory counsel, and financial advisors to represent each party’s interest during the Transaction.</w:t>
      </w:r>
    </w:p>
    <w:p>
      <w:pPr>
        <w:spacing w:after="0" w:line="166" w:lineRule="exact"/>
        <w:rPr>
          <w:rFonts w:ascii="Arial" w:cs="Arial" w:eastAsia="Arial" w:hAnsi="Arial"/>
          <w:sz w:val="18"/>
          <w:szCs w:val="18"/>
          <w:color w:val="auto"/>
        </w:rPr>
      </w:pPr>
    </w:p>
    <w:p>
      <w:pPr>
        <w:ind w:left="180" w:hanging="171"/>
        <w:spacing w:after="0"/>
        <w:tabs>
          <w:tab w:leader="none" w:pos="1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January 22, 2019, GCE acquired Orbis Education for $361,184 (inclusive of closing date adjustments and net of cash acquired). Orbis Education is an education services company that supports healthcare education programs for 22 university partners across the United States. Concurrent with the closing of the Acquisition, GCE entered into an amended and restated credit agreement and used $191,000 from the amended and restated credit agreement and $171,034 of operating cash on hand to complete the purchase. See Note 10 of our consolidated financial statements for a description of the amended and restated credit agreement. The fair value of the assets acquired, less the liabilities assumed exceeded the purchase price by $157,825 which was recorded as goodwill. Transaction costs for the Acquisition for the year ended December 31, 2018 were $808 and for the year ended December 31, 2019 were $3,966, which are included in the loss on transaction in our consolidated income statement.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40" w:firstLine="441"/>
        <w:spacing w:after="0" w:line="302" w:lineRule="auto"/>
        <w:rPr>
          <w:sz w:val="20"/>
          <w:szCs w:val="20"/>
          <w:color w:val="auto"/>
        </w:rPr>
      </w:pPr>
      <w:r>
        <w:rPr>
          <w:rFonts w:ascii="Arial" w:cs="Arial" w:eastAsia="Arial" w:hAnsi="Arial"/>
          <w:sz w:val="16"/>
          <w:szCs w:val="16"/>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 allocation of the total purchase price to each of the assets acquired and liabilities assumed based on the Company’s fair value estimates.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r>
              <w:rPr>
                <w:rFonts w:ascii="Arial" w:cs="Arial" w:eastAsia="Arial" w:hAnsi="Arial"/>
                <w:sz w:val="18"/>
                <w:szCs w:val="18"/>
                <w:i w:val="1"/>
                <w:iCs w:val="1"/>
                <w:color w:val="auto"/>
              </w:rPr>
              <w:t>Assets acquired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Right-of-use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210,280</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2,793</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 assumed</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4,308</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Lease liability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13,069</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w:t>
            </w:r>
          </w:p>
        </w:tc>
      </w:tr>
      <w:tr>
        <w:trPr>
          <w:trHeight w:val="216"/>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 or liability purchased and assumed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208,152</w:t>
            </w:r>
          </w:p>
        </w:tc>
      </w:tr>
      <w:tr>
        <w:trPr>
          <w:trHeight w:val="216"/>
        </w:trPr>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365,977</w:t>
            </w:r>
          </w:p>
        </w:tc>
      </w:tr>
      <w:tr>
        <w:trPr>
          <w:trHeight w:val="210"/>
        </w:trPr>
        <w:tc>
          <w:tcPr>
            <w:tcW w:w="8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157,825</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right="40" w:firstLine="441"/>
        <w:spacing w:after="0" w:line="286" w:lineRule="auto"/>
        <w:rPr>
          <w:sz w:val="20"/>
          <w:szCs w:val="20"/>
          <w:color w:val="auto"/>
        </w:rPr>
      </w:pPr>
      <w:r>
        <w:rPr>
          <w:rFonts w:ascii="Arial" w:cs="Arial" w:eastAsia="Arial" w:hAnsi="Arial"/>
          <w:sz w:val="17"/>
          <w:szCs w:val="17"/>
          <w:color w:val="auto"/>
        </w:rPr>
        <w:t>Subsequent to the closing of the Acquisition, the Company revised its allocation of the purchase price by $9,538 during the year ended December 31, 2019, primarily as the result of the tax effect of a lower tax basis in the acquired assets. The Company has completed the allocation of the purchase price of the Acquisition as of December 31, 2019.</w:t>
      </w:r>
    </w:p>
    <w:p>
      <w:pPr>
        <w:spacing w:after="0" w:line="16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The Company has consolidated the results of operations for Orbis Education since its Acquisition on January 22, 2019. Consolidated net revenue and consolidated net income for the year ended December 31, 2019 include $85,869 of service revenue and a loss, net of taxes, of $2,588 from Orbis Education, which includes $8,223 of amortization of intangible assets. The following table reports pro forma information as if the Acquisition of Orbis Education had been completed at the beginning of the earliest period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Three Months Ended December 31,</w:t>
            </w: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40" w:type="dxa"/>
            <w:vAlign w:val="bottom"/>
          </w:tcPr>
          <w:p>
            <w:pPr>
              <w:spacing w:after="0"/>
              <w:rPr>
                <w:sz w:val="14"/>
                <w:szCs w:val="14"/>
                <w:color w:val="auto"/>
              </w:rPr>
            </w:pPr>
          </w:p>
        </w:tc>
      </w:tr>
      <w:tr>
        <w:trPr>
          <w:trHeight w:val="142"/>
        </w:trPr>
        <w:tc>
          <w:tcPr>
            <w:tcW w:w="27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bottom w:val="single" w:sz="8" w:color="auto"/>
            </w:tcBorders>
          </w:tcPr>
          <w:p>
            <w:pPr>
              <w:spacing w:after="0"/>
              <w:rPr>
                <w:sz w:val="12"/>
                <w:szCs w:val="12"/>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2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213,247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177,548</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$ 778,643</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845,501</w:t>
            </w:r>
          </w:p>
        </w:tc>
        <w:tc>
          <w:tcPr>
            <w:tcW w:w="40" w:type="dxa"/>
            <w:vAlign w:val="bottom"/>
          </w:tcPr>
          <w:p>
            <w:pPr>
              <w:spacing w:after="0"/>
              <w:rPr>
                <w:sz w:val="18"/>
                <w:szCs w:val="18"/>
                <w:color w:val="auto"/>
              </w:rPr>
            </w:pPr>
          </w:p>
        </w:tc>
      </w:tr>
      <w:tr>
        <w:trPr>
          <w:trHeight w:val="216"/>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25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195,656</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$ 781,893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907,960</w:t>
            </w:r>
          </w:p>
        </w:tc>
        <w:tc>
          <w:tcPr>
            <w:tcW w:w="40" w:type="dxa"/>
            <w:vAlign w:val="bottom"/>
            <w:shd w:val="clear" w:color="auto" w:fill="CCEEFF"/>
          </w:tcPr>
          <w:p>
            <w:pPr>
              <w:spacing w:after="0"/>
              <w:rPr>
                <w:sz w:val="18"/>
                <w:szCs w:val="18"/>
                <w:color w:val="auto"/>
              </w:rPr>
            </w:pPr>
          </w:p>
        </w:tc>
      </w:tr>
      <w:tr>
        <w:trPr>
          <w:trHeight w:val="216"/>
        </w:trPr>
        <w:tc>
          <w:tcPr>
            <w:tcW w:w="27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8"/>
                <w:szCs w:val="18"/>
                <w:color w:val="auto"/>
              </w:rPr>
              <w:t>As Reported</w:t>
            </w:r>
          </w:p>
        </w:tc>
        <w:tc>
          <w:tcPr>
            <w:tcW w:w="25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76,669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75,531</w:t>
            </w:r>
          </w:p>
        </w:tc>
        <w:tc>
          <w:tcPr>
            <w:tcW w:w="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$ 259,175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229,011</w:t>
            </w:r>
          </w:p>
        </w:tc>
        <w:tc>
          <w:tcPr>
            <w:tcW w:w="40" w:type="dxa"/>
            <w:vAlign w:val="bottom"/>
          </w:tcPr>
          <w:p>
            <w:pPr>
              <w:spacing w:after="0"/>
              <w:rPr>
                <w:sz w:val="18"/>
                <w:szCs w:val="18"/>
                <w:color w:val="auto"/>
              </w:rPr>
            </w:pPr>
          </w:p>
        </w:tc>
      </w:tr>
      <w:tr>
        <w:trPr>
          <w:trHeight w:val="216"/>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 forma</w:t>
            </w:r>
          </w:p>
        </w:tc>
        <w:tc>
          <w:tcPr>
            <w:tcW w:w="25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69,551</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$ 247,930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200,264</w:t>
            </w:r>
          </w:p>
        </w:tc>
        <w:tc>
          <w:tcPr>
            <w:tcW w:w="40" w:type="dxa"/>
            <w:vAlign w:val="bottom"/>
            <w:shd w:val="clear" w:color="auto" w:fill="CCEEFF"/>
          </w:tcPr>
          <w:p>
            <w:pPr>
              <w:spacing w:after="0"/>
              <w:rPr>
                <w:sz w:val="18"/>
                <w:szCs w:val="18"/>
                <w:color w:val="auto"/>
              </w:rPr>
            </w:pPr>
          </w:p>
        </w:tc>
      </w:tr>
      <w:tr>
        <w:trPr>
          <w:trHeight w:val="864"/>
        </w:trPr>
        <w:tc>
          <w:tcPr>
            <w:tcW w:w="2740" w:type="dxa"/>
            <w:vAlign w:val="bottom"/>
          </w:tcPr>
          <w:p>
            <w:pPr>
              <w:spacing w:after="0"/>
              <w:rPr>
                <w:sz w:val="24"/>
                <w:szCs w:val="24"/>
                <w:color w:val="auto"/>
              </w:rPr>
            </w:pPr>
          </w:p>
        </w:tc>
        <w:tc>
          <w:tcPr>
            <w:tcW w:w="2280" w:type="dxa"/>
            <w:vAlign w:val="bottom"/>
          </w:tcPr>
          <w:p>
            <w:pPr>
              <w:jc w:val="right"/>
              <w:ind w:right="31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7"/>
        </w:trPr>
        <w:tc>
          <w:tcPr>
            <w:tcW w:w="27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100"/>
          </w:cols>
          <w:pgMar w:left="1420" w:top="517" w:right="13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The pro forma information above for the three months and years ended December 31, 2019 and 2018 includes acquisition related costs in both periods, amortization of intangible assets as a result of the Acquisition, additional interest expense on the debt issued to finance the Acquisition, depreciation expense based on the estimated fair value of the assets acquired, and warrant expense and related tax effects. The pro forma financial information is not necessarily indicative of the results of operations that would have occurred had the transactions been consummated on January 1, 2019 and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consolidated financial statements include the accounts of the Company and its wholly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Restricted cash and cash equivalents at December 31, 2018 represents the cash collateral on the credit agreement, which was released as part of the amended and restated credit agreement on January 22, 2019. Restricted cash and cash equivalents at December 31, 2019 represents cash pledged for leased office space.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40" w:firstLine="324"/>
        <w:spacing w:after="0" w:line="287" w:lineRule="auto"/>
        <w:rPr>
          <w:sz w:val="20"/>
          <w:szCs w:val="20"/>
          <w:color w:val="auto"/>
        </w:rPr>
      </w:pPr>
      <w:r>
        <w:rPr>
          <w:rFonts w:ascii="Arial" w:cs="Arial" w:eastAsia="Arial" w:hAnsi="Arial"/>
          <w:sz w:val="16"/>
          <w:szCs w:val="16"/>
          <w:color w:val="auto"/>
        </w:rPr>
        <w:t>The Company considers its investments in municipal bonds, mutual funds, municipal securities, certificates of deposit and commercial paper as available-for-sale securities based on the Company’s intent for the respective security.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 As of December 31, 2018, the Company transferred its investments from available-for-sale to trading, due to the Company's decision to liquidate all investments to fund a portion of the purchase price paid in the Acquisition. Trading securities are carried at fair value and unrealized holding gains and losses are included in earnings. As a result of the transfer to trading, the Company recorded a loss of $372 in investment interest and other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depreciated. The majority of the Company’s historical capitalized interest was related to the construction of GCU’s campus improvements. The Company capitalizes interest using its interest rates on the specific borrowings used to finance the improvements, which approximated 3.7% in 2018, and 2.8% in 2017. Interest cost capitalized and incurred in the years ended December 31, 2019, 2018, and 2017 are as follows: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11,311</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$ 2,292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$ 2,656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Interest capitalized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487</w:t>
            </w:r>
          </w:p>
        </w:tc>
      </w:tr>
      <w:tr>
        <w:trPr>
          <w:trHeight w:val="210"/>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$ 2,169</w:t>
            </w: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right="140" w:firstLine="324"/>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December 31, 2019, $1,077, net of amortization, of deferred content assets are included in other assets, long-term in the Company’s consolidated balance sheets and amortization is included in technical and academic services where the costs originated.</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classroom site locations and office space.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developed our online delivery platform with a third-party and put this platform into full production in 2011. The Company has prepaid perpetual license fees and source code rights for the software developed, and has prepaid maintenance and service fees. Included in current other assets is the amount that will be amortized in the next twelve-month cycle for maintenance and service fees and included in property and equipment is the amount that will be amortized over fifteen years for the perpetual licenses.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Royalty</w:t>
      </w:r>
    </w:p>
    <w:p>
      <w:pPr>
        <w:spacing w:after="0" w:line="22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connection with its February 2004 acquisition of the assets of the University from a non-profit foundation, the Company recorded a future royalty payment obligation that was included in the Prepaid Royalty in the accompanying consolidated balance sheet, which was being amortized over a 20 year period. This asset was to be expensed over the periods that online education revenues were earned. At the completion of the Transaction on July 1, 2018, the remaining prepaid royalty assets were deemed impaired and $3,037 was expensed and included in loss on transaction in the consolidated income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value and useful lives of the intangible assets acquired involves certain judgments and estimates. These judgments can include, but are not limited to, the cash flows that an asset is expected to generate in the future and the appropriate weighted average cost of capital. The net assets and result of operations of an acquired entity are included on the Company's consolidated financial statements from the acquisition date.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 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two-step quantitative goodwill impairment test. The Company performed its annual goodwill impairment test, by performing a qualitative assessment. Following this assessment, the Company determined that it is more likely than not that its fair value exceeds its carrying amount.</w:t>
      </w:r>
    </w:p>
    <w:p>
      <w:pPr>
        <w:spacing w:after="0" w:line="182"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Finite-lived intangible assets that are acquired in business combinations are recorded at fair value on their acquisition dates and are amortized on a straight-line basis over the estimated useful life of the intangible asset.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Starting January 1, 2017 with the adoption of the share-based compensation accounting standard, the Company made an accounting policy election to account for forfeitures as they occur, prior to 2017 these forfeitures were estimated and reported net of the expense.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Derivative financial instruments are recorded on the consolidated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58"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The carrying value of cash and cash equivalents, accounts receivable, accounts payable, accrued compensation and benefits and accrued liabilities approximate their fair value based on the liquidity or the short-term maturities of these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instruments. The carrying value of Secured Note receivable, non-current approximates fair value as the Secured</w:t>
      </w:r>
    </w:p>
    <w:p>
      <w:pPr>
        <w:spacing w:after="0" w:line="23" w:lineRule="exact"/>
        <w:rPr>
          <w:sz w:val="20"/>
          <w:szCs w:val="20"/>
          <w:color w:val="auto"/>
        </w:rPr>
      </w:pPr>
    </w:p>
    <w:p>
      <w:pPr>
        <w:jc w:val="both"/>
        <w:ind w:right="40"/>
        <w:spacing w:after="0" w:line="295" w:lineRule="auto"/>
        <w:rPr>
          <w:sz w:val="20"/>
          <w:szCs w:val="20"/>
          <w:color w:val="auto"/>
        </w:rPr>
      </w:pPr>
      <w:r>
        <w:rPr>
          <w:rFonts w:ascii="Arial" w:cs="Arial" w:eastAsia="Arial" w:hAnsi="Arial"/>
          <w:sz w:val="16"/>
          <w:szCs w:val="16"/>
          <w:color w:val="auto"/>
        </w:rPr>
        <w:t>Note resulted from the Transaction and was negotiated at fair market value. The carrying value of notes payable approximate fair value based on its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12, Derivative Instruments.</w:t>
      </w:r>
    </w:p>
    <w:p>
      <w:pPr>
        <w:spacing w:after="0" w:line="1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fair value of investments, primarily municipal securities,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18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2019 and 2018, the Company has reserved approximately $6,773 and $1,960, respectively, for uncertain tax positions, including interest and penalties, which is classified within accrued liabilities on the accompanying consolidated balance sheet.</w:t>
      </w:r>
    </w:p>
    <w:p>
      <w:pPr>
        <w:spacing w:after="0" w:line="173"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University related revenue – prior to July 1, 2018</w:t>
      </w:r>
    </w:p>
    <w:p>
      <w:pPr>
        <w:spacing w:after="0" w:line="22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January 1, 2018, the Company adopted “Revenue from Contracts with Customers” using the modified retrospective method applied to all contracts. 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was recognized pro-rata over the applicable period of instruction. A contract was entered into with a student and covered a course or semester. Revenue recognition occurred once a student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started attending a course. The University also charged online students an upfront learning management fee, which was deferred and recognized over the initial course. The University had no costs that were capitalized to obtain or to fulfill a contract with 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For the six months ended June 30, 2018 and the year ended December 31, 2017, the Company’s revenue was reduced by approximately $101,176 and $196,334, respectively, as a result of scholarships that the Company offered to students. Sales tax collected from students is excluded from net revenues. Collected but unremitted sales tax is included as an accrued liability in our consolidated balance sheet.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our revenues disaggregated by the nature of transfer of services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2018:</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Tuition revenues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522,430</w:t>
            </w:r>
          </w:p>
        </w:tc>
      </w:tr>
      <w:tr>
        <w:trPr>
          <w:trHeight w:val="216"/>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Ancillary revenues (housing, meals, fees, golf, hotel, arena, other)</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91,245</w:t>
            </w: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613,675</w:t>
            </w:r>
          </w:p>
        </w:tc>
      </w:tr>
      <w:tr>
        <w:trPr>
          <w:trHeight w:val="210"/>
        </w:trPr>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Scholarships</w:t>
            </w:r>
          </w:p>
        </w:tc>
        <w:tc>
          <w:tcPr>
            <w:tcW w:w="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(101,176)</w:t>
            </w:r>
          </w:p>
        </w:tc>
      </w:tr>
      <w:tr>
        <w:trPr>
          <w:trHeight w:val="210"/>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512,499</w:t>
            </w:r>
          </w:p>
        </w:tc>
      </w:tr>
      <w:tr>
        <w:trPr>
          <w:trHeight w:val="20"/>
        </w:trPr>
        <w:tc>
          <w:tcPr>
            <w:tcW w:w="5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Company’s receivables represented unconditional rights to consideration from its contracts with students; accordingly, students were not billed until they started attending a course and the revenue recognition process had commenced. Once a student had been invoiced, payment was due immediately. Included in each invoice to the student were all educational related items including tuition, net of scholarships, housing, educational materials, fees, etc. The Company did not have any contract assets. The Company’s contract liabilities were reported as deferred revenue and student deposits in the consolidated balance sheets. Deferred revenue and student deposits in any period represented the excess of tuition, fees, and other student payments received as compared to amounts recognized as revenue on the consolidated income statement and were reflected as current liabilities in the accompanying consolidated balance sheets. The Company’s education programs had starting and ending dates that differ from its fiscal quarters. Therefore, at the end of each fiscal quarter, a portion of revenue from these programs was not yet earned. The majority of the University’s traditional ground students did not attend courses during the summer months (May through August), which affected our results for our second and third fiscal quarters.</w:t>
      </w:r>
    </w:p>
    <w:p>
      <w:pPr>
        <w:spacing w:after="0" w:line="18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The Company had identified a performance obligation associated with the provision of its educational instruction and other educational services, housing services, and other academic related services and used the output measure for recognition as the period of time over which the services were provided to our students. The Company had identified performance obligations related to its hotel, golf course, restaurants, sale of branded promotional items and other ancillary activities and recognized revenue at the point in time goods or services were provided to its customers. The Company maintained an institutional tuition refund policy, which provided for all or a portion of tuition to be refunded if a student withdrew during stated refund periods. Certain states in which students reside impose separate, mandatory refund policies, which overrode the Company’s policy to the extent in conflict. If a student withdrew at a time when only a portion, or none of the tuition was refundable, then in accordance with its revenue recognition policy, the Company continued to recognize the tuition that was not refunded pro-rata over the applicable period of instruction. The Company did not record revenue on amounts that may be refunded. However, for students that had taken out financial aid to pay their tuition and for which a return of such money to ED under Title IV was required as a result of his or her withdrawal, the Company reassessed collectability for these students each quarter for the estimated revenue that will be returned and recognized the revenue in future periods when payment was received. The Company had elected the short-term contract exemption with respect to its performance obligations under its contracts with students as all such contracts had original terms of less than one year.</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 commenced July 1, 2018</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 Effective July 1, 2018, as an education services company, the Company adopted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Customers</w:t>
      </w:r>
      <w:r>
        <w:rPr>
          <w:rFonts w:ascii="Arial" w:cs="Arial" w:eastAsia="Arial" w:hAnsi="Arial"/>
          <w:sz w:val="18"/>
          <w:szCs w:val="18"/>
          <w:color w:val="auto"/>
        </w:rPr>
        <w:t>” which it applies to its Services Agreements.</w:t>
      </w:r>
    </w:p>
    <w:p>
      <w:pPr>
        <w:spacing w:after="0" w:line="188"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one year for all partners. There are no refunds or return rights under the Services Agreements.</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December 31, 2019 given historical collection experience. The Company will continue to review and revise its allowance methodology based on its collection experience with its partners.</w:t>
      </w:r>
    </w:p>
    <w:p>
      <w:pPr>
        <w:spacing w:after="0" w:line="19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our partners with unbilled revenue, revenue recognition occurs in advance of billings. Billings for some university partners do not occur until after the service period has commenced and final enrollment information is available. Our unbilled revenue of $118 as of December 31, 2019 are included in accounts receivable in our consolidated 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jc w:val="both"/>
        <w:ind w:right="880" w:firstLine="324"/>
        <w:spacing w:after="0" w:line="312" w:lineRule="auto"/>
        <w:rPr>
          <w:sz w:val="20"/>
          <w:szCs w:val="20"/>
          <w:color w:val="auto"/>
        </w:rPr>
      </w:pPr>
      <w:r>
        <w:rPr>
          <w:rFonts w:ascii="Arial" w:cs="Arial" w:eastAsia="Arial" w:hAnsi="Arial"/>
          <w:sz w:val="16"/>
          <w:szCs w:val="16"/>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these services, primarily at the Company’s Phoenix, Arizona and Indianapolis, Indiana locations.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and Indianapolis, Indiana locations.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 compensation for marketing and communication personnel, brand advertising, marketing leads and other promotional and communication expenses. This category also includes an allocation of depreciation, amortization, lease expense, and occupancy costs attributable to the provision of these services, primarily at the Company’s Phoenix, Arizona and Indianapolis, Indiana locations. Advertising costs are expensed as incurred.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related expenses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University related expenses represent the costs that were transferred to GCU in the Transaction and that are no longer incurred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2019 and 2018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since July 1, 2018, the date the Company transitioned to an education service company. To manage accounts receivable risk, the Company maintains an allowance for doubtful accounts, if needed. Our dependence on our largest university partner subjects us to the risk that declines in that partner’s operations would result in a sustained reduction in revenues and interest income on Secured Note for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Adopted in 2019</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introduced a lessee model that requires the majority of leases to be recognized on the balance sheet. On January 1, 2019, the Company adopted the ASU using the modified retrospective transition approach and elected the transition option to recognize the adjustment in the period of adoption rather than in the earliest period presented. Adoption of the new guidance resulted in an immaterial amount of right-of-use (“ROU”) assets and lease liabilities of $498. Subsequent to adoption, the Company recognized ROU assets of $13,069 and lease liabilities of $13,069 acquired in the Acquisition. As part of the adoption process the Company made the following elections:</w:t>
      </w:r>
    </w:p>
    <w:p>
      <w:pPr>
        <w:spacing w:after="0" w:line="189" w:lineRule="exact"/>
        <w:rPr>
          <w:sz w:val="20"/>
          <w:szCs w:val="20"/>
          <w:color w:val="auto"/>
        </w:rPr>
      </w:pPr>
    </w:p>
    <w:p>
      <w:pPr>
        <w:ind w:left="680" w:hanging="320"/>
        <w:spacing w:after="0"/>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elected the hindsight practical expedient, for all leases.</w:t>
      </w:r>
    </w:p>
    <w:p>
      <w:pPr>
        <w:spacing w:after="0" w:line="23" w:lineRule="exact"/>
        <w:rPr>
          <w:rFonts w:ascii="Arial" w:cs="Arial" w:eastAsia="Arial" w:hAnsi="Arial"/>
          <w:sz w:val="18"/>
          <w:szCs w:val="18"/>
          <w:color w:val="auto"/>
        </w:rPr>
      </w:pPr>
    </w:p>
    <w:p>
      <w:pPr>
        <w:ind w:left="680" w:right="420" w:hanging="320"/>
        <w:spacing w:after="0" w:line="250"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elected the package of practical expedients to not reassess prior conclusions related to contracts containing leases, lease classification and initial direct costs for all leases.</w:t>
      </w:r>
    </w:p>
    <w:p>
      <w:pPr>
        <w:ind w:left="680" w:right="420" w:hanging="320"/>
        <w:spacing w:after="0" w:line="261" w:lineRule="auto"/>
        <w:tabs>
          <w:tab w:leader="none" w:pos="6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elected to make the accounting policy election for short-term leases resulting in lease payments being recorded as an expense on a straight-line basis over the lease term.</w:t>
      </w:r>
    </w:p>
    <w:p>
      <w:pPr>
        <w:spacing w:after="0" w:line="184"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ROU assets and lease liabilities are recognized at commencement date based on the present value of lease payments over the lease term. The Company’s leases do not provide an implicit rate. The Company uses its incremental borrowing rate based on the information available at commencement date in determining the present value of lease payments. Refer to Note 10 to our consolidated financial statements for further disclosures regarding the impact of adopting this standard.</w:t>
      </w:r>
    </w:p>
    <w:p>
      <w:pPr>
        <w:spacing w:after="0" w:line="154" w:lineRule="exact"/>
        <w:rPr>
          <w:sz w:val="20"/>
          <w:szCs w:val="20"/>
          <w:color w:val="auto"/>
        </w:rPr>
      </w:pPr>
    </w:p>
    <w:p>
      <w:pPr>
        <w:ind w:right="400" w:firstLine="441"/>
        <w:spacing w:after="0" w:line="316" w:lineRule="auto"/>
        <w:rPr>
          <w:sz w:val="20"/>
          <w:szCs w:val="20"/>
          <w:color w:val="auto"/>
        </w:rPr>
      </w:pPr>
      <w:r>
        <w:rPr>
          <w:rFonts w:ascii="Arial" w:cs="Arial" w:eastAsia="Arial" w:hAnsi="Arial"/>
          <w:sz w:val="15"/>
          <w:szCs w:val="15"/>
          <w:color w:val="auto"/>
        </w:rPr>
        <w:t>In August 2017, the FASB issued “</w:t>
      </w:r>
      <w:r>
        <w:rPr>
          <w:rFonts w:ascii="Arial" w:cs="Arial" w:eastAsia="Arial" w:hAnsi="Arial"/>
          <w:sz w:val="15"/>
          <w:szCs w:val="15"/>
          <w:i w:val="1"/>
          <w:iCs w:val="1"/>
          <w:color w:val="auto"/>
        </w:rPr>
        <w:t>Targeted Improvements to Accounting for Hedging Activities</w:t>
      </w:r>
      <w:r>
        <w:rPr>
          <w:rFonts w:ascii="Arial" w:cs="Arial" w:eastAsia="Arial" w:hAnsi="Arial"/>
          <w:sz w:val="15"/>
          <w:szCs w:val="15"/>
          <w:color w:val="auto"/>
        </w:rPr>
        <w:t>.” This standard targets improvements in the hedge relationship documentation, testing and disclosures for derivatives. This standard is effective for fiscal years and interim periods within those years, beginning after December 15, 2018. Accordingly, the standard was adopted by us as of January 1, 2019. The adoption of this guidance did not have a material impact on the Company’s financial condition, results of operations or statement of cash flows. The Company elected a qualitative approach starting in 2019 to assess its hedge effectiveness and included updated disclosures as required by the standard.</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517" w:right="14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w:t>
      </w:r>
      <w:r>
        <w:rPr>
          <w:rFonts w:ascii="Arial" w:cs="Arial" w:eastAsia="Arial" w:hAnsi="Arial"/>
          <w:sz w:val="16"/>
          <w:szCs w:val="16"/>
          <w:color w:val="auto"/>
        </w:rPr>
        <w:t>. This guidance revises the accounting requirements related to the measurement of credit losses on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and the timing of when such losses are recorded. The standard is effective for fiscal years, and interim periods within those years, beginning after December 15, 2019. Accordingly, the standard is effective for us on January 1, 2020 using a modified retrospective approach. The Company continues to evaluate the impact that the future adoption of this standard will have on our consolidated financial statements, cash flows or results of operations.</w:t>
      </w:r>
    </w:p>
    <w:p>
      <w:pPr>
        <w:spacing w:after="0" w:line="16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w:t>
      </w:r>
      <w:r>
        <w:rPr>
          <w:rFonts w:ascii="Arial" w:cs="Arial" w:eastAsia="Arial" w:hAnsi="Arial"/>
          <w:sz w:val="18"/>
          <w:szCs w:val="18"/>
          <w:color w:val="auto"/>
        </w:rPr>
        <w:t xml:space="preserve"> </w:t>
      </w:r>
      <w:r>
        <w:rPr>
          <w:rFonts w:ascii="Arial" w:cs="Arial" w:eastAsia="Arial" w:hAnsi="Arial"/>
          <w:sz w:val="18"/>
          <w:szCs w:val="18"/>
          <w:i w:val="1"/>
          <w:iCs w:val="1"/>
          <w:color w:val="auto"/>
        </w:rPr>
        <w:t>for Goodwill Impairment</w:t>
      </w:r>
      <w:r>
        <w:rPr>
          <w:rFonts w:ascii="Arial" w:cs="Arial" w:eastAsia="Arial" w:hAnsi="Arial"/>
          <w:sz w:val="18"/>
          <w:szCs w:val="18"/>
          <w:color w:val="auto"/>
        </w:rPr>
        <w:t>, which eliminated step two from the goodwill impairment test and requires an entity to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The Company expects that the adoption of this standard will impact its consolidated financial statements and related disclosures only to the extent that a future goodwill impairment test results in the recognition of an impairment charge.</w:t>
      </w:r>
    </w:p>
    <w:p>
      <w:pPr>
        <w:spacing w:after="0" w:line="18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At December 31, 2019 and 2018, the Company had $21,601 and $69,002, respectively, of investments. At December 31, 2018, the Company transferred its investments from available-for-sale classification to trading, due to the Company's decision to liquidate all investments to complete the Acquisition in the first quarter of 2019. As a result of the transfer to trading, the Company recorded a loss of $372 in investment interest and other for the year ended December 31, 2018 and there was no unrealized gain or loss as of December 31, 2019 and 2018. Prior to December 2018, the Company considered all investments as available for sale. These investments were held in municipal and corporate securities as of December 31, 2019 and 2018. The cash flows of municipal securities are backed by the issuing municipality’s credit worthiness. All municipal securities and certificate of deposit are due in one year or less as of December 31,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Valuation and Qualifying Accounts</w:t>
      </w:r>
    </w:p>
    <w:p>
      <w:pPr>
        <w:spacing w:after="0" w:line="3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Balance at</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Charged to</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Deductions/</w:t>
            </w:r>
          </w:p>
        </w:tc>
        <w:tc>
          <w:tcPr>
            <w:tcW w:w="1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w w:val="91"/>
              </w:rPr>
              <w:t>Beginning of</w:t>
            </w: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7"/>
              <w:spacing w:after="0" w:line="14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6"/>
        </w:trPr>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14"/>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5"/>
                <w:szCs w:val="15"/>
                <w:color w:val="auto"/>
              </w:rPr>
            </w:pPr>
          </w:p>
        </w:tc>
        <w:tc>
          <w:tcPr>
            <w:tcW w:w="720" w:type="dxa"/>
            <w:vAlign w:val="bottom"/>
          </w:tcPr>
          <w:p>
            <w:pPr>
              <w:jc w:val="right"/>
              <w:ind w:right="39"/>
              <w:spacing w:after="0"/>
              <w:rPr>
                <w:sz w:val="20"/>
                <w:szCs w:val="20"/>
                <w:color w:val="auto"/>
              </w:rPr>
            </w:pPr>
            <w:r>
              <w:rPr>
                <w:rFonts w:ascii="Arial" w:cs="Arial" w:eastAsia="Arial" w:hAnsi="Arial"/>
                <w:sz w:val="14"/>
                <w:szCs w:val="14"/>
                <w:b w:val="1"/>
                <w:bCs w:val="1"/>
                <w:color w:val="auto"/>
              </w:rPr>
              <w:t>Expense</w:t>
            </w:r>
          </w:p>
        </w:tc>
        <w:tc>
          <w:tcPr>
            <w:tcW w:w="980" w:type="dxa"/>
            <w:vAlign w:val="bottom"/>
            <w:gridSpan w:val="2"/>
          </w:tcPr>
          <w:p>
            <w:pPr>
              <w:jc w:val="right"/>
              <w:spacing w:after="0" w:line="176" w:lineRule="exact"/>
              <w:rPr>
                <w:sz w:val="20"/>
                <w:szCs w:val="20"/>
                <w:color w:val="auto"/>
              </w:rPr>
            </w:pPr>
            <w:r>
              <w:rPr>
                <w:rFonts w:ascii="Arial" w:cs="Arial" w:eastAsia="Arial" w:hAnsi="Arial"/>
                <w:sz w:val="14"/>
                <w:szCs w:val="14"/>
                <w:b w:val="1"/>
                <w:bCs w:val="1"/>
                <w:color w:val="auto"/>
                <w:w w:val="99"/>
              </w:rPr>
              <w:t>Transfers</w:t>
            </w:r>
            <w:r>
              <w:rPr>
                <w:rFonts w:ascii="Arial" w:cs="Arial" w:eastAsia="Arial" w:hAnsi="Arial"/>
                <w:sz w:val="20"/>
                <w:szCs w:val="20"/>
                <w:b w:val="1"/>
                <w:bCs w:val="1"/>
                <w:color w:val="auto"/>
                <w:w w:val="99"/>
                <w:vertAlign w:val="superscript"/>
              </w:rPr>
              <w:t>(1)(2)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3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Year ended December 31, 2019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(14,576)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Year ended December 31, 2017</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5,918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18,478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(18,489)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67" w:lineRule="exact"/>
        <w:rPr>
          <w:sz w:val="20"/>
          <w:szCs w:val="20"/>
          <w:color w:val="auto"/>
        </w:rPr>
      </w:pPr>
    </w:p>
    <w:p>
      <w:pPr>
        <w:ind w:left="460" w:hanging="451"/>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3" w:lineRule="exact"/>
        <w:rPr>
          <w:rFonts w:ascii="Arial" w:cs="Arial" w:eastAsia="Arial" w:hAnsi="Arial"/>
          <w:sz w:val="18"/>
          <w:szCs w:val="18"/>
          <w:color w:val="auto"/>
        </w:rPr>
      </w:pPr>
    </w:p>
    <w:p>
      <w:pPr>
        <w:ind w:left="460" w:right="280" w:hanging="451"/>
        <w:spacing w:after="0" w:line="290"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$6,093 included in the deductions column for the year ended December 31, 2018, represents the allowance that was transferred to GCU with other educational assets and liabilities on July 1, 2018. See Note 2.</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Land improvements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2,242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51,409</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9,581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85,316</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4,955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39,270</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w:t>
            </w:r>
          </w:p>
        </w:tc>
      </w:tr>
      <w:tr>
        <w:trPr>
          <w:trHeight w:val="210"/>
        </w:trPr>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216,767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200,728</w:t>
            </w:r>
          </w:p>
        </w:tc>
      </w:tr>
      <w:tr>
        <w:trPr>
          <w:trHeight w:val="216"/>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(97,033)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(89,689)</w:t>
            </w:r>
          </w:p>
        </w:tc>
      </w:tr>
      <w:tr>
        <w:trPr>
          <w:trHeight w:val="210"/>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119,734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111,039</w:t>
            </w: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Depreciation expense associated with property and equipment totaled $18,393 for the year ended December 31, 2019. Depreciation and amortization expense associated with property and equipment, including assets under capital lease, totaled $35,525, and $53,607 for the years ended December 31, 2018, and 2017,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 Assets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Amortizable intangible assets consist of the following as of:</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6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4"/>
                <w:szCs w:val="14"/>
                <w:color w:val="auto"/>
              </w:rPr>
            </w:pPr>
          </w:p>
        </w:tc>
        <w:tc>
          <w:tcPr>
            <w:tcW w:w="236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December 31, 2019</w:t>
            </w:r>
          </w:p>
        </w:tc>
        <w:tc>
          <w:tcPr>
            <w:tcW w:w="200" w:type="dxa"/>
            <w:vAlign w:val="bottom"/>
          </w:tcPr>
          <w:p>
            <w:pPr>
              <w:spacing w:after="0"/>
              <w:rPr>
                <w:sz w:val="14"/>
                <w:szCs w:val="14"/>
                <w:color w:val="auto"/>
              </w:rPr>
            </w:pPr>
          </w:p>
        </w:tc>
        <w:tc>
          <w:tcPr>
            <w:tcW w:w="92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Average Useful</w:t>
            </w:r>
          </w:p>
        </w:tc>
        <w:tc>
          <w:tcPr>
            <w:tcW w:w="18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9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University partner relationships</w:t>
            </w:r>
          </w:p>
        </w:tc>
        <w:tc>
          <w:tcPr>
            <w:tcW w:w="144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202,057</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Trade names</w:t>
            </w:r>
          </w:p>
        </w:tc>
        <w:tc>
          <w:tcPr>
            <w:tcW w:w="144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amortizable intangible assets, net</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202,057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8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159,962</w:t>
            </w:r>
          </w:p>
        </w:tc>
      </w:tr>
      <w:tr>
        <w:trPr>
          <w:trHeight w:val="210"/>
        </w:trPr>
        <w:tc>
          <w:tcPr>
            <w:tcW w:w="80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202,057</w:t>
            </w: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right="380" w:firstLine="441"/>
        <w:spacing w:after="0" w:line="342"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3 months to 10 years. At lease inception, we determined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$4,084, $827 and $1,545 for the years ended December 31, 2019, 2018 and 2017, respectively. The consolidated financial statements for years before January 1, 2019 are not presented on the same accounting basis with respect to leases. There was an immaterial amount of future lease obligations as of December 31, 2018. The majority of leases that existed for the year ended December 31, 2018 were assigned to GCU in the Transaction that occurred on July 1, 2018.</w:t>
      </w:r>
    </w:p>
    <w:p>
      <w:pPr>
        <w:spacing w:after="0" w:line="192"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As of December 31, 2019, the Company had $16,135 of non-cancelable operating lease commitments, primarily for new office space in Indianapolis, Indiana and classroom site locations, that have not yet commenced. These operating leases will commence in 2020 with an average lease term of 10.5 years. The Company’s weighted-average remaining lease term relating to its operating leases is 8.3 years, with a weighted-average discount rate of 4.29%. As of December 31, 2019, the Company had no financing leases.</w:t>
      </w:r>
    </w:p>
    <w:p>
      <w:pPr>
        <w:spacing w:after="0" w:line="188"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December 31, 2019, by year and in the aggregate,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4,579</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3,835</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14,331</w:t>
            </w: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34,331</w:t>
            </w:r>
          </w:p>
        </w:tc>
      </w:tr>
      <w:tr>
        <w:trPr>
          <w:trHeight w:val="210"/>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w:t>
            </w:r>
          </w:p>
        </w:tc>
      </w:tr>
      <w:tr>
        <w:trPr>
          <w:trHeight w:val="210"/>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28,603</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Notes Payable and Other Noncurrent Liabilities</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Company concluded that the amended and restated credit agreement is considered a loan modification. Accordingly, the Company allocated the costs paid to the bank consortium based on the borrowing dollars and has recorded an asset of $596 and a contra liability of $1,639, which are related to our revolver and term loan, respectively, that is being amortized to interest expense over the five-year maturity date. Additionally, the Company expensed $150 of third-party costs in the first quarter related to this loan modification.</w:t>
      </w:r>
    </w:p>
    <w:p>
      <w:pPr>
        <w:spacing w:after="0" w:line="175"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The Company entered into a further amendment for the credit facility on October 31, 2019. This amendment increased the revolving commitment by $68,750 to $150,000, while reducing the term loan by the same $68,750 to $150,625. The Company concluded that this amendment is considered a loan modification. The amended and restated credit agreement contains standard covenants that, among other things, restrict the Company’s ability to incur additional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debt or make certain investments, and require the Company to achieve certain financial ratios and maintain certain financial conditions. As of December 31, 2019, the Company is in compliance with its debt covenants.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As of December 31,</w:t>
            </w:r>
          </w:p>
        </w:tc>
        <w:tc>
          <w:tcPr>
            <w:tcW w:w="160" w:type="dxa"/>
            <w:vAlign w:val="bottom"/>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As of December 31,</w:t>
            </w: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color w:val="auto"/>
                <w:w w:val="91"/>
              </w:rPr>
              <w:t>Note payable, quarterly payment of $8,368 starting December 31, 2019; interest at 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w w:val="97"/>
              </w:rPr>
              <w:t>Day LIBOR plus 2.00% (3.70% at December 31, 2019) through January 22, 2024</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140,918</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59,905</w:t>
            </w:r>
          </w:p>
        </w:tc>
      </w:tr>
      <w:tr>
        <w:trPr>
          <w:trHeight w:val="202"/>
        </w:trPr>
        <w:tc>
          <w:tcPr>
            <w:tcW w:w="20" w:type="dxa"/>
            <w:vAlign w:val="bottom"/>
          </w:tcPr>
          <w:p>
            <w:pPr>
              <w:spacing w:after="0"/>
              <w:rPr>
                <w:sz w:val="17"/>
                <w:szCs w:val="17"/>
                <w:color w:val="auto"/>
              </w:rPr>
            </w:pPr>
          </w:p>
        </w:tc>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Revolving line of credit; interest at 30-Day LIBOR plus 2.0% (3.70% at December</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31, 2019)</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140,918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59,905</w:t>
            </w: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36,468</w:t>
            </w: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107,774</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23,437</w:t>
            </w:r>
          </w:p>
        </w:tc>
      </w:tr>
      <w:tr>
        <w:trPr>
          <w:trHeight w:val="20"/>
        </w:trPr>
        <w:tc>
          <w:tcPr>
            <w:tcW w:w="20" w:type="dxa"/>
            <w:vAlign w:val="bottom"/>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620" w:type="dxa"/>
            <w:vAlign w:val="bottom"/>
            <w:gridSpan w:val="4"/>
          </w:tcPr>
          <w:p>
            <w:pPr>
              <w:jc w:val="right"/>
              <w:ind w:right="553"/>
              <w:spacing w:after="0"/>
              <w:rPr>
                <w:sz w:val="20"/>
                <w:szCs w:val="20"/>
                <w:color w:val="auto"/>
              </w:rPr>
            </w:pPr>
            <w:r>
              <w:rPr>
                <w:rFonts w:ascii="Arial" w:cs="Arial" w:eastAsia="Arial" w:hAnsi="Arial"/>
                <w:sz w:val="18"/>
                <w:szCs w:val="18"/>
                <w:color w:val="auto"/>
                <w:w w:val="95"/>
              </w:rPr>
              <w:t>Payments due under the notes payable obligations are as follows as of December 31, 2019: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0"/>
        </w:trPr>
        <w:tc>
          <w:tcPr>
            <w:tcW w:w="63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33,145</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w:t>
            </w:r>
          </w:p>
        </w:tc>
      </w:tr>
      <w:tr>
        <w:trPr>
          <w:trHeight w:val="210"/>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140,918</w:t>
            </w: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At both December 31, 2019 and 2018, the Company has no reserve for tax matters where its ultimate exposure is considered probable and the potential loss can be reasonably estimated.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229"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In 2013, the Company entered into an interest rate corridor to manage its 30-day LIBOR interest exposure related to its variable rate debt. In December 2019 this cash flow hedge expired, $1,100 was reclassified from accumulated other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comprehensive income into interest expense in the consolidated income statement. The fair value of the interest rate corridor instrument as of December 31, 2018 was $600, which was included in other assets. The fair value of the derivative instrument was determined using a hypothetical derivative transaction and Level 2 of the hierarchy of valuation inputs. The adjustments of $497, $157, and $17 for the years ended December 31, 2019, 2018 and 2017, respectively, for the effective portion of the gain/loss on the derivative is included as a component of other comprehensive income, net of taxes.</w:t>
      </w:r>
    </w:p>
    <w:p>
      <w:pPr>
        <w:spacing w:after="0" w:line="1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interest rate corridor instrument reduced variable interest rate risk starting March 1, 2013 through December 20, 2019. The corridor instrument’s terms permitted the Company to hedge its interest rate risk at several thresholds; the Company paid variable interest monthly based on the 30-day LIBOR rates until that index reached 1.5%. If 30-day LIBOR was equal to 1.5% through 3.0%, the Company paid 1.5%. If 30-day LIBOR exceeded 3.0%, the Company paid actual 30-day LIBOR less 1.5%. Therefore, the Company hedged its exposure to future variable rate cash flows through December 20,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Share</w:t>
      </w:r>
    </w:p>
    <w:p>
      <w:pPr>
        <w:spacing w:after="0" w:line="229"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16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0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2017</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Arial" w:cs="Arial" w:eastAsia="Arial" w:hAnsi="Arial"/>
                <w:sz w:val="18"/>
                <w:szCs w:val="18"/>
                <w:color w:val="auto"/>
              </w:rPr>
              <w:t>Basic weighted average shares outstanding</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47,814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47,608</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47,140</w:t>
            </w:r>
          </w:p>
        </w:tc>
      </w:tr>
      <w:tr>
        <w:trPr>
          <w:trHeight w:val="216"/>
        </w:trPr>
        <w:tc>
          <w:tcPr>
            <w:tcW w:w="5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Effect of dilutive stock options and restricted stock</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10"/>
        </w:trPr>
        <w:tc>
          <w:tcPr>
            <w:tcW w:w="5080" w:type="dxa"/>
            <w:vAlign w:val="bottom"/>
          </w:tcPr>
          <w:p>
            <w:pPr>
              <w:ind w:left="100"/>
              <w:spacing w:after="0"/>
              <w:rPr>
                <w:sz w:val="20"/>
                <w:szCs w:val="20"/>
                <w:color w:val="auto"/>
              </w:rPr>
            </w:pPr>
            <w:r>
              <w:rPr>
                <w:rFonts w:ascii="Arial" w:cs="Arial" w:eastAsia="Arial" w:hAnsi="Arial"/>
                <w:sz w:val="18"/>
                <w:szCs w:val="18"/>
                <w:color w:val="auto"/>
              </w:rPr>
              <w:t>Diluted weighted average shares outstanding</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48,266</w:t>
            </w:r>
          </w:p>
        </w:tc>
        <w:tc>
          <w:tcPr>
            <w:tcW w:w="14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48,414</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48,235</w:t>
            </w:r>
          </w:p>
        </w:tc>
      </w:tr>
      <w:tr>
        <w:trPr>
          <w:trHeight w:val="20"/>
        </w:trPr>
        <w:tc>
          <w:tcPr>
            <w:tcW w:w="5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each of</w:t>
      </w:r>
    </w:p>
    <w:p>
      <w:pPr>
        <w:ind w:right="100"/>
        <w:spacing w:after="0" w:line="277" w:lineRule="auto"/>
        <w:rPr>
          <w:sz w:val="20"/>
          <w:szCs w:val="20"/>
          <w:color w:val="auto"/>
        </w:rPr>
      </w:pPr>
      <w:r>
        <w:rPr>
          <w:rFonts w:ascii="Arial" w:cs="Arial" w:eastAsia="Arial" w:hAnsi="Arial"/>
          <w:sz w:val="17"/>
          <w:szCs w:val="17"/>
          <w:color w:val="auto"/>
        </w:rPr>
        <w:t>the years ended December 31, 2019, 2018 and 2017, approximately 1, 0 and 2, respectively, of the Company’s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December 31, 2019 and 2018,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Board of Directors has authorized the Company to repurchase up to $175,000 in aggregate of common stock, from time to time, depending on market conditions and other considerations. The expiration date on the repurchase authorization is December 31, 2020.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year ended December 31, 2019 the Company repurchased 376 shares of common stock at an aggregate cost of $35,786. At December 31, 2019, there remained $52,316 available under its current share repurchase authorization. Shares repurchased in lieu of taxes are not included in the repurchase plan totals as they were approved in conjunction with the restricted share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29"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2019 and 2018.</w:t>
      </w:r>
    </w:p>
    <w:p>
      <w:pPr>
        <w:spacing w:after="0" w:line="16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December 22, 2017, the Tax Cuts and Jobs Act (the “Act”) was signed into law. For businesses, the Act reduces the corporate federal tax rate from a maximum of 35% to a flat 21% rate. The rate reduction took effect on January 1, 2018. The Company concluded that the Act caused the Company’s deferred tax assets and liabilities to be revalued. 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 The Company’s net deferred tax liability was revalued as of December 22, 2017. The Company recorded a $10.7 million income tax benefit related to the revaluation of its net deferred tax liabilities. Excluding this income tax benefit in 2017, our effective tax rate would have been 32.1%.</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Federal</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57,354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60,764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76,966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56,010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69,496</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85,555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200"/>
              <w:spacing w:after="0"/>
              <w:rPr>
                <w:sz w:val="20"/>
                <w:szCs w:val="20"/>
                <w:color w:val="auto"/>
              </w:rPr>
            </w:pPr>
            <w:r>
              <w:rPr>
                <w:rFonts w:ascii="Arial" w:cs="Arial" w:eastAsia="Arial" w:hAnsi="Arial"/>
                <w:sz w:val="18"/>
                <w:szCs w:val="18"/>
                <w:color w:val="auto"/>
              </w:rPr>
              <w:t>Federal</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(10,708)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2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2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(11,507)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(5,346)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4"/>
              </w:rPr>
              <w:t>Tax expense recorded as an increase of paid-in capital</w:t>
            </w:r>
          </w:p>
        </w:tc>
        <w:tc>
          <w:tcPr>
            <w:tcW w:w="2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58,327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57,989</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80,209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200" w:type="dxa"/>
            <w:vAlign w:val="bottom"/>
            <w:vMerge w:val="restart"/>
          </w:tcPr>
          <w:p>
            <w:pPr>
              <w:jc w:val="right"/>
              <w:ind w:right="1650"/>
              <w:spacing w:after="0"/>
              <w:rPr>
                <w:sz w:val="20"/>
                <w:szCs w:val="20"/>
                <w:color w:val="auto"/>
              </w:rPr>
            </w:pPr>
            <w:r>
              <w:rPr>
                <w:rFonts w:ascii="Arial" w:cs="Arial" w:eastAsia="Arial" w:hAnsi="Arial"/>
                <w:sz w:val="18"/>
                <w:szCs w:val="18"/>
                <w:color w:val="auto"/>
              </w:rPr>
              <w:t>80</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517" w:right="14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income tax computed at the U.S. statutory rate to the effective income tax rate is as follows: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1880" w:type="dxa"/>
            <w:vAlign w:val="bottom"/>
            <w:tcBorders>
              <w:bottom w:val="single" w:sz="8" w:color="auto"/>
            </w:tcBorders>
            <w:gridSpan w:val="5"/>
          </w:tcPr>
          <w:p>
            <w:pPr>
              <w:jc w:val="right"/>
              <w:ind w:right="52"/>
              <w:spacing w:after="0"/>
              <w:rPr>
                <w:sz w:val="20"/>
                <w:szCs w:val="20"/>
                <w:color w:val="auto"/>
              </w:rPr>
            </w:pPr>
            <w:r>
              <w:rPr>
                <w:rFonts w:ascii="Arial" w:cs="Arial" w:eastAsia="Arial" w:hAnsi="Arial"/>
                <w:sz w:val="14"/>
                <w:szCs w:val="14"/>
                <w:b w:val="1"/>
                <w:bCs w:val="1"/>
                <w:color w:val="auto"/>
                <w:w w:val="99"/>
              </w:rPr>
              <w:t>Year Ended December 31,</w:t>
            </w:r>
          </w:p>
        </w:tc>
        <w:tc>
          <w:tcPr>
            <w:tcW w:w="160" w:type="dxa"/>
            <w:vAlign w:val="bottom"/>
          </w:tcPr>
          <w:p>
            <w:pPr>
              <w:spacing w:after="0"/>
              <w:rPr>
                <w:sz w:val="14"/>
                <w:szCs w:val="14"/>
                <w:color w:val="auto"/>
              </w:rPr>
            </w:pPr>
          </w:p>
        </w:tc>
      </w:tr>
      <w:tr>
        <w:trPr>
          <w:trHeight w:val="142"/>
        </w:trPr>
        <w:tc>
          <w:tcPr>
            <w:tcW w:w="5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Excess tax benefits</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revaluation (Federal Rate change)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44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18.4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Significant components of the Company’s deferred income tax assets and liabilities, included in Deferred income taxes, non-current on the consolidated balance sheets are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Share-based compensation</w:t>
            </w: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Employee compensation</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Intangibles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 taxes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w:t>
            </w:r>
          </w:p>
        </w:tc>
        <w:tc>
          <w:tcPr>
            <w:tcW w:w="1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Property and equipment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Goodwill</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tax liability</w:t>
            </w:r>
          </w:p>
        </w:tc>
        <w:tc>
          <w:tcPr>
            <w:tcW w:w="1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Net deferred tax liability</w:t>
            </w:r>
          </w:p>
        </w:tc>
        <w:tc>
          <w:tcPr>
            <w:tcW w:w="126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deferred tax liability on the accompanying consolidated balance sheet is comprised of the following:</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c>
          <w:tcPr>
            <w:tcW w:w="1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w w:val="95"/>
              </w:rPr>
              <w:t>As of December 31,</w:t>
            </w:r>
          </w:p>
        </w:tc>
      </w:tr>
      <w:tr>
        <w:trPr>
          <w:trHeight w:val="171"/>
        </w:trPr>
        <w:tc>
          <w:tcPr>
            <w:tcW w:w="45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r>
      <w:tr>
        <w:trPr>
          <w:trHeight w:val="216"/>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taxes, non-current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(8,336)</w:t>
            </w:r>
          </w:p>
        </w:tc>
      </w:tr>
      <w:tr>
        <w:trPr>
          <w:trHeight w:val="210"/>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2019 and 2018 were $6,773 and $1,960,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reconciliation of the beginning and ending balance of unrecognized tax benefits at December 31, is as follows:</w:t>
      </w:r>
    </w:p>
    <w:p>
      <w:pPr>
        <w:spacing w:after="0" w:line="24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2018</w:t>
            </w: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beginning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2,008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5,671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Decreases</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6"/>
        </w:trPr>
        <w:tc>
          <w:tcPr>
            <w:tcW w:w="5740" w:type="dxa"/>
            <w:vAlign w:val="bottom"/>
          </w:tcPr>
          <w:p>
            <w:pPr>
              <w:ind w:left="220"/>
              <w:spacing w:after="0"/>
              <w:rPr>
                <w:sz w:val="20"/>
                <w:szCs w:val="20"/>
                <w:color w:val="auto"/>
              </w:rPr>
            </w:pPr>
            <w:r>
              <w:rPr>
                <w:rFonts w:ascii="Arial" w:cs="Arial" w:eastAsia="Arial" w:hAnsi="Arial"/>
                <w:sz w:val="18"/>
                <w:szCs w:val="18"/>
                <w:color w:val="auto"/>
              </w:rPr>
              <w:t>Increases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14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6,773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1,960</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As of December 31, 2019 and 2018, the unrecognized tax benefit recorded of $6,773 and $1,960, respectively, if reversed, would impact the effective tax rate. At December 31, 2019 and 2018, the Company had accrued $153 and $217, respectively, in interest and $0, in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34"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Company’s uncertain tax positions were related to tax years that remained subject to examination by tax authorities. As of December 31, 2019, the earliest tax year still subject to examination for federal and state purposes is 2016 and 2015, respectively.</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 Plans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Incentive Plans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December 31, 2019, 1,763 shares were available for grants under the 2017 Plan. All grants of equity incentives made after June 2017 have been made from the 2017 Plan.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During fiscal years 2019, 2018, and 2017, the Company granted 149, 160, and 188 shares of common stock, respectively, with a service vesting condition to certain of its executives, officers,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2019, 2018 and 2017, the Company withheld 68, 151, and 151 shares of common stock in lieu of taxes at a cost of $8,127, $15,152, and $9,790, on the restricted stock vesting dates, respectively. During 2019, 2018 and 2017, following the annual stockholders meeting, the Company granted 3, 3 and 4 shares of common stock to the non-employee members of the Company’s Board of Directors. The restricted shares granted to these directors have voting rights and vest on the earlier of (a) the one year anniversary of the date of grant or (b) immediately prior to the following year’s annual stockholders’ meeting. Included in the 2019 amount are shares of common stock granted in August 2019 to two new non-employee members of the Company’s Board of Directors. The restricted shares granted to these directors have voting rights and vest on the one year anniversary of the date of grant.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19" w:firstLine="369"/>
        <w:spacing w:after="0" w:line="270" w:lineRule="auto"/>
        <w:rPr>
          <w:sz w:val="20"/>
          <w:szCs w:val="20"/>
          <w:color w:val="auto"/>
        </w:rPr>
      </w:pPr>
      <w:r>
        <w:rPr>
          <w:rFonts w:ascii="Arial" w:cs="Arial" w:eastAsia="Arial" w:hAnsi="Arial"/>
          <w:sz w:val="17"/>
          <w:szCs w:val="17"/>
          <w:color w:val="auto"/>
        </w:rPr>
        <w:t>In conjunction with the GCU Transaction, the Compensation Committee of the Company’s Board of Directors decided to modify the vesting condition for certain restricted stock awards for approximately 100 Transferred Employees who transferred employment from GCE to GCU, with the acceleration being contingent upon the closing of the Transaction on July 1, 2018. Refer to Note 2 for further discussion on the Transaction. As a result, the incremental share-based compensation expense from the modification on 82 restricted stock awards for the accelerated vesting date was $7,880 and is included in the university related expenses in the consolidated income statement. Additionally, the Company transferred cash to GCU totaling $9,568 to fund a deferred compensation plan in an amount equal to the value of the 86 shares forfeited by the Transferred Employees at the closing of the Transaction. This amount is included in the loss on transaction in the consolidated income statement.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summary of the activity related to restricted stock granted under the Company’s Incentive Plan is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2"/>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53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192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92.34</w:t>
            </w: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163</w:t>
            </w:r>
          </w:p>
        </w:tc>
        <w:tc>
          <w:tcPr>
            <w:tcW w:w="24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71.60</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440" w:type="dxa"/>
            <w:vAlign w:val="bottom"/>
            <w:tcBorders>
              <w:bottom w:val="single" w:sz="8" w:color="auto"/>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93.62</w:t>
            </w: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152</w:t>
            </w:r>
          </w:p>
        </w:tc>
        <w:tc>
          <w:tcPr>
            <w:tcW w:w="24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canceled or expired</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59" w:firstLine="324"/>
        <w:spacing w:after="0" w:line="264" w:lineRule="auto"/>
        <w:rPr>
          <w:sz w:val="20"/>
          <w:szCs w:val="20"/>
          <w:color w:val="auto"/>
        </w:rPr>
      </w:pPr>
      <w:r>
        <w:rPr>
          <w:rFonts w:ascii="Arial" w:cs="Arial" w:eastAsia="Arial" w:hAnsi="Arial"/>
          <w:sz w:val="18"/>
          <w:szCs w:val="18"/>
          <w:color w:val="auto"/>
        </w:rPr>
        <w:t>As of December 31, 2019, there was approximately $23,044 of total unrecognized share-based compensation cost related to unvested restricted stock awards. These costs are expected to be recognized over a weighted average period of 2.1 years.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right="179" w:firstLine="324"/>
        <w:spacing w:after="0" w:line="342" w:lineRule="auto"/>
        <w:rPr>
          <w:sz w:val="20"/>
          <w:szCs w:val="20"/>
          <w:color w:val="auto"/>
        </w:rPr>
      </w:pPr>
      <w:r>
        <w:rPr>
          <w:rFonts w:ascii="Arial" w:cs="Arial" w:eastAsia="Arial" w:hAnsi="Arial"/>
          <w:sz w:val="16"/>
          <w:szCs w:val="16"/>
          <w:color w:val="auto"/>
        </w:rPr>
        <w:t>No options were granted in 2019, 2018 and 2017. Prior to 2012, the Company granted time vested options to purchase shares of common stock with an exercise price equal to the fair market value on the date of grant to employees.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99"/>
        <w:spacing w:after="0" w:line="277" w:lineRule="auto"/>
        <w:rPr>
          <w:sz w:val="20"/>
          <w:szCs w:val="20"/>
          <w:color w:val="auto"/>
        </w:rPr>
      </w:pPr>
      <w:r>
        <w:rPr>
          <w:rFonts w:ascii="Arial" w:cs="Arial" w:eastAsia="Arial" w:hAnsi="Arial"/>
          <w:sz w:val="18"/>
          <w:szCs w:val="18"/>
          <w:color w:val="auto"/>
        </w:rPr>
        <w:t>These time vested options vest ratably over a period of five years and expire ten years from the date of grant. A summary of the activity related to stock options granted under the Company’s Incentive Plan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180" w:type="dxa"/>
            <w:vAlign w:val="bottom"/>
            <w:tcBorders>
              <w:bottom w:val="single" w:sz="8" w:color="auto"/>
            </w:tcBorders>
            <w:gridSpan w:val="8"/>
          </w:tcPr>
          <w:p>
            <w:pPr>
              <w:jc w:val="right"/>
              <w:ind w:right="281"/>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9"/>
        </w:trPr>
        <w:tc>
          <w:tcPr>
            <w:tcW w:w="9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Weighted</w:t>
            </w:r>
          </w:p>
        </w:tc>
        <w:tc>
          <w:tcPr>
            <w:tcW w:w="10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9"/>
              </w:rPr>
              <w:t>Weighted</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Price per</w:t>
            </w:r>
          </w:p>
        </w:tc>
        <w:tc>
          <w:tcPr>
            <w:tcW w:w="102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7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4"/>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Term (Years)</w:t>
            </w:r>
          </w:p>
        </w:tc>
        <w:tc>
          <w:tcPr>
            <w:tcW w:w="72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8"/>
              </w:rPr>
              <w:t xml:space="preserve">Value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2016</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1,272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15.26</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12.79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16.35</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17.31</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ind w:left="92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3"/>
            <w:vMerge w:val="continue"/>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2018</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16.66</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ind w:left="920"/>
              <w:spacing w:after="0"/>
              <w:rPr>
                <w:sz w:val="20"/>
                <w:szCs w:val="20"/>
                <w:color w:val="auto"/>
              </w:rPr>
            </w:pPr>
            <w:r>
              <w:rPr>
                <w:rFonts w:ascii="Arial" w:cs="Arial" w:eastAsia="Arial" w:hAnsi="Arial"/>
                <w:sz w:val="18"/>
                <w:szCs w:val="18"/>
                <w:color w:val="auto"/>
              </w:rPr>
              <w:t>Granted</w:t>
            </w:r>
          </w:p>
        </w:tc>
        <w:tc>
          <w:tcPr>
            <w:tcW w:w="52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3"/>
            <w:vMerge w:val="continue"/>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18.01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15.42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w w:val="88"/>
              </w:rPr>
              <w:t>$ 18,568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80" w:type="dxa"/>
            <w:vAlign w:val="bottom"/>
            <w:gridSpan w:val="3"/>
            <w:vMerge w:val="restart"/>
          </w:tcPr>
          <w:p>
            <w:pPr>
              <w:ind w:left="920"/>
              <w:spacing w:after="0"/>
              <w:rPr>
                <w:sz w:val="20"/>
                <w:szCs w:val="20"/>
                <w:color w:val="auto"/>
              </w:rPr>
            </w:pPr>
            <w:r>
              <w:rPr>
                <w:rFonts w:ascii="Arial" w:cs="Arial" w:eastAsia="Arial" w:hAnsi="Arial"/>
                <w:sz w:val="18"/>
                <w:szCs w:val="18"/>
                <w:b w:val="1"/>
                <w:bCs w:val="1"/>
                <w:color w:val="auto"/>
              </w:rPr>
              <w:t>Exercisable as of December 31, 2019</w:t>
            </w: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gridSpan w:val="3"/>
            <w:vMerge w:val="continue"/>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15.42</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w:t>
            </w:r>
          </w:p>
        </w:tc>
        <w:tc>
          <w:tcPr>
            <w:tcW w:w="160" w:type="dxa"/>
            <w:vAlign w:val="bottom"/>
          </w:tcPr>
          <w:p>
            <w:pPr>
              <w:spacing w:after="0"/>
              <w:rPr>
                <w:sz w:val="17"/>
                <w:szCs w:val="17"/>
                <w:color w:val="auto"/>
              </w:rPr>
            </w:pPr>
          </w:p>
        </w:tc>
        <w:tc>
          <w:tcPr>
            <w:tcW w:w="72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w w:val="88"/>
              </w:rPr>
              <w:t>$ 18,568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60" w:right="19" w:hanging="397"/>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December 31, 2019 ($95.79) in excess of the exercise price multiplied by the number of options outstanding or exercisable.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225" w:lineRule="exact"/>
        <w:rPr>
          <w:sz w:val="20"/>
          <w:szCs w:val="20"/>
          <w:color w:val="auto"/>
        </w:rPr>
      </w:pPr>
    </w:p>
    <w:p>
      <w:pPr>
        <w:ind w:right="59" w:firstLine="324"/>
        <w:spacing w:after="0" w:line="255" w:lineRule="auto"/>
        <w:rPr>
          <w:sz w:val="20"/>
          <w:szCs w:val="20"/>
          <w:color w:val="auto"/>
        </w:rPr>
      </w:pPr>
      <w:r>
        <w:rPr>
          <w:rFonts w:ascii="Arial" w:cs="Arial" w:eastAsia="Arial" w:hAnsi="Arial"/>
          <w:sz w:val="18"/>
          <w:szCs w:val="18"/>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Starting January 1, 2017 with the adoption of the share-based compensation accounting standard, the Company made an accounting policy election to account for forfeitures as they occur, prior to 2017 these forfeitures were estimated and reported net of the expense. The restricted shares have voting rights.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right="299" w:firstLine="324"/>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2019, 2018 and 2017 related to restricted stock and stock options granted:</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2017</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Counseling support and services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University related expenses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r>
      <w:tr>
        <w:trPr>
          <w:trHeight w:val="178"/>
        </w:trPr>
        <w:tc>
          <w:tcPr>
            <w:tcW w:w="4660" w:type="dxa"/>
            <w:vAlign w:val="bottom"/>
          </w:tcPr>
          <w:p>
            <w:pPr>
              <w:ind w:left="100"/>
              <w:spacing w:after="0" w:line="178" w:lineRule="exact"/>
              <w:rPr>
                <w:sz w:val="20"/>
                <w:szCs w:val="20"/>
                <w:color w:val="auto"/>
              </w:rPr>
            </w:pPr>
            <w:r>
              <w:rPr>
                <w:rFonts w:ascii="Arial" w:cs="Arial" w:eastAsia="Arial" w:hAnsi="Arial"/>
                <w:sz w:val="18"/>
                <w:szCs w:val="18"/>
                <w:b w:val="1"/>
                <w:bCs w:val="1"/>
                <w:color w:val="auto"/>
                <w:w w:val="90"/>
              </w:rPr>
              <w:t>Share-based compensation expense included in operating</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34"/>
        </w:trPr>
        <w:tc>
          <w:tcPr>
            <w:tcW w:w="4660" w:type="dxa"/>
            <w:vAlign w:val="bottom"/>
          </w:tcPr>
          <w:p>
            <w:pPr>
              <w:ind w:left="100"/>
              <w:spacing w:after="0"/>
              <w:rPr>
                <w:sz w:val="20"/>
                <w:szCs w:val="20"/>
                <w:color w:val="auto"/>
              </w:rPr>
            </w:pPr>
            <w:r>
              <w:rPr>
                <w:rFonts w:ascii="Arial" w:cs="Arial" w:eastAsia="Arial" w:hAnsi="Arial"/>
                <w:sz w:val="18"/>
                <w:szCs w:val="18"/>
                <w:b w:val="1"/>
                <w:bCs w:val="1"/>
                <w:color w:val="auto"/>
              </w:rPr>
              <w:t>expenses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10,300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19,508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12,688</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(5,075)</w:t>
            </w:r>
          </w:p>
        </w:tc>
      </w:tr>
      <w:tr>
        <w:trPr>
          <w:trHeight w:val="210"/>
        </w:trPr>
        <w:tc>
          <w:tcPr>
            <w:tcW w:w="4660" w:type="dxa"/>
            <w:vAlign w:val="bottom"/>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14,631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w:t>
            </w: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59" w:firstLine="324"/>
        <w:spacing w:after="0" w:line="272" w:lineRule="auto"/>
        <w:rPr>
          <w:sz w:val="20"/>
          <w:szCs w:val="20"/>
          <w:color w:val="auto"/>
        </w:rPr>
      </w:pPr>
      <w:r>
        <w:rPr>
          <w:rFonts w:ascii="Arial" w:cs="Arial" w:eastAsia="Arial" w:hAnsi="Arial"/>
          <w:sz w:val="17"/>
          <w:szCs w:val="17"/>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The Company plans to make a matching contribution to the Plan of approximately $2,238 for the year ended December 31, 2019. The Company made discretionary matching contributions to the Plan of $1,625 and $2,837 for the years ended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Quarterly Results of Operations (Unaudited)</w:t>
      </w:r>
    </w:p>
    <w:p>
      <w:pPr>
        <w:spacing w:after="0" w:line="229"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following table summarizes the unaudited quarterly results of operations for 2019 and 2018 and should be read in conjunction with other information included in the accompanying consolidated financial statements.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First Quarter</w:t>
            </w: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Second Quarter</w:t>
            </w:r>
          </w:p>
        </w:tc>
        <w:tc>
          <w:tcPr>
            <w:tcW w:w="12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Third Quarter</w:t>
            </w:r>
          </w:p>
        </w:tc>
        <w:tc>
          <w:tcPr>
            <w:tcW w:w="1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197,287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193,289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revenue</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197,287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174,820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193,289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Technology and academic services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54,299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Marketing and communication</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Amortization of intangible assets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transaction</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124,856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133,555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Interest income on Secured Note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Investment interest and other</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73,243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1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60" w:type="dxa"/>
            <w:vAlign w:val="bottom"/>
            <w:gridSpan w:val="2"/>
            <w:shd w:val="clear" w:color="auto" w:fill="CCEEFF"/>
          </w:tcPr>
          <w:p>
            <w:pPr>
              <w:spacing w:after="0" w:line="225" w:lineRule="exact"/>
              <w:rPr>
                <w:sz w:val="20"/>
                <w:szCs w:val="20"/>
                <w:color w:val="auto"/>
              </w:rPr>
            </w:pPr>
            <w:r>
              <w:rPr>
                <w:rFonts w:ascii="Arial" w:cs="Arial" w:eastAsia="Arial" w:hAnsi="Arial"/>
                <w:sz w:val="17"/>
                <w:szCs w:val="17"/>
                <w:b w:val="1"/>
                <w:bCs w:val="1"/>
                <w:color w:val="auto"/>
              </w:rPr>
              <w:t>Basic income per share</w:t>
            </w:r>
            <w:r>
              <w:rPr>
                <w:rFonts w:ascii="Arial" w:cs="Arial" w:eastAsia="Arial" w:hAnsi="Arial"/>
                <w:sz w:val="26"/>
                <w:szCs w:val="26"/>
                <w:b w:val="1"/>
                <w:bCs w:val="1"/>
                <w:color w:val="auto"/>
                <w:vertAlign w:val="superscript"/>
              </w:rPr>
              <w:t>(1)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34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32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bottom w:val="single" w:sz="8" w:color="CCEEFF"/>
            </w:tcBorders>
            <w:gridSpan w:val="2"/>
            <w:vMerge w:val="restart"/>
          </w:tcPr>
          <w:p>
            <w:pPr>
              <w:spacing w:after="0" w:line="236" w:lineRule="exact"/>
              <w:rPr>
                <w:sz w:val="20"/>
                <w:szCs w:val="20"/>
                <w:color w:val="auto"/>
              </w:rPr>
            </w:pPr>
            <w:r>
              <w:rPr>
                <w:rFonts w:ascii="Arial" w:cs="Arial" w:eastAsia="Arial" w:hAnsi="Arial"/>
                <w:sz w:val="18"/>
                <w:szCs w:val="18"/>
                <w:b w:val="1"/>
                <w:bCs w:val="1"/>
                <w:color w:val="auto"/>
              </w:rPr>
              <w:t>Diluted income per share</w:t>
            </w:r>
            <w:r>
              <w:rPr>
                <w:rFonts w:ascii="Arial" w:cs="Arial" w:eastAsia="Arial" w:hAnsi="Arial"/>
                <w:sz w:val="27"/>
                <w:szCs w:val="27"/>
                <w:b w:val="1"/>
                <w:bCs w:val="1"/>
                <w:color w:val="auto"/>
                <w:vertAlign w:val="superscript"/>
              </w:rPr>
              <w:t>(1)</w:t>
            </w:r>
          </w:p>
        </w:tc>
        <w:tc>
          <w:tcPr>
            <w:tcW w:w="76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tcBorders>
              <w:bottom w:val="single" w:sz="8" w:color="CCEEFF"/>
            </w:tcBorders>
            <w:gridSpan w:val="2"/>
            <w:vMerge w:val="continue"/>
          </w:tcPr>
          <w:p>
            <w:pPr>
              <w:spacing w:after="0"/>
              <w:rPr>
                <w:sz w:val="20"/>
                <w:szCs w:val="20"/>
                <w:color w:val="auto"/>
              </w:rPr>
            </w:pPr>
          </w:p>
        </w:tc>
        <w:tc>
          <w:tcPr>
            <w:tcW w:w="7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bottom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weighted average shares outstanding</w:t>
            </w: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47,699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47,851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47,920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47,758</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48,274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48,313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48,337</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40" w:right="660" w:hanging="3769"/>
        <w:spacing w:after="0" w:line="778" w:lineRule="auto"/>
        <w:tabs>
          <w:tab w:leader="none" w:pos="151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48895</wp:posOffset>
            </wp:positionV>
            <wp:extent cx="575437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First Quarter</w:t>
            </w:r>
          </w:p>
        </w:tc>
        <w:tc>
          <w:tcPr>
            <w:tcW w:w="1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Second Quarter</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Third Quarter</w:t>
            </w: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155,454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University related revenue</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275,681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236,818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275,681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236,818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155,454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Counseling services and support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51,116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University related expenses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Loss on transaction</w:t>
            </w: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185,589</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178,330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126,034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90,092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 on Secured Note</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interest and other</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90,727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59,998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42,481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73,681</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46,038</w:t>
            </w:r>
          </w:p>
        </w:tc>
        <w:tc>
          <w:tcPr>
            <w:tcW w:w="1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Earnings per share:</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2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Basic income per share</w:t>
            </w:r>
            <w:r>
              <w:rPr>
                <w:rFonts w:ascii="Arial" w:cs="Arial" w:eastAsia="Arial" w:hAnsi="Arial"/>
                <w:sz w:val="25"/>
                <w:szCs w:val="25"/>
                <w:b w:val="1"/>
                <w:bCs w:val="1"/>
                <w:color w:val="auto"/>
                <w:vertAlign w:val="superscript"/>
              </w:rPr>
              <w:t>(1)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w:t>
            </w:r>
          </w:p>
        </w:tc>
        <w:tc>
          <w:tcPr>
            <w:tcW w:w="38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0.97</w:t>
            </w:r>
          </w:p>
        </w:tc>
        <w:tc>
          <w:tcPr>
            <w:tcW w:w="34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tcBorders>
              <w:top w:val="single" w:sz="8" w:color="CCEEFF"/>
              <w:bottom w:val="single" w:sz="8" w:color="CCEEFF"/>
            </w:tcBorders>
            <w:gridSpan w:val="2"/>
            <w:shd w:val="clear" w:color="auto" w:fill="CCEEFF"/>
          </w:tcPr>
          <w:p>
            <w:pPr>
              <w:spacing w:after="0" w:line="197" w:lineRule="exact"/>
              <w:rPr>
                <w:sz w:val="20"/>
                <w:szCs w:val="20"/>
                <w:color w:val="auto"/>
              </w:rPr>
            </w:pPr>
            <w:r>
              <w:rPr>
                <w:rFonts w:ascii="Arial" w:cs="Arial" w:eastAsia="Arial" w:hAnsi="Arial"/>
                <w:sz w:val="15"/>
                <w:szCs w:val="15"/>
                <w:b w:val="1"/>
                <w:bCs w:val="1"/>
                <w:color w:val="auto"/>
              </w:rPr>
              <w:t>Diluted income per share</w:t>
            </w:r>
            <w:r>
              <w:rPr>
                <w:rFonts w:ascii="Arial" w:cs="Arial" w:eastAsia="Arial" w:hAnsi="Arial"/>
                <w:sz w:val="22"/>
                <w:szCs w:val="22"/>
                <w:b w:val="1"/>
                <w:bCs w:val="1"/>
                <w:color w:val="auto"/>
                <w:vertAlign w:val="superscript"/>
              </w:rPr>
              <w:t>(1)</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0.95</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gridSpan w:val="2"/>
            <w:vMerge w:val="continue"/>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47,432</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47,604</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47,682</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47,708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20" w:type="dxa"/>
            <w:vAlign w:val="bottom"/>
            <w:tcBorders>
              <w:bottom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weighted average shares outstanding</w:t>
            </w:r>
          </w:p>
        </w:tc>
        <w:tc>
          <w:tcPr>
            <w:tcW w:w="7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48,397</w:t>
            </w: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48,411</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48,422</w:t>
            </w: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80" w:hanging="403"/>
        <w:spacing w:after="0"/>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6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2019.</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25" w:lineRule="exact"/>
        <w:rPr>
          <w:sz w:val="20"/>
          <w:szCs w:val="20"/>
          <w:color w:val="auto"/>
        </w:rPr>
      </w:pPr>
    </w:p>
    <w:p>
      <w:pPr>
        <w:ind w:left="1120" w:right="220" w:hanging="328"/>
        <w:spacing w:after="0" w:line="258"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w:t>
      </w:r>
    </w:p>
    <w:p>
      <w:pPr>
        <w:spacing w:after="0" w:line="1" w:lineRule="exact"/>
        <w:rPr>
          <w:rFonts w:ascii="Arial" w:cs="Arial" w:eastAsia="Arial" w:hAnsi="Arial"/>
          <w:sz w:val="18"/>
          <w:szCs w:val="18"/>
          <w:color w:val="auto"/>
        </w:rPr>
      </w:pPr>
    </w:p>
    <w:p>
      <w:pPr>
        <w:ind w:left="1120" w:right="20" w:hanging="328"/>
        <w:spacing w:after="0" w:line="250" w:lineRule="auto"/>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120" w:right="300" w:hanging="328"/>
        <w:spacing w:after="0" w:line="281" w:lineRule="auto"/>
        <w:tabs>
          <w:tab w:leader="none" w:pos="11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our assets that could have a material effect on the consolidated financial statements.</w:t>
      </w:r>
    </w:p>
    <w:p>
      <w:pPr>
        <w:spacing w:after="0" w:line="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59" w:firstLine="441"/>
        <w:spacing w:after="0" w:line="297"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2019,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2019. Based on its assessment, management believes that, as of December 31, 2019, the Company’s internal control over financial reporting is effective.</w:t>
      </w:r>
    </w:p>
    <w:p>
      <w:pPr>
        <w:spacing w:after="0" w:line="158" w:lineRule="exact"/>
        <w:rPr>
          <w:sz w:val="20"/>
          <w:szCs w:val="20"/>
          <w:color w:val="auto"/>
        </w:rPr>
      </w:pPr>
    </w:p>
    <w:p>
      <w:pPr>
        <w:ind w:right="159" w:firstLine="441"/>
        <w:spacing w:after="0" w:line="264"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2019 has been audited by KPMG LLP, an independent registered public accounting firm, as stated in their audit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right="39"/>
        <w:spacing w:after="0" w:line="255" w:lineRule="auto"/>
        <w:rPr>
          <w:sz w:val="20"/>
          <w:szCs w:val="20"/>
          <w:color w:val="auto"/>
        </w:rPr>
      </w:pPr>
      <w:r>
        <w:rPr>
          <w:rFonts w:ascii="Arial" w:cs="Arial" w:eastAsia="Arial" w:hAnsi="Arial"/>
          <w:sz w:val="18"/>
          <w:szCs w:val="18"/>
          <w:color w:val="auto"/>
        </w:rPr>
        <w:t xml:space="preserve">We have audited Grand Canyon Education, Inc. and subsidiaries’ (the Company)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w:t>
      </w:r>
    </w:p>
    <w:p>
      <w:pPr>
        <w:spacing w:after="0" w:line="85" w:lineRule="exact"/>
        <w:rPr>
          <w:sz w:val="20"/>
          <w:szCs w:val="20"/>
          <w:color w:val="auto"/>
        </w:rPr>
      </w:pPr>
    </w:p>
    <w:p>
      <w:pPr>
        <w:ind w:right="99"/>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income, comprehensive income, stockholders’ equity, and cash flows for each of the years in the three-year period ended December 31, 2019, and the related notes (collectively, the consolidated financial statements), and our report dated February 19, 2020 expressed an unqualified opinion on those consolidated financial statements.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139"/>
        <w:spacing w:after="0" w:line="27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19"/>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right="39"/>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right="19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 KPMG LLP</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19, 2020</w:t>
      </w:r>
    </w:p>
    <w:p>
      <w:pPr>
        <w:sectPr>
          <w:pgSz w:w="11900" w:h="16838" w:orient="portrait"/>
          <w:cols w:equalWidth="0" w:num="1">
            <w:col w:w="9039"/>
          </w:cols>
          <w:pgMar w:left="142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517" w:right="1440"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December 31, 2019 that materially affected, or are reasonably likely to materially affect, our internal control over financial reporting.</w:t>
      </w:r>
    </w:p>
    <w:p>
      <w:pPr>
        <w:spacing w:after="0" w:line="14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We have a policy governing transaction in our securities by directors, officers, employees and others which permits these individuals to enter into trading plans complying with Rule 10b5-1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88"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229"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2020 proxy statement, to be filed within 120 days of our fiscal year end (December 31, 2019) and such information is incorporated herein by reference.</w:t>
      </w:r>
    </w:p>
    <w:p>
      <w:pPr>
        <w:spacing w:after="0" w:line="187"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154" w:lineRule="exact"/>
        <w:rPr>
          <w:sz w:val="20"/>
          <w:szCs w:val="20"/>
          <w:color w:val="auto"/>
        </w:rPr>
      </w:pPr>
    </w:p>
    <w:p>
      <w:pPr>
        <w:jc w:val="both"/>
        <w:ind w:right="720" w:firstLine="441"/>
        <w:spacing w:after="0" w:line="264"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17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229"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Information relating to this item appears in the section entitled “Executive Compensation” in our 2020 proxy statement, to be filed within 120 days of our fiscal year end (December 31, 2019) and such information is incorporated herein by reference.</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Information relating to this item appears in the sections entitled “Executive Compensation” and “Beneficial Ownership of Common Stock” in our 2020 proxy statement, to be filed within 120 days of our fiscal year end (December 31, 2019) and such information is incorporated herein by reference.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229"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Information relating to this item appears in the sections entitled “Corporate Governance and Board Matters — Director Independence” and “Certain Relationships and Related Party Transactions” in our 2020 proxy statement, to be filed within 120 days of our fiscal year end (December 31, 2019) and such information is incorporated herein by reference.</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22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Information relating to this item appears in the section entitled “Ratification of Independent Registered Public Accounting Firm — Fees” in our 2020 our proxy statement, to be filed within 120 days of our fiscal year end (December 31, 2019) and such information is incorporated herein by reference.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Consolidated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gridSpan w:val="2"/>
          </w:tcPr>
          <w:p>
            <w:pPr>
              <w:ind w:left="680"/>
              <w:spacing w:after="0"/>
              <w:rPr>
                <w:sz w:val="20"/>
                <w:szCs w:val="20"/>
                <w:color w:val="auto"/>
              </w:rPr>
            </w:pPr>
            <w:r>
              <w:rPr>
                <w:rFonts w:ascii="Arial" w:cs="Arial" w:eastAsia="Arial" w:hAnsi="Arial"/>
                <w:sz w:val="18"/>
                <w:szCs w:val="18"/>
                <w:color w:val="auto"/>
              </w:rPr>
              <w:t>1.</w:t>
            </w:r>
          </w:p>
        </w:tc>
        <w:tc>
          <w:tcPr>
            <w:tcW w:w="7720" w:type="dxa"/>
            <w:vAlign w:val="bottom"/>
            <w:gridSpan w:val="9"/>
          </w:tcPr>
          <w:p>
            <w:pPr>
              <w:ind w:left="140"/>
              <w:spacing w:after="0"/>
              <w:rPr>
                <w:sz w:val="20"/>
                <w:szCs w:val="20"/>
                <w:color w:val="auto"/>
              </w:rPr>
            </w:pPr>
            <w:r>
              <w:rPr>
                <w:rFonts w:ascii="Arial" w:cs="Arial" w:eastAsia="Arial" w:hAnsi="Arial"/>
                <w:sz w:val="18"/>
                <w:szCs w:val="18"/>
                <w:color w:val="auto"/>
              </w:rPr>
              <w:t>Consolidated Financial Statements filed as part of this report</w:t>
            </w:r>
          </w:p>
        </w:tc>
        <w:tc>
          <w:tcPr>
            <w:tcW w:w="380" w:type="dxa"/>
            <w:vAlign w:val="bottom"/>
          </w:tcPr>
          <w:p>
            <w:pPr>
              <w:spacing w:after="0"/>
              <w:rPr>
                <w:sz w:val="20"/>
                <w:szCs w:val="20"/>
                <w:color w:val="auto"/>
              </w:rPr>
            </w:pPr>
          </w:p>
        </w:tc>
      </w:tr>
      <w:tr>
        <w:trPr>
          <w:trHeight w:val="365"/>
        </w:trPr>
        <w:tc>
          <w:tcPr>
            <w:tcW w:w="8680" w:type="dxa"/>
            <w:vAlign w:val="bottom"/>
            <w:gridSpan w:val="11"/>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r>
      <w:tr>
        <w:trPr>
          <w:trHeight w:val="169"/>
        </w:trPr>
        <w:tc>
          <w:tcPr>
            <w:tcW w:w="20" w:type="dxa"/>
            <w:vAlign w:val="bottom"/>
          </w:tcPr>
          <w:p>
            <w:pPr>
              <w:spacing w:after="0"/>
              <w:rPr>
                <w:sz w:val="14"/>
                <w:szCs w:val="14"/>
                <w:color w:val="auto"/>
              </w:rPr>
            </w:pPr>
          </w:p>
        </w:tc>
        <w:tc>
          <w:tcPr>
            <w:tcW w:w="8520" w:type="dxa"/>
            <w:vAlign w:val="bottom"/>
            <w:tcBorders>
              <w:top w:val="single" w:sz="8" w:color="auto"/>
            </w:tcBorders>
            <w:gridSpan w:val="9"/>
          </w:tcPr>
          <w:p>
            <w:pPr>
              <w:spacing w:after="0" w:line="170" w:lineRule="exact"/>
              <w:rPr>
                <w:rFonts w:ascii="Arial" w:cs="Arial" w:eastAsia="Arial" w:hAnsi="Arial"/>
                <w:sz w:val="18"/>
                <w:szCs w:val="18"/>
                <w:color w:val="0000EE"/>
              </w:rPr>
            </w:pPr>
            <w:hyperlink w:anchor="page55">
              <w:r>
                <w:rPr>
                  <w:rFonts w:ascii="Arial" w:cs="Arial" w:eastAsia="Arial" w:hAnsi="Arial"/>
                  <w:sz w:val="18"/>
                  <w:szCs w:val="18"/>
                  <w:color w:val="0000EE"/>
                </w:rPr>
                <w:t>Report of Independent Registered Public Accounting Firm</w:t>
              </w:r>
            </w:hyperlink>
          </w:p>
        </w:tc>
        <w:tc>
          <w:tcPr>
            <w:tcW w:w="140" w:type="dxa"/>
            <w:vAlign w:val="bottom"/>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55</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Sheets as of December 31, 2019 and 2018</w:t>
              </w:r>
            </w:hyperlink>
          </w:p>
        </w:tc>
        <w:tc>
          <w:tcPr>
            <w:tcW w:w="40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4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Income Statements for the years ended December 31, 2019, 2018 and 2017</w:t>
              </w:r>
            </w:hyperlink>
          </w:p>
        </w:tc>
        <w:tc>
          <w:tcPr>
            <w:tcW w:w="226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680" w:type="dxa"/>
            <w:vAlign w:val="bottom"/>
            <w:gridSpan w:val="11"/>
          </w:tcPr>
          <w:p>
            <w:pPr>
              <w:spacing w:after="0" w:line="196"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Consolidated Statements of Comprehensive Income for the years ended December 31, 2019, 2018 and 2017</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7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Stockholders’ Equity for the years ended December 31, 2019, 2018 and 2017</w:t>
              </w:r>
            </w:hyperlink>
          </w:p>
        </w:tc>
        <w:tc>
          <w:tcPr>
            <w:tcW w:w="180" w:type="dxa"/>
            <w:vAlign w:val="bottom"/>
            <w:tcBorders>
              <w:top w:val="single" w:sz="8" w:color="0000EE"/>
            </w:tcBorders>
          </w:tcPr>
          <w:p>
            <w:pPr>
              <w:spacing w:after="0"/>
              <w:rPr>
                <w:sz w:val="17"/>
                <w:szCs w:val="17"/>
                <w:color w:val="auto"/>
              </w:rPr>
            </w:pPr>
          </w:p>
        </w:tc>
        <w:tc>
          <w:tcPr>
            <w:tcW w:w="90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Cash Flows for the years ended December 31, 2019, 2018 and 2017</w:t>
              </w:r>
            </w:hyperlink>
          </w:p>
        </w:tc>
        <w:tc>
          <w:tcPr>
            <w:tcW w:w="17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Notes to Consolidated Financial Statements</w:t>
              </w:r>
            </w:hyperlink>
          </w:p>
        </w:tc>
        <w:tc>
          <w:tcPr>
            <w:tcW w:w="55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bl>
    <w:p>
      <w:pPr>
        <w:spacing w:after="0" w:line="229" w:lineRule="exact"/>
        <w:rPr>
          <w:sz w:val="20"/>
          <w:szCs w:val="20"/>
          <w:color w:val="auto"/>
        </w:rPr>
      </w:pPr>
    </w:p>
    <w:p>
      <w:pPr>
        <w:ind w:left="1100" w:hanging="429"/>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2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pacing w:after="0" w:line="184" w:lineRule="exact"/>
        <w:rPr>
          <w:sz w:val="20"/>
          <w:szCs w:val="20"/>
          <w:color w:val="auto"/>
        </w:rPr>
      </w:pPr>
    </w:p>
    <w:p>
      <w:pPr>
        <w:ind w:left="1100" w:hanging="416"/>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0" w:lineRule="exact"/>
        <w:rPr>
          <w:sz w:val="20"/>
          <w:szCs w:val="20"/>
          <w:color w:val="auto"/>
        </w:rPr>
      </w:pPr>
    </w:p>
    <w:p>
      <w:pPr>
        <w:spacing w:after="0"/>
        <w:tabs>
          <w:tab w:leader="none" w:pos="2520" w:val="left"/>
          <w:tab w:leader="none" w:pos="65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3"/>
          <w:szCs w:val="13"/>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57461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2.1</w:t>
            </w:r>
          </w:p>
        </w:tc>
        <w:tc>
          <w:tcPr>
            <w:tcW w:w="3920" w:type="dxa"/>
            <w:vAlign w:val="bottom"/>
            <w:tcBorders>
              <w:bottom w:val="single" w:sz="8" w:color="0000EE"/>
            </w:tcBorders>
            <w:gridSpan w:val="9"/>
          </w:tcPr>
          <w:p>
            <w:pPr>
              <w:spacing w:after="0"/>
              <w:rPr>
                <w:rFonts w:ascii="Arial" w:cs="Arial" w:eastAsia="Arial" w:hAnsi="Arial"/>
                <w:sz w:val="18"/>
                <w:szCs w:val="18"/>
                <w:color w:val="0000EE"/>
                <w:w w:val="88"/>
              </w:rPr>
            </w:pPr>
            <w:hyperlink r:id="rId107">
              <w:r>
                <w:rPr>
                  <w:rFonts w:ascii="Arial" w:cs="Arial" w:eastAsia="Arial" w:hAnsi="Arial"/>
                  <w:sz w:val="18"/>
                  <w:szCs w:val="18"/>
                  <w:color w:val="0000EE"/>
                  <w:w w:val="88"/>
                </w:rPr>
                <w:t>Asset Purchase Agreement, dated July 1, 2018, by and</w:t>
              </w:r>
            </w:hyperlink>
          </w:p>
        </w:tc>
        <w:tc>
          <w:tcPr>
            <w:tcW w:w="20" w:type="dxa"/>
            <w:vAlign w:val="bottom"/>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between Grand Canyon Education, Inc. and Grand</w:t>
              </w:r>
            </w:hyperlink>
          </w:p>
        </w:tc>
        <w:tc>
          <w:tcPr>
            <w:tcW w:w="30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Canyon University (formerly known as Gazelle</w:t>
              </w:r>
            </w:hyperlink>
          </w:p>
        </w:tc>
        <w:tc>
          <w:tcPr>
            <w:tcW w:w="520" w:type="dxa"/>
            <w:vAlign w:val="bottom"/>
            <w:gridSpan w:val="6"/>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40" w:type="dxa"/>
            <w:vAlign w:val="bottom"/>
            <w:gridSpan w:val="1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University)#</w:t>
              </w:r>
            </w:hyperlink>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2.2</w:t>
            </w:r>
          </w:p>
        </w:tc>
        <w:tc>
          <w:tcPr>
            <w:tcW w:w="3760" w:type="dxa"/>
            <w:vAlign w:val="bottom"/>
            <w:tcBorders>
              <w:bottom w:val="single" w:sz="8" w:color="0000EE"/>
            </w:tcBorders>
            <w:gridSpan w:val="7"/>
          </w:tcPr>
          <w:p>
            <w:pPr>
              <w:spacing w:after="0"/>
              <w:rPr>
                <w:rFonts w:ascii="Arial" w:cs="Arial" w:eastAsia="Arial" w:hAnsi="Arial"/>
                <w:sz w:val="18"/>
                <w:szCs w:val="18"/>
                <w:color w:val="0000EE"/>
                <w:w w:val="89"/>
              </w:rPr>
            </w:pPr>
            <w:hyperlink r:id="rId108">
              <w:r>
                <w:rPr>
                  <w:rFonts w:ascii="Arial" w:cs="Arial" w:eastAsia="Arial" w:hAnsi="Arial"/>
                  <w:sz w:val="18"/>
                  <w:szCs w:val="18"/>
                  <w:color w:val="0000EE"/>
                  <w:w w:val="89"/>
                </w:rPr>
                <w:t>Agreement and Plan of Merger, dated December 17,</w:t>
              </w:r>
            </w:hyperlink>
          </w:p>
        </w:tc>
        <w:tc>
          <w:tcPr>
            <w:tcW w:w="18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940" w:type="dxa"/>
            <w:vAlign w:val="bottom"/>
            <w:gridSpan w:val="10"/>
          </w:tcPr>
          <w:p>
            <w:pPr>
              <w:spacing w:after="0" w:line="196" w:lineRule="exact"/>
              <w:rPr>
                <w:rFonts w:ascii="Arial" w:cs="Arial" w:eastAsia="Arial" w:hAnsi="Arial"/>
                <w:sz w:val="18"/>
                <w:szCs w:val="18"/>
                <w:color w:val="0000EE"/>
                <w:w w:val="94"/>
              </w:rPr>
            </w:pPr>
            <w:hyperlink r:id="rId108">
              <w:r>
                <w:rPr>
                  <w:rFonts w:ascii="Arial" w:cs="Arial" w:eastAsia="Arial" w:hAnsi="Arial"/>
                  <w:sz w:val="18"/>
                  <w:szCs w:val="18"/>
                  <w:color w:val="0000EE"/>
                  <w:w w:val="94"/>
                </w:rPr>
                <w:t>2018, by and among Grand Canyon Education, Inc.,</w:t>
              </w:r>
            </w:hyperlink>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GCE Cosmos Merger Sub, LLC and Orbis Education</w:t>
              </w:r>
            </w:hyperlink>
          </w:p>
        </w:tc>
        <w:tc>
          <w:tcPr>
            <w:tcW w:w="100" w:type="dxa"/>
            <w:vAlign w:val="bottom"/>
            <w:gridSpan w:val="2"/>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40" w:type="dxa"/>
            <w:vAlign w:val="bottom"/>
            <w:gridSpan w:val="10"/>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Services, LLC#</w:t>
              </w:r>
            </w:hyperlink>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r>
      <w:tr>
        <w:trPr>
          <w:trHeight w:val="412"/>
        </w:trPr>
        <w:tc>
          <w:tcPr>
            <w:tcW w:w="920" w:type="dxa"/>
            <w:vAlign w:val="bottom"/>
          </w:tcPr>
          <w:p>
            <w:pPr>
              <w:jc w:val="right"/>
              <w:ind w:right="590"/>
              <w:spacing w:after="0"/>
              <w:rPr>
                <w:sz w:val="20"/>
                <w:szCs w:val="20"/>
                <w:color w:val="auto"/>
              </w:rPr>
            </w:pPr>
            <w:r>
              <w:rPr>
                <w:rFonts w:ascii="Arial" w:cs="Arial" w:eastAsia="Arial" w:hAnsi="Arial"/>
                <w:sz w:val="18"/>
                <w:szCs w:val="18"/>
                <w:color w:val="auto"/>
                <w:w w:val="87"/>
              </w:rPr>
              <w:t>3.1</w:t>
            </w:r>
          </w:p>
        </w:tc>
        <w:tc>
          <w:tcPr>
            <w:tcW w:w="3940" w:type="dxa"/>
            <w:vAlign w:val="bottom"/>
            <w:tcBorders>
              <w:bottom w:val="single" w:sz="8" w:color="0000EE"/>
            </w:tcBorders>
            <w:gridSpan w:val="10"/>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Amended and Restated Certificate of Incorporation (as</w:t>
              </w:r>
            </w:hyperlink>
          </w:p>
        </w:tc>
      </w:tr>
      <w:tr>
        <w:trPr>
          <w:trHeight w:val="196"/>
        </w:trPr>
        <w:tc>
          <w:tcPr>
            <w:tcW w:w="920" w:type="dxa"/>
            <w:vAlign w:val="bottom"/>
          </w:tcPr>
          <w:p>
            <w:pPr>
              <w:spacing w:after="0"/>
              <w:rPr>
                <w:sz w:val="17"/>
                <w:szCs w:val="17"/>
                <w:color w:val="auto"/>
              </w:rPr>
            </w:pPr>
          </w:p>
        </w:tc>
        <w:tc>
          <w:tcPr>
            <w:tcW w:w="3940" w:type="dxa"/>
            <w:vAlign w:val="bottom"/>
            <w:gridSpan w:val="10"/>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amended)</w:t>
              </w:r>
            </w:hyperlink>
          </w:p>
        </w:tc>
      </w:tr>
      <w:tr>
        <w:trPr>
          <w:trHeight w:val="20"/>
        </w:trPr>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to Exhibit 2.1 to the Company’s Quarterly Report on Form 10-Q filed with the SEC on November 8, 2018.</w:t>
      </w:r>
    </w:p>
    <w:p>
      <w:pPr>
        <w:spacing w:after="0" w:line="39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Incorporated by reference to Exhibit 2.2 to the Company’s Annual Report on Form 10-K filed with the SEC on February 20, 2019.</w:t>
      </w:r>
    </w:p>
    <w:p>
      <w:pPr>
        <w:spacing w:after="0" w:line="39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Incorporated by reference to Exhibit 3.1 to the Company’s Annual Report on Form 10-K filed with the SEC on February 20, 2019.</w:t>
      </w:r>
    </w:p>
    <w:p>
      <w:pPr>
        <w:spacing w:after="0" w:line="200" w:lineRule="exact"/>
        <w:rPr>
          <w:sz w:val="20"/>
          <w:szCs w:val="20"/>
          <w:color w:val="auto"/>
        </w:rPr>
      </w:pPr>
    </w:p>
    <w:p>
      <w:pPr>
        <w:sectPr>
          <w:pgSz w:w="11900" w:h="16838" w:orient="portrait"/>
          <w:cols w:equalWidth="0" w:num="2">
            <w:col w:w="4860" w:space="220"/>
            <w:col w:w="3980"/>
          </w:cols>
          <w:pgMar w:left="1420" w:top="517" w:right="1419"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3"/>
          </w:tcPr>
          <w:p>
            <w:pPr>
              <w:ind w:left="160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3960" w:type="dxa"/>
            <w:vAlign w:val="bottom"/>
          </w:tcPr>
          <w:p>
            <w:pPr>
              <w:ind w:left="1460"/>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680" w:type="dxa"/>
            <w:vAlign w:val="bottom"/>
            <w:tcBorders>
              <w:top w:val="single" w:sz="8" w:color="auto"/>
            </w:tcBorders>
          </w:tcPr>
          <w:p>
            <w:pPr>
              <w:jc w:val="right"/>
              <w:ind w:right="370"/>
              <w:spacing w:after="0" w:line="170" w:lineRule="exact"/>
              <w:rPr>
                <w:sz w:val="20"/>
                <w:szCs w:val="20"/>
                <w:color w:val="auto"/>
              </w:rPr>
            </w:pPr>
            <w:r>
              <w:rPr>
                <w:rFonts w:ascii="Arial" w:cs="Arial" w:eastAsia="Arial" w:hAnsi="Arial"/>
                <w:sz w:val="18"/>
                <w:szCs w:val="18"/>
                <w:color w:val="auto"/>
                <w:w w:val="79"/>
              </w:rPr>
              <w:t>3.2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tcBorders>
              <w:top w:val="single" w:sz="8" w:color="auto"/>
            </w:tcBorders>
            <w:gridSpan w:val="3"/>
          </w:tcPr>
          <w:p>
            <w:pPr>
              <w:spacing w:after="0" w:line="170" w:lineRule="exact"/>
              <w:rPr>
                <w:rFonts w:ascii="Arial" w:cs="Arial" w:eastAsia="Arial" w:hAnsi="Arial"/>
                <w:sz w:val="18"/>
                <w:szCs w:val="18"/>
                <w:color w:val="0000EE"/>
              </w:rPr>
            </w:pPr>
            <w:hyperlink r:id="rId111">
              <w:r>
                <w:rPr>
                  <w:rFonts w:ascii="Arial" w:cs="Arial" w:eastAsia="Arial" w:hAnsi="Arial"/>
                  <w:sz w:val="18"/>
                  <w:szCs w:val="18"/>
                  <w:color w:val="0000EE"/>
                </w:rPr>
                <w:t>Third Amended and Restated Bylaws</w:t>
              </w:r>
            </w:hyperlink>
          </w:p>
        </w:tc>
        <w:tc>
          <w:tcPr>
            <w:tcW w:w="220" w:type="dxa"/>
            <w:vAlign w:val="bottom"/>
          </w:tcPr>
          <w:p>
            <w:pPr>
              <w:spacing w:after="0"/>
              <w:rPr>
                <w:sz w:val="14"/>
                <w:szCs w:val="14"/>
                <w:color w:val="auto"/>
              </w:rPr>
            </w:pPr>
          </w:p>
        </w:tc>
        <w:tc>
          <w:tcPr>
            <w:tcW w:w="39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Incorporated by reference to Exhibit 3.1 to the</w:t>
            </w: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14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1260" w:type="dxa"/>
            <w:vAlign w:val="bottom"/>
          </w:tcPr>
          <w:p>
            <w:pPr>
              <w:spacing w:after="0"/>
              <w:rPr>
                <w:sz w:val="19"/>
                <w:szCs w:val="19"/>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w w:val="93"/>
              </w:rPr>
              <w:t>Company’s Current Report on Form 8-K filed with the</w:t>
            </w: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SEC on October 29, 2014.</w:t>
            </w:r>
          </w:p>
        </w:tc>
      </w:tr>
      <w:tr>
        <w:trPr>
          <w:trHeight w:val="608"/>
        </w:trPr>
        <w:tc>
          <w:tcPr>
            <w:tcW w:w="700" w:type="dxa"/>
            <w:vAlign w:val="bottom"/>
            <w:gridSpan w:val="2"/>
          </w:tcPr>
          <w:p>
            <w:pPr>
              <w:jc w:val="right"/>
              <w:ind w:right="370"/>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3960" w:type="dxa"/>
            <w:vAlign w:val="bottom"/>
            <w:gridSpan w:val="4"/>
          </w:tcPr>
          <w:p>
            <w:pPr>
              <w:spacing w:after="0"/>
              <w:rPr>
                <w:rFonts w:ascii="Arial" w:cs="Arial" w:eastAsia="Arial" w:hAnsi="Arial"/>
                <w:sz w:val="18"/>
                <w:szCs w:val="18"/>
                <w:color w:val="0000EE"/>
              </w:rPr>
            </w:pPr>
            <w:hyperlink r:id="rId112">
              <w:r>
                <w:rPr>
                  <w:rFonts w:ascii="Arial" w:cs="Arial" w:eastAsia="Arial" w:hAnsi="Arial"/>
                  <w:sz w:val="18"/>
                  <w:szCs w:val="18"/>
                  <w:color w:val="0000EE"/>
                </w:rPr>
                <w:t>Specimen of Stock Certificate</w:t>
              </w:r>
            </w:hyperlink>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Incorporated by reference to Exhibit 4.1 to</w:t>
            </w:r>
          </w:p>
        </w:tc>
      </w:tr>
      <w:tr>
        <w:trPr>
          <w:trHeight w:val="237"/>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140" w:type="dxa"/>
            <w:vAlign w:val="bottom"/>
            <w:tcBorders>
              <w:top w:val="single" w:sz="8" w:color="0000EE"/>
            </w:tcBorders>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180" w:type="dxa"/>
            <w:vAlign w:val="bottom"/>
            <w:gridSpan w:val="2"/>
          </w:tcPr>
          <w:p>
            <w:pPr>
              <w:ind w:left="200"/>
              <w:spacing w:after="0"/>
              <w:rPr>
                <w:sz w:val="20"/>
                <w:szCs w:val="20"/>
                <w:color w:val="auto"/>
              </w:rPr>
            </w:pPr>
            <w:r>
              <w:rPr>
                <w:rFonts w:ascii="Arial" w:cs="Arial" w:eastAsia="Arial" w:hAnsi="Arial"/>
                <w:sz w:val="18"/>
                <w:szCs w:val="18"/>
                <w:color w:val="auto"/>
              </w:rPr>
              <w:t>Amendment No. 2 to the Company’s Registration</w:t>
            </w:r>
          </w:p>
        </w:tc>
      </w:tr>
    </w:tbl>
    <w:p>
      <w:pPr>
        <w:ind w:left="5080"/>
        <w:spacing w:after="0"/>
        <w:rPr>
          <w:sz w:val="20"/>
          <w:szCs w:val="20"/>
          <w:color w:val="auto"/>
        </w:rPr>
      </w:pPr>
      <w:r>
        <w:rPr>
          <w:rFonts w:ascii="Arial" w:cs="Arial" w:eastAsia="Arial" w:hAnsi="Arial"/>
          <w:sz w:val="18"/>
          <w:szCs w:val="18"/>
          <w:color w:val="auto"/>
        </w:rPr>
        <w:t>Statement on Form S-1 filed with the SEC on</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September 29, 2008.</w:t>
      </w:r>
    </w:p>
    <w:p>
      <w:pPr>
        <w:sectPr>
          <w:pgSz w:w="11900" w:h="16838" w:orient="portrait"/>
          <w:cols w:equalWidth="0" w:num="1">
            <w:col w:w="9060"/>
          </w:cols>
          <w:pgMar w:left="1420" w:top="517" w:right="1419" w:bottom="1440" w:gutter="0" w:footer="0" w:header="0"/>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2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Description of Common Stock</w:t>
              </w:r>
            </w:hyperlink>
          </w:p>
        </w:tc>
        <w:tc>
          <w:tcPr>
            <w:tcW w:w="172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3920" w:type="dxa"/>
            <w:vAlign w:val="bottom"/>
            <w:gridSpan w:val="17"/>
          </w:tcPr>
          <w:p>
            <w:pPr>
              <w:spacing w:after="0"/>
              <w:rPr>
                <w:rFonts w:ascii="Arial" w:cs="Arial" w:eastAsia="Arial" w:hAnsi="Arial"/>
                <w:sz w:val="18"/>
                <w:szCs w:val="18"/>
                <w:color w:val="0000EE"/>
              </w:rPr>
            </w:pPr>
            <w:hyperlink r:id="rId113">
              <w:r>
                <w:rPr>
                  <w:rFonts w:ascii="Arial" w:cs="Arial" w:eastAsia="Arial" w:hAnsi="Arial"/>
                  <w:sz w:val="18"/>
                  <w:szCs w:val="18"/>
                  <w:color w:val="0000EE"/>
                </w:rPr>
                <w:t>2008 Equity Incentive Plan, as amended†</w:t>
              </w:r>
            </w:hyperlink>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3920" w:type="dxa"/>
            <w:vAlign w:val="bottom"/>
            <w:gridSpan w:val="17"/>
          </w:tcPr>
          <w:p>
            <w:pPr>
              <w:spacing w:after="0"/>
              <w:rPr>
                <w:rFonts w:ascii="Arial" w:cs="Arial" w:eastAsia="Arial" w:hAnsi="Arial"/>
                <w:sz w:val="18"/>
                <w:szCs w:val="18"/>
                <w:color w:val="0000EE"/>
              </w:rPr>
            </w:pPr>
            <w:hyperlink r:id="rId114">
              <w:r>
                <w:rPr>
                  <w:rFonts w:ascii="Arial" w:cs="Arial" w:eastAsia="Arial" w:hAnsi="Arial"/>
                  <w:sz w:val="18"/>
                  <w:szCs w:val="18"/>
                  <w:color w:val="0000EE"/>
                </w:rPr>
                <w:t>2017 Equity Incentive Plan, as amended†</w:t>
              </w:r>
            </w:hyperlink>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3780" w:type="dxa"/>
            <w:vAlign w:val="bottom"/>
            <w:tcBorders>
              <w:bottom w:val="single" w:sz="8" w:color="0000EE"/>
            </w:tcBorders>
            <w:gridSpan w:val="13"/>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Form of Restricted Stock Agreement under the 2017</w:t>
              </w:r>
            </w:hyperlink>
          </w:p>
        </w:tc>
        <w:tc>
          <w:tcPr>
            <w:tcW w:w="14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5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Equity Incentive Plan, as amended†</w:t>
              </w:r>
            </w:hyperlink>
          </w:p>
        </w:tc>
        <w:tc>
          <w:tcPr>
            <w:tcW w:w="1340" w:type="dxa"/>
            <w:vAlign w:val="bottom"/>
            <w:gridSpan w:val="11"/>
          </w:tcPr>
          <w:p>
            <w:pPr>
              <w:spacing w:after="0"/>
              <w:rPr>
                <w:sz w:val="17"/>
                <w:szCs w:val="17"/>
                <w:color w:val="auto"/>
              </w:rPr>
            </w:pPr>
          </w:p>
        </w:tc>
      </w:tr>
      <w:tr>
        <w:trPr>
          <w:trHeight w:val="62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3920" w:type="dxa"/>
            <w:vAlign w:val="bottom"/>
            <w:gridSpan w:val="17"/>
          </w:tcPr>
          <w:p>
            <w:pPr>
              <w:spacing w:after="0"/>
              <w:rPr>
                <w:rFonts w:ascii="Arial" w:cs="Arial" w:eastAsia="Arial" w:hAnsi="Arial"/>
                <w:sz w:val="18"/>
                <w:szCs w:val="18"/>
                <w:color w:val="0000EE"/>
              </w:rPr>
            </w:pPr>
            <w:hyperlink r:id="rId116">
              <w:r>
                <w:rPr>
                  <w:rFonts w:ascii="Arial" w:cs="Arial" w:eastAsia="Arial" w:hAnsi="Arial"/>
                  <w:sz w:val="18"/>
                  <w:szCs w:val="18"/>
                  <w:color w:val="0000EE"/>
                </w:rPr>
                <w:t>Second Amended and Restated Executive</w:t>
              </w:r>
            </w:hyperlink>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Employment Agreement, dated July 1, 2018, by and</w:t>
              </w:r>
            </w:hyperlink>
          </w:p>
        </w:tc>
        <w:tc>
          <w:tcPr>
            <w:tcW w:w="1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between Grand Canyon Education, Inc. and Brian E.</w:t>
              </w:r>
            </w:hyperlink>
          </w:p>
        </w:tc>
        <w:tc>
          <w:tcPr>
            <w:tcW w:w="120" w:type="dxa"/>
            <w:vAlign w:val="bottom"/>
            <w:gridSpan w:val="3"/>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Mueller†</w:t>
              </w:r>
            </w:hyperlink>
          </w:p>
        </w:tc>
        <w:tc>
          <w:tcPr>
            <w:tcW w:w="326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3920" w:type="dxa"/>
            <w:vAlign w:val="bottom"/>
            <w:gridSpan w:val="17"/>
          </w:tcPr>
          <w:p>
            <w:pPr>
              <w:spacing w:after="0"/>
              <w:rPr>
                <w:rFonts w:ascii="Arial" w:cs="Arial" w:eastAsia="Arial" w:hAnsi="Arial"/>
                <w:sz w:val="18"/>
                <w:szCs w:val="18"/>
                <w:color w:val="0000EE"/>
              </w:rPr>
            </w:pPr>
            <w:hyperlink r:id="rId117">
              <w:r>
                <w:rPr>
                  <w:rFonts w:ascii="Arial" w:cs="Arial" w:eastAsia="Arial" w:hAnsi="Arial"/>
                  <w:sz w:val="18"/>
                  <w:szCs w:val="18"/>
                  <w:color w:val="0000EE"/>
                </w:rPr>
                <w:t>Second Amended and Restated Executive</w:t>
              </w:r>
            </w:hyperlink>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Employment Agreement, dated July 1, 2018, by and</w:t>
              </w:r>
            </w:hyperlink>
          </w:p>
        </w:tc>
        <w:tc>
          <w:tcPr>
            <w:tcW w:w="16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20" w:type="dxa"/>
            <w:vAlign w:val="bottom"/>
            <w:gridSpan w:val="17"/>
          </w:tcPr>
          <w:p>
            <w:pPr>
              <w:spacing w:after="0" w:line="196"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between Grand Canyon Education, Inc. and W. Stan</w:t>
              </w:r>
            </w:hyperlink>
          </w:p>
        </w:tc>
      </w:tr>
      <w:tr>
        <w:trPr>
          <w:trHeight w:val="196"/>
        </w:trPr>
        <w:tc>
          <w:tcPr>
            <w:tcW w:w="9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117">
              <w:r>
                <w:rPr>
                  <w:rFonts w:ascii="Arial" w:cs="Arial" w:eastAsia="Arial" w:hAnsi="Arial"/>
                  <w:sz w:val="18"/>
                  <w:szCs w:val="18"/>
                  <w:color w:val="0000EE"/>
                  <w:w w:val="89"/>
                </w:rPr>
                <w:t>Meyer†</w:t>
              </w:r>
            </w:hyperlink>
          </w:p>
        </w:tc>
        <w:tc>
          <w:tcPr>
            <w:tcW w:w="3180" w:type="dxa"/>
            <w:vAlign w:val="bottom"/>
            <w:tcBorders>
              <w:top w:val="single" w:sz="8" w:color="0000EE"/>
            </w:tcBorders>
            <w:gridSpan w:val="10"/>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3920" w:type="dxa"/>
            <w:vAlign w:val="bottom"/>
            <w:gridSpan w:val="17"/>
          </w:tcPr>
          <w:p>
            <w:pPr>
              <w:spacing w:after="0"/>
              <w:rPr>
                <w:rFonts w:ascii="Arial" w:cs="Arial" w:eastAsia="Arial" w:hAnsi="Arial"/>
                <w:sz w:val="18"/>
                <w:szCs w:val="18"/>
                <w:color w:val="0000EE"/>
              </w:rPr>
            </w:pPr>
            <w:hyperlink r:id="rId118">
              <w:r>
                <w:rPr>
                  <w:rFonts w:ascii="Arial" w:cs="Arial" w:eastAsia="Arial" w:hAnsi="Arial"/>
                  <w:sz w:val="18"/>
                  <w:szCs w:val="18"/>
                  <w:color w:val="0000EE"/>
                </w:rPr>
                <w:t>Second Amended and Restated Executive</w:t>
              </w:r>
            </w:hyperlink>
          </w:p>
        </w:tc>
      </w:tr>
      <w:tr>
        <w:trPr>
          <w:trHeight w:val="20"/>
        </w:trPr>
        <w:tc>
          <w:tcPr>
            <w:tcW w:w="9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Employment Agreement, dated July 1, 2018, by and</w:t>
              </w:r>
            </w:hyperlink>
          </w:p>
        </w:tc>
        <w:tc>
          <w:tcPr>
            <w:tcW w:w="1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20" w:type="dxa"/>
            <w:vAlign w:val="bottom"/>
            <w:gridSpan w:val="17"/>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between Grand Canyon Education, Inc. and Daniel E.</w:t>
              </w:r>
            </w:hyperlink>
          </w:p>
        </w:tc>
      </w:tr>
      <w:tr>
        <w:trPr>
          <w:trHeight w:val="196"/>
        </w:trPr>
        <w:tc>
          <w:tcPr>
            <w:tcW w:w="9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r:id="rId118">
              <w:r>
                <w:rPr>
                  <w:rFonts w:ascii="Arial" w:cs="Arial" w:eastAsia="Arial" w:hAnsi="Arial"/>
                  <w:sz w:val="18"/>
                  <w:szCs w:val="18"/>
                  <w:color w:val="0000EE"/>
                  <w:w w:val="85"/>
                </w:rPr>
                <w:t>Bachus†</w:t>
              </w:r>
            </w:hyperlink>
          </w:p>
        </w:tc>
        <w:tc>
          <w:tcPr>
            <w:tcW w:w="3240" w:type="dxa"/>
            <w:vAlign w:val="bottom"/>
            <w:tcBorders>
              <w:top w:val="single" w:sz="8" w:color="0000EE"/>
            </w:tcBorders>
            <w:gridSpan w:val="13"/>
          </w:tcPr>
          <w:p>
            <w:pPr>
              <w:spacing w:after="0"/>
              <w:rPr>
                <w:sz w:val="17"/>
                <w:szCs w:val="17"/>
                <w:color w:val="auto"/>
              </w:rPr>
            </w:pPr>
          </w:p>
        </w:tc>
        <w:tc>
          <w:tcPr>
            <w:tcW w:w="60" w:type="dxa"/>
            <w:vAlign w:val="bottom"/>
            <w:gridSpan w:val="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3920" w:type="dxa"/>
            <w:vAlign w:val="bottom"/>
            <w:gridSpan w:val="17"/>
          </w:tcPr>
          <w:p>
            <w:pPr>
              <w:spacing w:after="0"/>
              <w:rPr>
                <w:rFonts w:ascii="Arial" w:cs="Arial" w:eastAsia="Arial" w:hAnsi="Arial"/>
                <w:sz w:val="18"/>
                <w:szCs w:val="18"/>
                <w:color w:val="0000EE"/>
              </w:rPr>
            </w:pPr>
            <w:hyperlink r:id="rId119">
              <w:r>
                <w:rPr>
                  <w:rFonts w:ascii="Arial" w:cs="Arial" w:eastAsia="Arial" w:hAnsi="Arial"/>
                  <w:sz w:val="18"/>
                  <w:szCs w:val="18"/>
                  <w:color w:val="0000EE"/>
                </w:rPr>
                <w:t>Second Amended and Restated Executive</w:t>
              </w:r>
            </w:hyperlink>
          </w:p>
        </w:tc>
      </w:tr>
      <w:tr>
        <w:trPr>
          <w:trHeight w:val="20"/>
        </w:trPr>
        <w:tc>
          <w:tcPr>
            <w:tcW w:w="92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1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Employment Agreement, dated July 1, 2018, by and</w:t>
              </w:r>
            </w:hyperlink>
          </w:p>
        </w:tc>
        <w:tc>
          <w:tcPr>
            <w:tcW w:w="14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9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between Grand Canyon Education, Inc. and Joseph N.</w:t>
              </w:r>
            </w:hyperlink>
          </w:p>
        </w:tc>
        <w:tc>
          <w:tcPr>
            <w:tcW w:w="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r:id="rId119">
              <w:r>
                <w:rPr>
                  <w:rFonts w:ascii="Arial" w:cs="Arial" w:eastAsia="Arial" w:hAnsi="Arial"/>
                  <w:sz w:val="18"/>
                  <w:szCs w:val="18"/>
                  <w:color w:val="0000EE"/>
                  <w:w w:val="94"/>
                </w:rPr>
                <w:t>Mildenhall†</w:t>
              </w:r>
            </w:hyperlink>
          </w:p>
        </w:tc>
        <w:tc>
          <w:tcPr>
            <w:tcW w:w="3040" w:type="dxa"/>
            <w:vAlign w:val="bottom"/>
            <w:gridSpan w:val="13"/>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3780" w:type="dxa"/>
            <w:vAlign w:val="bottom"/>
            <w:tcBorders>
              <w:bottom w:val="single" w:sz="8" w:color="0000EE"/>
            </w:tcBorders>
            <w:gridSpan w:val="13"/>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First Amended and Restated Executive Employment</w:t>
              </w:r>
            </w:hyperlink>
          </w:p>
        </w:tc>
        <w:tc>
          <w:tcPr>
            <w:tcW w:w="14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Agreement, dated July 1, 2018, by and between Grand</w:t>
              </w:r>
            </w:hyperlink>
          </w:p>
        </w:tc>
      </w:tr>
      <w:tr>
        <w:trPr>
          <w:trHeight w:val="196"/>
        </w:trPr>
        <w:tc>
          <w:tcPr>
            <w:tcW w:w="920" w:type="dxa"/>
            <w:vAlign w:val="bottom"/>
          </w:tcPr>
          <w:p>
            <w:pPr>
              <w:spacing w:after="0"/>
              <w:rPr>
                <w:sz w:val="17"/>
                <w:szCs w:val="17"/>
                <w:color w:val="auto"/>
              </w:rPr>
            </w:pPr>
          </w:p>
        </w:tc>
        <w:tc>
          <w:tcPr>
            <w:tcW w:w="30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Canyon Education, Inc. and Dilek Marsh†</w:t>
              </w:r>
            </w:hyperlink>
          </w:p>
        </w:tc>
        <w:tc>
          <w:tcPr>
            <w:tcW w:w="880" w:type="dxa"/>
            <w:vAlign w:val="bottom"/>
            <w:gridSpan w:val="8"/>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3720" w:type="dxa"/>
            <w:vAlign w:val="bottom"/>
            <w:tcBorders>
              <w:bottom w:val="single" w:sz="8" w:color="0000EE"/>
            </w:tcBorders>
            <w:gridSpan w:val="10"/>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Form of Director and Officer Indemnity Agreement</w:t>
              </w:r>
            </w:hyperlink>
          </w:p>
        </w:tc>
        <w:tc>
          <w:tcPr>
            <w:tcW w:w="200" w:type="dxa"/>
            <w:vAlign w:val="bottom"/>
            <w:gridSpan w:val="7"/>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to Exhibit 10.1 to the Company’s Quarterly Report on Form 10-Q filed with the SEC on November 14, 2011.</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Incorporated by reference to Exhibit 10.1 to the Company’s Current Report on Form 8-K filed with the SEC on June 14, 2017.</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Incorporated by reference to Exhibit 10.3 to the Company’s Annual Report on Form 10-K filed with the SEC on February 21, 2018.</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to Exhibit 10.1 to the Company’s Quarterly Report on Form 10-Q filed with the SEC on November 8, 2018.</w:t>
      </w:r>
    </w:p>
    <w:p>
      <w:pPr>
        <w:spacing w:after="0" w:line="3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to Exhibit 10.2 to the Company’s Quarterly Report on Form 10-Q filed with the SEC on November 8, 2018.</w:t>
      </w:r>
    </w:p>
    <w:p>
      <w:pPr>
        <w:spacing w:after="0" w:line="3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to Exhibit 10.3 to the Company’s Quarterly Report on Form 10-Q filed with the SEC on November 8, 2018.</w:t>
      </w:r>
    </w:p>
    <w:p>
      <w:pPr>
        <w:spacing w:after="0" w:line="3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to Exhibit 10.4 to the Company’s Quarterly Report on Form 10-Q filed with the SEC on November 8, 2018.</w:t>
      </w:r>
    </w:p>
    <w:p>
      <w:pPr>
        <w:spacing w:after="0" w:line="3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Incorporated by reference to Exhibit 10.5 to the Company’s Quarterly Report on Form 10-Q filed with the SEC on November 8, 2018.</w:t>
      </w:r>
    </w:p>
    <w:p>
      <w:pPr>
        <w:spacing w:after="0" w:line="18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Incorporated by reference to Exhibit 10.21 to Amendment No. 2 to the Company’s Registration Statement on Form S-1 filed with the SEC on September 29, 2008.</w:t>
      </w:r>
    </w:p>
    <w:p>
      <w:pPr>
        <w:spacing w:after="0" w:line="200" w:lineRule="exact"/>
        <w:rPr>
          <w:sz w:val="20"/>
          <w:szCs w:val="20"/>
          <w:color w:val="auto"/>
        </w:rPr>
      </w:pPr>
    </w:p>
    <w:p>
      <w:pPr>
        <w:sectPr>
          <w:pgSz w:w="11900" w:h="16838" w:orient="portrait"/>
          <w:cols w:equalWidth="0" w:num="2">
            <w:col w:w="4840" w:space="240"/>
            <w:col w:w="3980"/>
          </w:cols>
          <w:pgMar w:left="1420" w:top="517" w:right="141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25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30873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 w:lineRule="exact"/>
        <w:rPr>
          <w:sz w:val="20"/>
          <w:szCs w:val="20"/>
          <w:color w:val="auto"/>
        </w:rPr>
      </w:pPr>
    </w:p>
    <w:p>
      <w:pPr>
        <w:ind w:left="920" w:right="60" w:hanging="904"/>
        <w:spacing w:after="0" w:line="301"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24">
        <w:r>
          <w:rPr>
            <w:rFonts w:ascii="Arial" w:cs="Arial" w:eastAsia="Arial" w:hAnsi="Arial"/>
            <w:sz w:val="16"/>
            <w:szCs w:val="16"/>
            <w:u w:val="single" w:color="auto"/>
            <w:color w:val="0000EE"/>
          </w:rPr>
          <w:t>Credit Agreement dated July 1, 2018, by and between</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Grand Canyon Education, Inc. and Grand Canyon</w:t>
        </w:r>
      </w:hyperlink>
      <w:r>
        <w:rPr>
          <w:rFonts w:ascii="Arial" w:cs="Arial" w:eastAsia="Arial" w:hAnsi="Arial"/>
          <w:sz w:val="16"/>
          <w:szCs w:val="16"/>
          <w:u w:val="single" w:color="auto"/>
          <w:color w:val="0000EE"/>
        </w:rPr>
        <w:t xml:space="preserve"> </w:t>
      </w:r>
      <w:hyperlink r:id="rId124">
        <w:r>
          <w:rPr>
            <w:rFonts w:ascii="Arial" w:cs="Arial" w:eastAsia="Arial" w:hAnsi="Arial"/>
            <w:sz w:val="16"/>
            <w:szCs w:val="16"/>
            <w:u w:val="single" w:color="auto"/>
            <w:color w:val="0000EE"/>
          </w:rPr>
          <w:t>University (formerly known as Gazelle University).</w:t>
        </w:r>
      </w:hyperlink>
    </w:p>
    <w:p>
      <w:pPr>
        <w:spacing w:after="0" w:line="156" w:lineRule="exact"/>
        <w:rPr>
          <w:rFonts w:ascii="Arial" w:cs="Arial" w:eastAsia="Arial" w:hAnsi="Arial"/>
          <w:sz w:val="16"/>
          <w:szCs w:val="16"/>
          <w:u w:val="single" w:color="auto"/>
          <w:color w:val="0000EE"/>
        </w:rPr>
      </w:pPr>
    </w:p>
    <w:p>
      <w:pPr>
        <w:ind w:left="920" w:hanging="904"/>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25">
        <w:r>
          <w:rPr>
            <w:rFonts w:ascii="Arial" w:cs="Arial" w:eastAsia="Arial" w:hAnsi="Arial"/>
            <w:sz w:val="18"/>
            <w:szCs w:val="18"/>
            <w:u w:val="single" w:color="auto"/>
            <w:color w:val="0000EE"/>
          </w:rPr>
          <w:t>Master Services Agreement, dated July 1, 2018, by</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and between Grand Canyon Education, Inc. and Grand</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Canyon University (formerly known as Gazelle</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University).##</w:t>
        </w:r>
      </w:hyperlink>
    </w:p>
    <w:p>
      <w:pPr>
        <w:spacing w:after="0" w:line="187" w:lineRule="exact"/>
        <w:rPr>
          <w:rFonts w:ascii="Arial" w:cs="Arial" w:eastAsia="Arial" w:hAnsi="Arial"/>
          <w:sz w:val="18"/>
          <w:szCs w:val="18"/>
          <w:u w:val="single" w:color="auto"/>
          <w:color w:val="0000EE"/>
        </w:rPr>
      </w:pPr>
    </w:p>
    <w:p>
      <w:pPr>
        <w:ind w:left="920" w:right="60" w:hanging="904"/>
        <w:spacing w:after="0" w:line="259"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6">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parties named therein.</w:t>
        </w:r>
      </w:hyperlink>
    </w:p>
    <w:p>
      <w:pPr>
        <w:spacing w:after="0" w:line="187" w:lineRule="exact"/>
        <w:rPr>
          <w:rFonts w:ascii="Arial" w:cs="Arial" w:eastAsia="Arial" w:hAnsi="Arial"/>
          <w:sz w:val="18"/>
          <w:szCs w:val="18"/>
          <w:u w:val="single" w:color="auto"/>
          <w:color w:val="0000EE"/>
        </w:rPr>
      </w:pPr>
    </w:p>
    <w:p>
      <w:pPr>
        <w:ind w:left="920" w:right="280" w:hanging="904"/>
        <w:spacing w:after="0" w:line="302" w:lineRule="auto"/>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27">
        <w:r>
          <w:rPr>
            <w:rFonts w:ascii="Arial" w:cs="Arial" w:eastAsia="Arial" w:hAnsi="Arial"/>
            <w:sz w:val="16"/>
            <w:szCs w:val="16"/>
            <w:u w:val="single" w:color="auto"/>
            <w:color w:val="0000EE"/>
          </w:rPr>
          <w:t>Amended and Restated Security and Pledge</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Agreement, dated January 22, 2019, by and among</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Grand Canyon Education, Inc., Bank of America,</w:t>
        </w:r>
      </w:hyperlink>
      <w:r>
        <w:rPr>
          <w:rFonts w:ascii="Arial" w:cs="Arial" w:eastAsia="Arial" w:hAnsi="Arial"/>
          <w:sz w:val="16"/>
          <w:szCs w:val="16"/>
          <w:u w:val="single" w:color="auto"/>
          <w:color w:val="0000EE"/>
        </w:rPr>
        <w:t xml:space="preserve"> </w:t>
      </w:r>
      <w:hyperlink r:id="rId127">
        <w:r>
          <w:rPr>
            <w:rFonts w:ascii="Arial" w:cs="Arial" w:eastAsia="Arial" w:hAnsi="Arial"/>
            <w:sz w:val="16"/>
            <w:szCs w:val="16"/>
            <w:u w:val="single" w:color="auto"/>
            <w:color w:val="0000EE"/>
          </w:rPr>
          <w:t>N.A., and the other parties named therein.</w:t>
        </w:r>
      </w:hyperlink>
    </w:p>
    <w:p>
      <w:pPr>
        <w:spacing w:after="0" w:line="154" w:lineRule="exact"/>
        <w:rPr>
          <w:rFonts w:ascii="Arial" w:cs="Arial" w:eastAsia="Arial" w:hAnsi="Arial"/>
          <w:sz w:val="16"/>
          <w:szCs w:val="16"/>
          <w:u w:val="single" w:color="auto"/>
          <w:color w:val="0000EE"/>
        </w:rPr>
      </w:pPr>
    </w:p>
    <w:p>
      <w:pPr>
        <w:ind w:left="920" w:hanging="904"/>
        <w:spacing w:after="0" w:line="25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8">
        <w:r>
          <w:rPr>
            <w:rFonts w:ascii="Arial" w:cs="Arial" w:eastAsia="Arial" w:hAnsi="Arial"/>
            <w:sz w:val="18"/>
            <w:szCs w:val="18"/>
            <w:u w:val="single" w:color="auto"/>
            <w:color w:val="0000EE"/>
          </w:rPr>
          <w:t>First Amendment, dated January 31, 2019 to Amended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and Restated Credit Agreement, dated January 22,</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2019 by and among Grand Canyon Education, Inc.,</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Bank of America, N.A., and the other parties named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4" w:lineRule="exact"/>
        <w:rPr>
          <w:rFonts w:ascii="Arial" w:cs="Arial" w:eastAsia="Arial" w:hAnsi="Arial"/>
          <w:sz w:val="18"/>
          <w:szCs w:val="18"/>
          <w:u w:val="single" w:color="auto"/>
          <w:color w:val="0000EE"/>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8890</wp:posOffset>
            </wp:positionH>
            <wp:positionV relativeFrom="paragraph">
              <wp:posOffset>6350</wp:posOffset>
            </wp:positionV>
            <wp:extent cx="25215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ind w:right="60"/>
        <w:spacing w:after="0" w:line="254" w:lineRule="auto"/>
        <w:rPr>
          <w:sz w:val="20"/>
          <w:szCs w:val="20"/>
          <w:color w:val="auto"/>
        </w:rPr>
      </w:pPr>
      <w:r>
        <w:rPr>
          <w:rFonts w:ascii="Arial" w:cs="Arial" w:eastAsia="Arial" w:hAnsi="Arial"/>
          <w:sz w:val="18"/>
          <w:szCs w:val="18"/>
          <w:color w:val="auto"/>
        </w:rPr>
        <w:t>Incorporated by reference to Exhibit 10.7 to the Company’s Quarterly Report on Form 10-Q filed with the SEC on November 8, 2018.</w:t>
      </w:r>
    </w:p>
    <w:p>
      <w:pPr>
        <w:spacing w:after="0" w:line="191" w:lineRule="exact"/>
        <w:rPr>
          <w:rFonts w:ascii="Arial" w:cs="Arial" w:eastAsia="Arial" w:hAnsi="Arial"/>
          <w:sz w:val="18"/>
          <w:szCs w:val="18"/>
          <w:u w:val="single" w:color="auto"/>
          <w:color w:val="0000EE"/>
        </w:rPr>
      </w:pPr>
    </w:p>
    <w:p>
      <w:pPr>
        <w:ind w:right="260"/>
        <w:spacing w:after="0" w:line="264" w:lineRule="auto"/>
        <w:rPr>
          <w:sz w:val="20"/>
          <w:szCs w:val="20"/>
          <w:color w:val="auto"/>
        </w:rPr>
      </w:pPr>
      <w:r>
        <w:rPr>
          <w:rFonts w:ascii="Arial" w:cs="Arial" w:eastAsia="Arial" w:hAnsi="Arial"/>
          <w:sz w:val="18"/>
          <w:szCs w:val="18"/>
          <w:color w:val="auto"/>
        </w:rPr>
        <w:t>Incorporated by reference to Exhibit 10.8 to the Company’s Quarterly Report on Form 10-Q/A filed with the SEC on April 23, 2019.</w:t>
      </w:r>
    </w:p>
    <w:p>
      <w:pPr>
        <w:spacing w:after="0" w:line="397" w:lineRule="exact"/>
        <w:rPr>
          <w:rFonts w:ascii="Arial" w:cs="Arial" w:eastAsia="Arial" w:hAnsi="Arial"/>
          <w:sz w:val="18"/>
          <w:szCs w:val="18"/>
          <w:u w:val="single" w:color="auto"/>
          <w:color w:val="0000EE"/>
        </w:rPr>
      </w:pPr>
    </w:p>
    <w:p>
      <w:pPr>
        <w:ind w:right="220"/>
        <w:spacing w:after="0" w:line="264" w:lineRule="auto"/>
        <w:rPr>
          <w:sz w:val="20"/>
          <w:szCs w:val="20"/>
          <w:color w:val="auto"/>
        </w:rPr>
      </w:pPr>
      <w:r>
        <w:rPr>
          <w:rFonts w:ascii="Arial" w:cs="Arial" w:eastAsia="Arial" w:hAnsi="Arial"/>
          <w:sz w:val="18"/>
          <w:szCs w:val="18"/>
          <w:color w:val="auto"/>
        </w:rPr>
        <w:t>Incorporated by reference to Exhibit 10.14 to the Company’s Annual Report on Form 10-K filed with the SEC on February 20, 2019.</w:t>
      </w:r>
    </w:p>
    <w:p>
      <w:pPr>
        <w:spacing w:after="0" w:line="397" w:lineRule="exact"/>
        <w:rPr>
          <w:rFonts w:ascii="Arial" w:cs="Arial" w:eastAsia="Arial" w:hAnsi="Arial"/>
          <w:sz w:val="18"/>
          <w:szCs w:val="18"/>
          <w:u w:val="single" w:color="auto"/>
          <w:color w:val="0000EE"/>
        </w:rPr>
      </w:pPr>
    </w:p>
    <w:p>
      <w:pPr>
        <w:ind w:right="220"/>
        <w:spacing w:after="0" w:line="264" w:lineRule="auto"/>
        <w:rPr>
          <w:sz w:val="20"/>
          <w:szCs w:val="20"/>
          <w:color w:val="auto"/>
        </w:rPr>
      </w:pPr>
      <w:r>
        <w:rPr>
          <w:rFonts w:ascii="Arial" w:cs="Arial" w:eastAsia="Arial" w:hAnsi="Arial"/>
          <w:sz w:val="18"/>
          <w:szCs w:val="18"/>
          <w:color w:val="auto"/>
        </w:rPr>
        <w:t>Incorporated by reference to Exhibit 10.15 to the Company’s Annual Report on Form 10-K filed with the SEC on February 20, 2019.</w:t>
      </w:r>
    </w:p>
    <w:p>
      <w:pPr>
        <w:spacing w:after="0" w:line="397" w:lineRule="exact"/>
        <w:rPr>
          <w:rFonts w:ascii="Arial" w:cs="Arial" w:eastAsia="Arial" w:hAnsi="Arial"/>
          <w:sz w:val="18"/>
          <w:szCs w:val="18"/>
          <w:u w:val="single" w:color="auto"/>
          <w:color w:val="0000EE"/>
        </w:rPr>
      </w:pPr>
    </w:p>
    <w:p>
      <w:pPr>
        <w:ind w:right="220"/>
        <w:spacing w:after="0" w:line="264" w:lineRule="auto"/>
        <w:rPr>
          <w:sz w:val="20"/>
          <w:szCs w:val="20"/>
          <w:color w:val="auto"/>
        </w:rPr>
      </w:pPr>
      <w:r>
        <w:rPr>
          <w:rFonts w:ascii="Arial" w:cs="Arial" w:eastAsia="Arial" w:hAnsi="Arial"/>
          <w:sz w:val="18"/>
          <w:szCs w:val="18"/>
          <w:color w:val="auto"/>
        </w:rPr>
        <w:t>Incorporated by reference to Exhibit 10.16 to the Company’s Annual Report on Form 10-K filed with the SEC on February 20, 2019.</w:t>
      </w:r>
    </w:p>
    <w:p>
      <w:pPr>
        <w:spacing w:after="0" w:line="613" w:lineRule="exact"/>
        <w:rPr>
          <w:rFonts w:ascii="Arial" w:cs="Arial" w:eastAsia="Arial" w:hAnsi="Arial"/>
          <w:sz w:val="18"/>
          <w:szCs w:val="18"/>
          <w:u w:val="single" w:color="auto"/>
          <w:color w:val="0000EE"/>
        </w:rPr>
      </w:pPr>
    </w:p>
    <w:p>
      <w:pPr>
        <w:sectPr>
          <w:pgSz w:w="11900" w:h="16838" w:orient="portrait"/>
          <w:cols w:equalWidth="0" w:num="2">
            <w:col w:w="4860" w:space="220"/>
            <w:col w:w="3980"/>
          </w:cols>
          <w:pgMar w:left="1420" w:top="517" w:right="1419" w:bottom="1440" w:gutter="0" w:footer="0" w:header="0"/>
          <w:type w:val="continuous"/>
        </w:sectPr>
      </w:pPr>
    </w:p>
    <w:p>
      <w:pPr>
        <w:ind w:left="920" w:hanging="904"/>
        <w:spacing w:after="0" w:line="276" w:lineRule="auto"/>
        <w:tabs>
          <w:tab w:leader="none" w:pos="900" w:val="left"/>
        </w:tabs>
        <w:rPr>
          <w:rFonts w:ascii="Arial" w:cs="Arial" w:eastAsia="Arial" w:hAnsi="Arial"/>
          <w:sz w:val="17"/>
          <w:szCs w:val="17"/>
          <w:u w:val="single" w:color="auto"/>
          <w:color w:val="0000EE"/>
        </w:rPr>
      </w:pPr>
      <w:r>
        <w:rPr>
          <w:rFonts w:ascii="Arial" w:cs="Arial" w:eastAsia="Arial" w:hAnsi="Arial"/>
          <w:sz w:val="18"/>
          <w:szCs w:val="18"/>
          <w:color w:val="auto"/>
        </w:rPr>
        <w:t>10.15</w:t>
      </w:r>
      <w:r>
        <w:rPr>
          <w:sz w:val="20"/>
          <w:szCs w:val="20"/>
          <w:color w:val="auto"/>
        </w:rPr>
        <w:tab/>
      </w:r>
      <w:hyperlink r:id="rId130">
        <w:r>
          <w:rPr>
            <w:rFonts w:ascii="Arial" w:cs="Arial" w:eastAsia="Arial" w:hAnsi="Arial"/>
            <w:sz w:val="17"/>
            <w:szCs w:val="17"/>
            <w:u w:val="single" w:color="auto"/>
            <w:color w:val="0000EE"/>
          </w:rPr>
          <w:t>First Incremental Facility Amendment, dated February</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1, 2019 to Amended and Restated Credit Agreement,</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dated January 22, 2019 by and among Grand Canyon</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Education, Inc., Bank of America, N.A., and the other</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parties named therein.</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60"/>
        <w:spacing w:after="0" w:line="264" w:lineRule="auto"/>
        <w:rPr>
          <w:sz w:val="20"/>
          <w:szCs w:val="20"/>
          <w:color w:val="auto"/>
        </w:rPr>
      </w:pPr>
      <w:r>
        <w:rPr>
          <w:rFonts w:ascii="Arial" w:cs="Arial" w:eastAsia="Arial" w:hAnsi="Arial"/>
          <w:sz w:val="18"/>
          <w:szCs w:val="18"/>
          <w:color w:val="auto"/>
        </w:rPr>
        <w:t>Incorporated by reference to Exhibit 10.17 to the Company’s Quarterly Report on Form 10-Q filed with the SEC on February 20, 2019.</w:t>
      </w:r>
    </w:p>
    <w:p>
      <w:pPr>
        <w:spacing w:after="0" w:line="613" w:lineRule="exact"/>
        <w:rPr>
          <w:rFonts w:ascii="Arial" w:cs="Arial" w:eastAsia="Arial" w:hAnsi="Arial"/>
          <w:sz w:val="17"/>
          <w:szCs w:val="17"/>
          <w:u w:val="single" w:color="auto"/>
          <w:color w:val="0000EE"/>
        </w:rPr>
      </w:pPr>
    </w:p>
    <w:p>
      <w:pPr>
        <w:sectPr>
          <w:pgSz w:w="11900" w:h="16838" w:orient="portrait"/>
          <w:cols w:equalWidth="0" w:num="2">
            <w:col w:w="4860" w:space="220"/>
            <w:col w:w="3980"/>
          </w:cols>
          <w:pgMar w:left="1420" w:top="517" w:right="1419" w:bottom="1440" w:gutter="0" w:footer="0" w:header="0"/>
          <w:type w:val="continuous"/>
        </w:sectPr>
      </w:pPr>
    </w:p>
    <w:p>
      <w:pPr>
        <w:ind w:left="920" w:hanging="904"/>
        <w:spacing w:after="0" w:line="257" w:lineRule="auto"/>
        <w:tabs>
          <w:tab w:leader="none" w:pos="90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31">
        <w:r>
          <w:rPr>
            <w:rFonts w:ascii="Arial" w:cs="Arial" w:eastAsia="Arial" w:hAnsi="Arial"/>
            <w:sz w:val="18"/>
            <w:szCs w:val="18"/>
            <w:u w:val="single" w:color="auto"/>
            <w:color w:val="0000EE"/>
          </w:rPr>
          <w:t>Second Amendment, dated October 31, 2019 to</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Amended and Restated Credit Agreement, dated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January 22, 2019 by and among Grand Canyon</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Education, Inc., Bank of America N.A., and the other</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parties named therein.</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ind w:right="220"/>
        <w:spacing w:after="0" w:line="264" w:lineRule="auto"/>
        <w:rPr>
          <w:sz w:val="20"/>
          <w:szCs w:val="20"/>
          <w:color w:val="auto"/>
        </w:rPr>
      </w:pPr>
      <w:r>
        <w:rPr>
          <w:rFonts w:ascii="Arial" w:cs="Arial" w:eastAsia="Arial" w:hAnsi="Arial"/>
          <w:sz w:val="18"/>
          <w:szCs w:val="18"/>
          <w:color w:val="auto"/>
        </w:rPr>
        <w:t>Incorporated by reference to Exhibit 10.18 to the Company’s Annual Report on Form 10-K filed with the SEC on November 6, 2019.</w:t>
      </w:r>
    </w:p>
    <w:p>
      <w:pPr>
        <w:spacing w:after="0" w:line="596" w:lineRule="exact"/>
        <w:rPr>
          <w:rFonts w:ascii="Arial" w:cs="Arial" w:eastAsia="Arial" w:hAnsi="Arial"/>
          <w:sz w:val="18"/>
          <w:szCs w:val="18"/>
          <w:u w:val="single" w:color="auto"/>
          <w:color w:val="0000EE"/>
        </w:rPr>
      </w:pPr>
    </w:p>
    <w:p>
      <w:pPr>
        <w:sectPr>
          <w:pgSz w:w="11900" w:h="16838" w:orient="portrait"/>
          <w:cols w:equalWidth="0" w:num="2">
            <w:col w:w="4760" w:space="320"/>
            <w:col w:w="3980"/>
          </w:cols>
          <w:pgMar w:left="1420" w:top="517" w:right="14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21.0</w:t>
            </w:r>
          </w:p>
        </w:tc>
        <w:tc>
          <w:tcPr>
            <w:tcW w:w="4020" w:type="dxa"/>
            <w:vAlign w:val="bottom"/>
            <w:gridSpan w:val="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Subsidiaries of Grand Canyon Education, Inc.</w:t>
              </w:r>
            </w:hyperlink>
          </w:p>
        </w:tc>
        <w:tc>
          <w:tcPr>
            <w:tcW w:w="412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20"/>
        </w:trPr>
        <w:tc>
          <w:tcPr>
            <w:tcW w:w="92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41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23.1</w:t>
            </w:r>
          </w:p>
        </w:tc>
        <w:tc>
          <w:tcPr>
            <w:tcW w:w="4020" w:type="dxa"/>
            <w:vAlign w:val="bottom"/>
            <w:gridSpan w:val="8"/>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Consent of KPMG LLP, Independent Registered</w:t>
              </w:r>
            </w:hyperlink>
          </w:p>
        </w:tc>
        <w:tc>
          <w:tcPr>
            <w:tcW w:w="412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196"/>
        </w:trPr>
        <w:tc>
          <w:tcPr>
            <w:tcW w:w="92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Public Accounting Firm</w:t>
              </w:r>
            </w:hyperlink>
          </w:p>
        </w:tc>
        <w:tc>
          <w:tcPr>
            <w:tcW w:w="1740" w:type="dxa"/>
            <w:vAlign w:val="bottom"/>
            <w:tcBorders>
              <w:top w:val="single" w:sz="8" w:color="0000EE"/>
            </w:tcBorders>
            <w:gridSpan w:val="2"/>
          </w:tcPr>
          <w:p>
            <w:pPr>
              <w:spacing w:after="0"/>
              <w:rPr>
                <w:sz w:val="17"/>
                <w:szCs w:val="17"/>
                <w:color w:val="auto"/>
              </w:rPr>
            </w:pPr>
          </w:p>
        </w:tc>
        <w:tc>
          <w:tcPr>
            <w:tcW w:w="540" w:type="dxa"/>
            <w:vAlign w:val="bottom"/>
            <w:gridSpan w:val="4"/>
          </w:tcPr>
          <w:p>
            <w:pPr>
              <w:spacing w:after="0"/>
              <w:rPr>
                <w:sz w:val="17"/>
                <w:szCs w:val="17"/>
                <w:color w:val="auto"/>
              </w:rPr>
            </w:pPr>
          </w:p>
        </w:tc>
        <w:tc>
          <w:tcPr>
            <w:tcW w:w="4120" w:type="dxa"/>
            <w:vAlign w:val="bottom"/>
          </w:tcPr>
          <w:p>
            <w:pPr>
              <w:spacing w:after="0"/>
              <w:rPr>
                <w:sz w:val="17"/>
                <w:szCs w:val="17"/>
                <w:color w:val="auto"/>
              </w:rPr>
            </w:pPr>
          </w:p>
        </w:tc>
      </w:tr>
      <w:tr>
        <w:trPr>
          <w:trHeight w:val="41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24.1</w:t>
            </w:r>
          </w:p>
        </w:tc>
        <w:tc>
          <w:tcPr>
            <w:tcW w:w="1340" w:type="dxa"/>
            <w:vAlign w:val="bottom"/>
            <w:tcBorders>
              <w:bottom w:val="single" w:sz="8" w:color="0000EE"/>
            </w:tcBorders>
          </w:tcPr>
          <w:p>
            <w:pPr>
              <w:spacing w:after="0"/>
              <w:rPr>
                <w:rFonts w:ascii="Arial" w:cs="Arial" w:eastAsia="Arial" w:hAnsi="Arial"/>
                <w:sz w:val="18"/>
                <w:szCs w:val="18"/>
                <w:color w:val="0000EE"/>
                <w:w w:val="92"/>
              </w:rPr>
            </w:pPr>
            <w:hyperlink w:anchor="page96">
              <w:r>
                <w:rPr>
                  <w:rFonts w:ascii="Arial" w:cs="Arial" w:eastAsia="Arial" w:hAnsi="Arial"/>
                  <w:sz w:val="18"/>
                  <w:szCs w:val="18"/>
                  <w:color w:val="0000EE"/>
                  <w:w w:val="92"/>
                </w:rPr>
                <w:t>Power of Attorney</w:t>
              </w:r>
            </w:hyperlink>
          </w:p>
        </w:tc>
        <w:tc>
          <w:tcPr>
            <w:tcW w:w="2680" w:type="dxa"/>
            <w:vAlign w:val="bottom"/>
            <w:gridSpan w:val="7"/>
          </w:tcPr>
          <w:p>
            <w:pPr>
              <w:spacing w:after="0"/>
              <w:rPr>
                <w:sz w:val="24"/>
                <w:szCs w:val="24"/>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Filed herewith (on signature page)</w:t>
            </w:r>
          </w:p>
        </w:tc>
      </w:tr>
      <w:tr>
        <w:trPr>
          <w:trHeight w:val="412"/>
        </w:trPr>
        <w:tc>
          <w:tcPr>
            <w:tcW w:w="920" w:type="dxa"/>
            <w:vAlign w:val="bottom"/>
          </w:tcPr>
          <w:p>
            <w:pPr>
              <w:jc w:val="right"/>
              <w:ind w:right="510"/>
              <w:spacing w:after="0"/>
              <w:rPr>
                <w:sz w:val="20"/>
                <w:szCs w:val="20"/>
                <w:color w:val="auto"/>
              </w:rPr>
            </w:pPr>
            <w:r>
              <w:rPr>
                <w:rFonts w:ascii="Arial" w:cs="Arial" w:eastAsia="Arial" w:hAnsi="Arial"/>
                <w:sz w:val="18"/>
                <w:szCs w:val="18"/>
                <w:color w:val="auto"/>
                <w:w w:val="85"/>
              </w:rPr>
              <w:t>31.1</w:t>
            </w:r>
          </w:p>
        </w:tc>
        <w:tc>
          <w:tcPr>
            <w:tcW w:w="380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02">
              <w:r>
                <w:rPr>
                  <w:rFonts w:ascii="Arial" w:cs="Arial" w:eastAsia="Arial" w:hAnsi="Arial"/>
                  <w:sz w:val="18"/>
                  <w:szCs w:val="18"/>
                  <w:color w:val="0000EE"/>
                  <w:w w:val="92"/>
                </w:rPr>
                <w:t>Certification of Principal Executive Officer Pursuant</w:t>
              </w:r>
            </w:hyperlink>
          </w:p>
        </w:tc>
        <w:tc>
          <w:tcPr>
            <w:tcW w:w="220" w:type="dxa"/>
            <w:vAlign w:val="bottom"/>
            <w:gridSpan w:val="2"/>
          </w:tcPr>
          <w:p>
            <w:pPr>
              <w:spacing w:after="0"/>
              <w:rPr>
                <w:sz w:val="24"/>
                <w:szCs w:val="24"/>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Filed herewith.</w:t>
            </w:r>
          </w:p>
        </w:tc>
      </w:tr>
      <w:tr>
        <w:trPr>
          <w:trHeight w:val="196"/>
        </w:trPr>
        <w:tc>
          <w:tcPr>
            <w:tcW w:w="92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to Rule 13a-14(a) and 15d-14(a) as Adopted Pursuant</w:t>
              </w:r>
            </w:hyperlink>
          </w:p>
        </w:tc>
        <w:tc>
          <w:tcPr>
            <w:tcW w:w="160" w:type="dxa"/>
            <w:vAlign w:val="bottom"/>
          </w:tcPr>
          <w:p>
            <w:pPr>
              <w:spacing w:after="0"/>
              <w:rPr>
                <w:sz w:val="17"/>
                <w:szCs w:val="17"/>
                <w:color w:val="auto"/>
              </w:rPr>
            </w:pPr>
          </w:p>
        </w:tc>
        <w:tc>
          <w:tcPr>
            <w:tcW w:w="4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to Section 302 of the Sarbanes-Oxley Act of 2002</w:t>
              </w:r>
            </w:hyperlink>
          </w:p>
        </w:tc>
        <w:tc>
          <w:tcPr>
            <w:tcW w:w="420" w:type="dxa"/>
            <w:vAlign w:val="bottom"/>
            <w:gridSpan w:val="3"/>
          </w:tcPr>
          <w:p>
            <w:pPr>
              <w:spacing w:after="0"/>
              <w:rPr>
                <w:sz w:val="17"/>
                <w:szCs w:val="17"/>
                <w:color w:val="auto"/>
              </w:rPr>
            </w:pPr>
          </w:p>
        </w:tc>
        <w:tc>
          <w:tcPr>
            <w:tcW w:w="4120" w:type="dxa"/>
            <w:vAlign w:val="bottom"/>
          </w:tcPr>
          <w:p>
            <w:pPr>
              <w:spacing w:after="0"/>
              <w:rPr>
                <w:sz w:val="17"/>
                <w:szCs w:val="17"/>
                <w:color w:val="auto"/>
              </w:rPr>
            </w:pPr>
          </w:p>
        </w:tc>
      </w:tr>
      <w:tr>
        <w:trPr>
          <w:trHeight w:val="885"/>
        </w:trPr>
        <w:tc>
          <w:tcPr>
            <w:tcW w:w="920" w:type="dxa"/>
            <w:vAlign w:val="bottom"/>
          </w:tcPr>
          <w:p>
            <w:pPr>
              <w:spacing w:after="0"/>
              <w:rPr>
                <w:sz w:val="24"/>
                <w:szCs w:val="24"/>
                <w:color w:val="auto"/>
              </w:rPr>
            </w:pPr>
          </w:p>
        </w:tc>
        <w:tc>
          <w:tcPr>
            <w:tcW w:w="3800" w:type="dxa"/>
            <w:vAlign w:val="bottom"/>
            <w:gridSpan w:val="6"/>
          </w:tcPr>
          <w:p>
            <w:pPr>
              <w:ind w:left="352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517" w:right="141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9"/>
          </w:tcPr>
          <w:p>
            <w:pPr>
              <w:ind w:left="160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3960" w:type="dxa"/>
            <w:vAlign w:val="bottom"/>
          </w:tcPr>
          <w:p>
            <w:pPr>
              <w:jc w:val="right"/>
              <w:ind w:right="1399"/>
              <w:spacing w:after="0"/>
              <w:rPr>
                <w:sz w:val="20"/>
                <w:szCs w:val="20"/>
                <w:color w:val="auto"/>
              </w:rPr>
            </w:pPr>
            <w:r>
              <w:rPr>
                <w:rFonts w:ascii="Arial" w:cs="Arial" w:eastAsia="Arial" w:hAnsi="Arial"/>
                <w:sz w:val="14"/>
                <w:szCs w:val="14"/>
                <w:b w:val="1"/>
                <w:bCs w:val="1"/>
                <w:color w:val="auto"/>
              </w:rPr>
              <w:t>Method of Filing</w:t>
            </w:r>
          </w:p>
        </w:tc>
      </w:tr>
      <w:tr>
        <w:trPr>
          <w:trHeight w:val="169"/>
        </w:trPr>
        <w:tc>
          <w:tcPr>
            <w:tcW w:w="20" w:type="dxa"/>
            <w:vAlign w:val="bottom"/>
          </w:tcPr>
          <w:p>
            <w:pPr>
              <w:spacing w:after="0"/>
              <w:rPr>
                <w:sz w:val="14"/>
                <w:szCs w:val="14"/>
                <w:color w:val="auto"/>
              </w:rPr>
            </w:pPr>
          </w:p>
        </w:tc>
        <w:tc>
          <w:tcPr>
            <w:tcW w:w="6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920" w:type="dxa"/>
            <w:vAlign w:val="bottom"/>
            <w:tcBorders>
              <w:top w:val="single" w:sz="8" w:color="auto"/>
              <w:bottom w:val="single" w:sz="8" w:color="0000EE"/>
            </w:tcBorders>
            <w:gridSpan w:val="8"/>
          </w:tcPr>
          <w:p>
            <w:pPr>
              <w:spacing w:after="0" w:line="170"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Certification of Principal Financial Officer Pursuant to</w:t>
              </w:r>
            </w:hyperlink>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960" w:type="dxa"/>
            <w:vAlign w:val="bottom"/>
            <w:tcBorders>
              <w:top w:val="single" w:sz="8" w:color="auto"/>
            </w:tcBorders>
          </w:tcPr>
          <w:p>
            <w:pPr>
              <w:jc w:val="right"/>
              <w:ind w:right="2799"/>
              <w:spacing w:after="0" w:line="170" w:lineRule="exact"/>
              <w:rPr>
                <w:sz w:val="20"/>
                <w:szCs w:val="20"/>
                <w:color w:val="auto"/>
              </w:rPr>
            </w:pPr>
            <w:r>
              <w:rPr>
                <w:rFonts w:ascii="Arial" w:cs="Arial" w:eastAsia="Arial" w:hAnsi="Arial"/>
                <w:sz w:val="18"/>
                <w:szCs w:val="18"/>
                <w:color w:val="auto"/>
                <w:w w:val="90"/>
              </w:rPr>
              <w:t>Filed herewith.</w:t>
            </w: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Rule 13a-14(a) and 15d-14(a) as Adopted Pursuant to</w:t>
              </w:r>
            </w:hyperlink>
          </w:p>
        </w:tc>
        <w:tc>
          <w:tcPr>
            <w:tcW w:w="10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gridSpan w:val="10"/>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Section 302 of the Sarbanes-Oxley Act of 2002</w:t>
              </w:r>
            </w:hyperlink>
          </w:p>
        </w:tc>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0"/>
        </w:trPr>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r>
      <w:tr>
        <w:trPr>
          <w:trHeight w:val="412"/>
        </w:trPr>
        <w:tc>
          <w:tcPr>
            <w:tcW w:w="700" w:type="dxa"/>
            <w:vAlign w:val="bottom"/>
            <w:gridSpan w:val="2"/>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380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04">
              <w:r>
                <w:rPr>
                  <w:rFonts w:ascii="Arial" w:cs="Arial" w:eastAsia="Arial" w:hAnsi="Arial"/>
                  <w:sz w:val="18"/>
                  <w:szCs w:val="18"/>
                  <w:color w:val="0000EE"/>
                  <w:w w:val="92"/>
                </w:rPr>
                <w:t>Certification of Principal Executive Officer Pursuant</w:t>
              </w:r>
            </w:hyperlink>
          </w:p>
        </w:tc>
        <w:tc>
          <w:tcPr>
            <w:tcW w:w="160" w:type="dxa"/>
            <w:vAlign w:val="bottom"/>
            <w:gridSpan w:val="3"/>
          </w:tcPr>
          <w:p>
            <w:pPr>
              <w:spacing w:after="0"/>
              <w:rPr>
                <w:sz w:val="24"/>
                <w:szCs w:val="24"/>
                <w:color w:val="auto"/>
              </w:rPr>
            </w:pPr>
          </w:p>
        </w:tc>
        <w:tc>
          <w:tcPr>
            <w:tcW w:w="4180" w:type="dxa"/>
            <w:vAlign w:val="bottom"/>
            <w:gridSpan w:val="2"/>
          </w:tcPr>
          <w:p>
            <w:pPr>
              <w:jc w:val="right"/>
              <w:ind w:right="2799"/>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gridSpan w:val="10"/>
          </w:tcPr>
          <w:p>
            <w:pPr>
              <w:spacing w:after="0" w:line="19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to 18 U.S.C. Section 1350, as Adopted Pursuant to</w:t>
              </w:r>
            </w:hyperlink>
          </w:p>
        </w:tc>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Section 906 of the Sarbanes-Oxley Act of 2002††</w:t>
              </w:r>
            </w:hyperlink>
          </w:p>
        </w:tc>
        <w:tc>
          <w:tcPr>
            <w:tcW w:w="40" w:type="dxa"/>
            <w:vAlign w:val="bottom"/>
            <w:tcBorders>
              <w:top w:val="single" w:sz="8" w:color="0000EE"/>
            </w:tcBorders>
          </w:tcPr>
          <w:p>
            <w:pPr>
              <w:spacing w:after="0"/>
              <w:rPr>
                <w:sz w:val="17"/>
                <w:szCs w:val="17"/>
                <w:color w:val="auto"/>
              </w:rPr>
            </w:pPr>
          </w:p>
        </w:tc>
        <w:tc>
          <w:tcPr>
            <w:tcW w:w="32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412"/>
        </w:trPr>
        <w:tc>
          <w:tcPr>
            <w:tcW w:w="700" w:type="dxa"/>
            <w:vAlign w:val="bottom"/>
            <w:gridSpan w:val="2"/>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39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Certification of Principal Financial Officer Pursuant to</w:t>
              </w:r>
            </w:hyperlink>
          </w:p>
        </w:tc>
        <w:tc>
          <w:tcPr>
            <w:tcW w:w="20" w:type="dxa"/>
            <w:vAlign w:val="bottom"/>
          </w:tcPr>
          <w:p>
            <w:pPr>
              <w:spacing w:after="0"/>
              <w:rPr>
                <w:sz w:val="24"/>
                <w:szCs w:val="24"/>
                <w:color w:val="auto"/>
              </w:rPr>
            </w:pPr>
          </w:p>
        </w:tc>
        <w:tc>
          <w:tcPr>
            <w:tcW w:w="4180" w:type="dxa"/>
            <w:vAlign w:val="bottom"/>
            <w:gridSpan w:val="2"/>
          </w:tcPr>
          <w:p>
            <w:pPr>
              <w:jc w:val="right"/>
              <w:ind w:right="2799"/>
              <w:spacing w:after="0"/>
              <w:rPr>
                <w:sz w:val="20"/>
                <w:szCs w:val="20"/>
                <w:color w:val="auto"/>
              </w:rPr>
            </w:pPr>
            <w:r>
              <w:rPr>
                <w:rFonts w:ascii="Arial" w:cs="Arial" w:eastAsia="Arial" w:hAnsi="Arial"/>
                <w:sz w:val="18"/>
                <w:szCs w:val="18"/>
                <w:color w:val="auto"/>
              </w:rPr>
              <w:t>Filed herewith.</w:t>
            </w: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18 U.S.C. Section 1350, as Adopted Pursuant to</w:t>
              </w:r>
            </w:hyperlink>
          </w:p>
        </w:tc>
        <w:tc>
          <w:tcPr>
            <w:tcW w:w="50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60" w:type="dxa"/>
            <w:vAlign w:val="bottom"/>
            <w:gridSpan w:val="10"/>
          </w:tcPr>
          <w:p>
            <w:pPr>
              <w:spacing w:after="0" w:line="196"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Section 906 of the Sarbanes-Oxley Act of 2002††</w:t>
              </w:r>
            </w:hyperlink>
          </w:p>
        </w:tc>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438"/>
        </w:trPr>
        <w:tc>
          <w:tcPr>
            <w:tcW w:w="70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35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The following financial statements from the</w:t>
            </w:r>
          </w:p>
        </w:tc>
        <w:tc>
          <w:tcPr>
            <w:tcW w:w="380" w:type="dxa"/>
            <w:vAlign w:val="bottom"/>
            <w:gridSpan w:val="6"/>
          </w:tcPr>
          <w:p>
            <w:pPr>
              <w:spacing w:after="0"/>
              <w:rPr>
                <w:sz w:val="24"/>
                <w:szCs w:val="24"/>
                <w:color w:val="auto"/>
              </w:rPr>
            </w:pPr>
          </w:p>
        </w:tc>
        <w:tc>
          <w:tcPr>
            <w:tcW w:w="4180" w:type="dxa"/>
            <w:vAlign w:val="bottom"/>
            <w:gridSpan w:val="2"/>
          </w:tcPr>
          <w:p>
            <w:pPr>
              <w:jc w:val="right"/>
              <w:ind w:right="2799"/>
              <w:spacing w:after="0"/>
              <w:rPr>
                <w:sz w:val="20"/>
                <w:szCs w:val="20"/>
                <w:color w:val="auto"/>
              </w:rPr>
            </w:pPr>
            <w:r>
              <w:rPr>
                <w:rFonts w:ascii="Arial" w:cs="Arial" w:eastAsia="Arial" w:hAnsi="Arial"/>
                <w:sz w:val="18"/>
                <w:szCs w:val="18"/>
                <w:color w:val="auto"/>
              </w:rPr>
              <w:t>Filed herewith.</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3"/>
              </w:rPr>
              <w:t>Company’s Annual Report on Form 10-K for the year</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3"/>
              </w:rPr>
              <w:t>ended December 31, 2019, formatted in Inline XBRL:</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2"/>
              </w:rPr>
              <w:t>(i) Consolidated Income Statements, (ii) Consolidated</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rPr>
              <w:t>Statements of Comprehensive Income, (iii)</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rPr>
              <w:t>Consolidated Balance Sheets, (iv) Consolidated</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3"/>
              </w:rPr>
              <w:t>Statements of Stockholders’ Equity, (v) Consolidated</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rPr>
              <w:t>Statements of Cash Flows, and (vi) Consolidated</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9"/>
              </w:rPr>
              <w:t>Financial Statements tagged as blocks of text and</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rPr>
              <w:t>including detailed tags.</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418"/>
        </w:trPr>
        <w:tc>
          <w:tcPr>
            <w:tcW w:w="700" w:type="dxa"/>
            <w:vAlign w:val="bottom"/>
            <w:gridSpan w:val="2"/>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5"/>
              </w:rPr>
              <w:t>The cover page from the Company’s Annual Report</w:t>
            </w:r>
          </w:p>
        </w:tc>
        <w:tc>
          <w:tcPr>
            <w:tcW w:w="4180" w:type="dxa"/>
            <w:vAlign w:val="bottom"/>
            <w:gridSpan w:val="2"/>
          </w:tcPr>
          <w:p>
            <w:pPr>
              <w:jc w:val="right"/>
              <w:ind w:right="2799"/>
              <w:spacing w:after="0"/>
              <w:rPr>
                <w:sz w:val="20"/>
                <w:szCs w:val="20"/>
                <w:color w:val="auto"/>
              </w:rPr>
            </w:pPr>
            <w:r>
              <w:rPr>
                <w:rFonts w:ascii="Arial" w:cs="Arial" w:eastAsia="Arial" w:hAnsi="Arial"/>
                <w:sz w:val="18"/>
                <w:szCs w:val="18"/>
                <w:color w:val="auto"/>
              </w:rPr>
              <w:t>Filed herewith.</w:t>
            </w: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1"/>
              </w:rPr>
              <w:t>on Form 10-K for the year ended December 31, 2019,</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60" w:type="dxa"/>
            <w:vAlign w:val="bottom"/>
            <w:gridSpan w:val="10"/>
          </w:tcPr>
          <w:p>
            <w:pPr>
              <w:spacing w:after="0"/>
              <w:rPr>
                <w:sz w:val="20"/>
                <w:szCs w:val="20"/>
                <w:color w:val="auto"/>
              </w:rPr>
            </w:pPr>
            <w:r>
              <w:rPr>
                <w:rFonts w:ascii="Arial" w:cs="Arial" w:eastAsia="Arial" w:hAnsi="Arial"/>
                <w:sz w:val="18"/>
                <w:szCs w:val="18"/>
                <w:color w:val="auto"/>
                <w:w w:val="97"/>
              </w:rPr>
              <w:t>formatted in Inline XBRL (included as Exhibit 101).</w:t>
            </w:r>
          </w:p>
        </w:tc>
        <w:tc>
          <w:tcPr>
            <w:tcW w:w="220" w:type="dxa"/>
            <w:vAlign w:val="bottom"/>
          </w:tcPr>
          <w:p>
            <w:pPr>
              <w:spacing w:after="0"/>
              <w:rPr>
                <w:sz w:val="20"/>
                <w:szCs w:val="20"/>
                <w:color w:val="auto"/>
              </w:rPr>
            </w:pPr>
          </w:p>
        </w:tc>
        <w:tc>
          <w:tcPr>
            <w:tcW w:w="3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14408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1440815" cy="17145"/>
                    </a:xfrm>
                    <a:prstGeom prst="rect">
                      <a:avLst/>
                    </a:prstGeom>
                    <a:noFill/>
                  </pic:spPr>
                </pic:pic>
              </a:graphicData>
            </a:graphic>
          </wp:anchor>
        </w:drawing>
      </w:r>
    </w:p>
    <w:p>
      <w:pPr>
        <w:spacing w:after="0" w:line="398" w:lineRule="exact"/>
        <w:rPr>
          <w:sz w:val="20"/>
          <w:szCs w:val="20"/>
          <w:color w:val="auto"/>
        </w:rPr>
      </w:pPr>
    </w:p>
    <w:p>
      <w:pPr>
        <w:ind w:left="320" w:hanging="311"/>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25" w:lineRule="exact"/>
        <w:rPr>
          <w:sz w:val="20"/>
          <w:szCs w:val="20"/>
          <w:color w:val="auto"/>
        </w:rPr>
      </w:pPr>
    </w:p>
    <w:p>
      <w:pPr>
        <w:ind w:left="340" w:right="120" w:hanging="331"/>
        <w:spacing w:after="0" w:line="264" w:lineRule="auto"/>
        <w:tabs>
          <w:tab w:leader="none" w:pos="331" w:val="left"/>
        </w:tabs>
        <w:numPr>
          <w:ilvl w:val="0"/>
          <w:numId w:val="44"/>
        </w:numPr>
        <w:rPr>
          <w:rFonts w:ascii="Arial" w:cs="Arial" w:eastAsia="Arial" w:hAnsi="Arial"/>
          <w:sz w:val="18"/>
          <w:szCs w:val="18"/>
          <w:color w:val="auto"/>
        </w:rPr>
      </w:pPr>
      <w:r>
        <w:rPr>
          <w:rFonts w:ascii="Arial" w:cs="Arial" w:eastAsia="Arial" w:hAnsi="Arial"/>
          <w:sz w:val="18"/>
          <w:szCs w:val="18"/>
          <w:color w:val="auto"/>
        </w:rPr>
        <w:t>Schedules and similar attachments have been omitted pursuant to Item 601(b)(2) of Regulation S-K. The Company will furnish supplementally a copy of any omitted schedule or similar attachment to the Securities and Exchange Commission upon request.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Certain portions of this document have been redacted pursuant to Regulation S-K, Item 601(b)(10)(iv).</w:t>
      </w:r>
    </w:p>
    <w:p>
      <w:pPr>
        <w:spacing w:after="0" w:line="225" w:lineRule="exact"/>
        <w:rPr>
          <w:sz w:val="20"/>
          <w:szCs w:val="20"/>
          <w:color w:val="auto"/>
        </w:rPr>
      </w:pPr>
    </w:p>
    <w:p>
      <w:pPr>
        <w:ind w:left="340" w:right="40" w:hanging="331"/>
        <w:spacing w:after="0" w:line="312" w:lineRule="auto"/>
        <w:tabs>
          <w:tab w:leader="none" w:pos="3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32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Brian E. Mueller</w:t>
      </w:r>
    </w:p>
    <w:p>
      <w:pPr>
        <w:spacing w:after="0" w:line="3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-130175</wp:posOffset>
            </wp:positionV>
            <wp:extent cx="269303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Dated: February 19, 2020</w:t>
      </w:r>
    </w:p>
    <w:p>
      <w:pPr>
        <w:spacing w:after="0" w:line="21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Brian E. Mueller, Daniel E. Bachus, and Dan Steimel,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9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4"/>
                <w:szCs w:val="14"/>
                <w:color w:val="auto"/>
              </w:rPr>
            </w:pPr>
          </w:p>
        </w:tc>
        <w:tc>
          <w:tcPr>
            <w:tcW w:w="2520" w:type="dxa"/>
            <w:vAlign w:val="bottom"/>
          </w:tcPr>
          <w:p>
            <w:pPr>
              <w:ind w:left="1120"/>
              <w:spacing w:after="0"/>
              <w:rPr>
                <w:sz w:val="20"/>
                <w:szCs w:val="20"/>
                <w:color w:val="auto"/>
              </w:rPr>
            </w:pPr>
            <w:r>
              <w:rPr>
                <w:rFonts w:ascii="Arial" w:cs="Arial" w:eastAsia="Arial" w:hAnsi="Arial"/>
                <w:sz w:val="14"/>
                <w:szCs w:val="14"/>
                <w:b w:val="1"/>
                <w:bCs w:val="1"/>
                <w:color w:val="auto"/>
              </w:rPr>
              <w:t>Date</w:t>
            </w: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426"/>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 Mueller</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22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Bachus</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Daniel E. Bachus</w:t>
            </w:r>
          </w:p>
        </w:tc>
        <w:tc>
          <w:tcPr>
            <w:tcW w:w="22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Lori Browning</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SVP, Controller –Chief Accounting Officer</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Lori Browning</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R. Dial</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Johnson</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A. Henry</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Lisa Graham Keegan</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Lisa Graham Keegan</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18"/>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Chevy Humphrey</w:t>
            </w:r>
          </w:p>
        </w:tc>
        <w:tc>
          <w:tcPr>
            <w:tcW w:w="2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740" w:type="dxa"/>
            <w:vAlign w:val="bottom"/>
            <w:gridSpan w:val="2"/>
          </w:tcPr>
          <w:p>
            <w:pPr>
              <w:ind w:left="220"/>
              <w:spacing w:after="0"/>
              <w:rPr>
                <w:sz w:val="20"/>
                <w:szCs w:val="20"/>
                <w:color w:val="auto"/>
              </w:rPr>
            </w:pPr>
            <w:r>
              <w:rPr>
                <w:rFonts w:ascii="Arial" w:cs="Arial" w:eastAsia="Arial" w:hAnsi="Arial"/>
                <w:sz w:val="18"/>
                <w:szCs w:val="18"/>
                <w:color w:val="auto"/>
              </w:rPr>
              <w:t>February 19,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Chevy Humphrey</w:t>
            </w:r>
          </w:p>
        </w:tc>
        <w:tc>
          <w:tcPr>
            <w:tcW w:w="2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60"/>
          </w:cols>
          <w:pgMar w:left="1420" w:top="517"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517" w:right="141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4.2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GRAND CANYON EDUCATION, INC.’S COMMON STOCK</w:t>
      </w:r>
    </w:p>
    <w:p>
      <w:pPr>
        <w:spacing w:after="0" w:line="20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i w:val="1"/>
          <w:iCs w:val="1"/>
          <w:color w:val="auto"/>
        </w:rPr>
        <w:t>Grand Canyon Education, Inc. (“GCE,” “we,” “our,” or “us”) has one class of securities registered under Section 12 of the Securities Exchange Act of 1934, as amended: our common stock.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89"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The following description of our common stock is a summary. This summary is subject to the General Corporation Law of the State of Delaware (the “DGCL”) and the complete text of our amended and restated certificate of incorporation (our “charter”) and third amended and restated bylaws (our “bylaws”) filed as exhibits to our Annual Report on Form 10-K. We encourage you to read the applicable portion of the DGCL and those documents carefully.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charter authorizes 100,000,000 shares of common stock, $0.01 par value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Holders of our common stock are entitled to one vote per share on any matter to be voted upon by stockholders, including the election of directors. Common stockholders do not have cumulative voting rights in the election of directors. Accordingly, in an uncontested election, holders of a majority of the voting shares are able to elect all of the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8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Subject to the prior rights of holders of preferred stock, for as long as such stock is outstanding, the holders of common stock are entitled to receive ratably any dividends when and as declared from time to time by our Board of Directors out of funds legally available for dividends.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w:t>
      </w:r>
    </w:p>
    <w:p>
      <w:pPr>
        <w:spacing w:after="0" w:line="18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Upon a liquidation or dissolution of our company, whether voluntary or involuntary, holders of our common stock will be entitled to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and Preferences</w:t>
      </w:r>
    </w:p>
    <w:p>
      <w:pPr>
        <w:spacing w:after="0" w:line="202"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 The rights, preferences and privileges that may be granted to holders of our preferred stock, were we to issue such preferred stock, could include dividend rights, conversion rights, voting rights, terms of redemption, liquidation preferences, sinking fund terms and the number of shares constituting any series or the designation of such series, any or all of which may be greater than the rights of common stock. Our issuance of preferred stock could adversely affect the voting power of holders of common stock and the likelihood that such holders will receive dividend payments and payments upon liquidation.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 Paid and Nonassessable</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outstanding shares of our common stock are fully paid and non-assessable.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8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bylaws provide that the Court of Chancery of the State of Delaware will be the exclusive forum for any derivative action or proceeding brought on our behalf, any action asserting a claim of breach of a fiduciary duty owed by any of our directors or officers to GCE or to GCE’s stockholders, any action asserting a claim against us arising pursuant to any provision of the DGCL, our charter or our bylaws, or any action asserting a claim against us governed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814070</wp:posOffset>
            </wp:positionV>
            <wp:extent cx="638873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97" w:name="page98"/>
    <w:bookmarkEnd w:id="97"/>
    <w:p>
      <w:pPr>
        <w:ind w:right="180"/>
        <w:spacing w:after="0" w:line="277" w:lineRule="auto"/>
        <w:rPr>
          <w:sz w:val="20"/>
          <w:szCs w:val="20"/>
          <w:color w:val="auto"/>
        </w:rPr>
      </w:pPr>
      <w:r>
        <w:rPr>
          <w:rFonts w:ascii="Arial" w:cs="Arial" w:eastAsia="Arial" w:hAnsi="Arial"/>
          <w:sz w:val="18"/>
          <w:szCs w:val="18"/>
          <w:color w:val="auto"/>
        </w:rPr>
        <w:t>internal affairs doctrine. Although our bylaws contain the choice of forum provision described above, it is possible that a court could find that such a provision is inapplicable for a particular claim or action or that such provision is unenforceable.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Charter and Bylaw Provisions</w:t>
      </w:r>
    </w:p>
    <w:p>
      <w:pPr>
        <w:spacing w:after="0" w:line="20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Our charter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4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charter provides for 10,000,000 authorized shares of preferred stock. The existence of authorized</w:t>
      </w:r>
      <w:r>
        <w:rPr>
          <w:rFonts w:ascii="Arial" w:cs="Arial" w:eastAsia="Arial" w:hAnsi="Arial"/>
          <w:sz w:val="16"/>
          <w:szCs w:val="16"/>
          <w:i w:val="1"/>
          <w:iCs w:val="1"/>
          <w:color w:val="auto"/>
        </w:rPr>
        <w:t xml:space="preserve"> </w:t>
      </w:r>
      <w:r>
        <w:rPr>
          <w:rFonts w:ascii="Arial" w:cs="Arial" w:eastAsia="Arial" w:hAnsi="Arial"/>
          <w:sz w:val="16"/>
          <w:szCs w:val="16"/>
          <w:color w:val="auto"/>
        </w:rPr>
        <w:t>but unissued shares of preferred stock may enable our Board of Directors to issue preferred stock with voting or other rights or preferences that could impede the success of any attempt to obtain control of us by means of a merger, tender offer, proxy contest, or otherwise.</w:t>
      </w:r>
    </w:p>
    <w:p>
      <w:pPr>
        <w:spacing w:after="0" w:line="106"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charter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9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Meetings of Stockholders. </w:t>
      </w:r>
      <w:r>
        <w:rPr>
          <w:rFonts w:ascii="Arial" w:cs="Arial" w:eastAsia="Arial" w:hAnsi="Arial"/>
          <w:sz w:val="18"/>
          <w:szCs w:val="18"/>
          <w:color w:val="auto"/>
        </w:rPr>
        <w:t>Our bylaws provide that only a majority of the members of our Board of Directors then in office may call</w:t>
      </w:r>
      <w:r>
        <w:rPr>
          <w:rFonts w:ascii="Arial" w:cs="Arial" w:eastAsia="Arial" w:hAnsi="Arial"/>
          <w:sz w:val="18"/>
          <w:szCs w:val="18"/>
          <w:i w:val="1"/>
          <w:iCs w:val="1"/>
          <w:color w:val="auto"/>
        </w:rPr>
        <w:t xml:space="preserve"> </w:t>
      </w:r>
      <w:r>
        <w:rPr>
          <w:rFonts w:ascii="Arial" w:cs="Arial" w:eastAsia="Arial" w:hAnsi="Arial"/>
          <w:sz w:val="18"/>
          <w:szCs w:val="18"/>
          <w:color w:val="auto"/>
        </w:rPr>
        <w:t>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46"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i w:val="1"/>
          <w:iCs w:val="1"/>
          <w:color w:val="auto"/>
        </w:rPr>
        <w:t xml:space="preserve">Advance Notice Requirements. </w:t>
      </w:r>
      <w:r>
        <w:rPr>
          <w:rFonts w:ascii="Arial" w:cs="Arial" w:eastAsia="Arial" w:hAnsi="Arial"/>
          <w:sz w:val="18"/>
          <w:szCs w:val="18"/>
          <w:color w:val="auto"/>
        </w:rPr>
        <w:t>Our bylaws establish advance notice procedures with regard to stockholder proposals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nomination of candidates for election as directors or new business to be brought before meetings of our stockholders. Generally, stockholder proposals must be received not less than 90 days nor more than 120 days prior to the first anniversary date of the annual meeting for the preceding year.</w:t>
      </w:r>
    </w:p>
    <w:p>
      <w:pPr>
        <w:spacing w:after="0" w:line="14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Board Composition and Election of Directors. </w:t>
      </w:r>
      <w:r>
        <w:rPr>
          <w:rFonts w:ascii="Arial" w:cs="Arial" w:eastAsia="Arial" w:hAnsi="Arial"/>
          <w:sz w:val="16"/>
          <w:szCs w:val="16"/>
          <w:color w:val="auto"/>
        </w:rPr>
        <w:t>Our bylaws provide that the Board of Directors shall fix the number of directors from</w:t>
      </w:r>
      <w:r>
        <w:rPr>
          <w:rFonts w:ascii="Arial" w:cs="Arial" w:eastAsia="Arial" w:hAnsi="Arial"/>
          <w:sz w:val="16"/>
          <w:szCs w:val="16"/>
          <w:i w:val="1"/>
          <w:iCs w:val="1"/>
          <w:color w:val="auto"/>
        </w:rPr>
        <w:t xml:space="preserve"> </w:t>
      </w:r>
      <w:r>
        <w:rPr>
          <w:rFonts w:ascii="Arial" w:cs="Arial" w:eastAsia="Arial" w:hAnsi="Arial"/>
          <w:sz w:val="16"/>
          <w:szCs w:val="16"/>
          <w:color w:val="auto"/>
        </w:rPr>
        <w:t>time to time pursuant to a resolution adopted by a majority of the total number of then authorized directors (whether or not any vacancies in the previously authorized directorships exist at the time such resolution is to be adopted). Our bylaws provide that each director will be elected by the affirmative vote of a majority of the votes cast with respect to such director by the shares represented and entitled to vote at a meeting of the stockholders for the election of directors at which a quorum is present, voting together as a single class. If a director then serving on the Board of Directors does not receive the required majority, the director would be required to tender his or her resignation to the Board of Directors. The Nominating and Corporate Governance Committee or other committee that may be designated by the Board of Directors, would then make a recommendation to the Board of Directors on whether to accept or reject the resignation, or whether other action should be taken and the Board of Directors would act on such committee’s recommendation and publicly disclose its decision and the rationale behind it within 90 days after the date of the certification of the election results.</w:t>
      </w:r>
    </w:p>
    <w:p>
      <w:pPr>
        <w:spacing w:after="0" w:line="142"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 xml:space="preserve">Removal of Directors and Filling Vacancies. </w:t>
      </w:r>
      <w:r>
        <w:rPr>
          <w:rFonts w:ascii="Arial" w:cs="Arial" w:eastAsia="Arial" w:hAnsi="Arial"/>
          <w:sz w:val="18"/>
          <w:szCs w:val="18"/>
          <w:color w:val="auto"/>
        </w:rPr>
        <w:t>Our bylaws provide that directors may be removed with or without cause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affirmative vote of the holders of a majority of the voting power of all the outstanding shares of capital stock entitled to vote generally in the election of directors voting together as a single class.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48"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i w:val="1"/>
          <w:iCs w:val="1"/>
          <w:color w:val="auto"/>
        </w:rPr>
        <w:t xml:space="preserve">Amendment to Bylaws and Charter. </w:t>
      </w:r>
      <w:r>
        <w:rPr>
          <w:rFonts w:ascii="Arial" w:cs="Arial" w:eastAsia="Arial" w:hAnsi="Arial"/>
          <w:sz w:val="17"/>
          <w:szCs w:val="17"/>
          <w:color w:val="auto"/>
        </w:rPr>
        <w:t>As required by the DGCL, any amendment of our charter must first be approved by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and, if required by law or our charter,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and the amendment of our bylaws and charter must be approved by no less than 66 and 2/3 percent of the voting power of all of the shares of capital stock issued and outstanding and entitled to vote generally in any election of directors, voting together as a single class. Our bylaws may be amended by the affirmative vote of a majority vote of the directors then in office, subject to any limitations set forth in the bylaws; and may also be amended by the affirmative vote of at least 66 and 2/3 percent of the voting power of all of the shares of capital stock issued and outstanding and entitled to vote generally in any election of directors, voting together as a single class.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Section 203 of the Delaware General Corporate Law</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Section 203 of the DGCL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our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Director Liability and Indemnification Directors, Officers and Employees</w:t>
      </w:r>
    </w:p>
    <w:p>
      <w:pPr>
        <w:spacing w:after="0" w:line="189" w:lineRule="exact"/>
        <w:rPr>
          <w:sz w:val="20"/>
          <w:szCs w:val="20"/>
          <w:color w:val="auto"/>
        </w:rPr>
      </w:pPr>
    </w:p>
    <w:p>
      <w:pPr>
        <w:ind w:right="100" w:firstLine="324"/>
        <w:spacing w:after="0" w:line="297" w:lineRule="auto"/>
        <w:rPr>
          <w:sz w:val="20"/>
          <w:szCs w:val="20"/>
          <w:color w:val="auto"/>
        </w:rPr>
      </w:pPr>
      <w:r>
        <w:rPr>
          <w:rFonts w:ascii="Arial" w:cs="Arial" w:eastAsia="Arial" w:hAnsi="Arial"/>
          <w:sz w:val="16"/>
          <w:szCs w:val="16"/>
          <w:color w:val="auto"/>
        </w:rPr>
        <w:t>As permitted by the DGCL, provisions in our charter and bylaws limit or eliminate the personal liability of our directors. Consequently, directors will not be personally liable to us or our stockholders for monetary damages or breach of fiduciary duty as a director, except for liability for any breach of the director’s duty of loyalty to us or our stockholders, any act or omission not in good faith or that involves intentional misconduct or a knowing violation of law, any unlawful payments related to dividends or unlawful stock repurchases, redemptions or other distributions, or any transaction from which the director derived an improper personal benefit.</w:t>
      </w:r>
    </w:p>
    <w:p>
      <w:pPr>
        <w:spacing w:after="0" w:line="118"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In addition, our bylaws provide that we will indemnify our directors, officers and, in the discretion of our Board of Directors, certain employees, to the fullest extent permitted by the DGCL, subject to limited exceptions, including an exception for indemnification in connection with a proceeding (or counterclaim) initiated by such persons. our bylaws also provide that we will advance expenses, including attorneys’ fees, to our directors and, in the discretion of our Board of Directors, certain officers and employees, in connection with legal proceedings, subject to limited exceptions.</w:t>
      </w:r>
    </w:p>
    <w:p>
      <w:pPr>
        <w:spacing w:after="0" w:line="161"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We have entered into indemnification agreements with each of our executive officers and directors. These agreements provide that, subject to limited exceptions and among other things, we will indemnify each of our executive officers and directors to the fullest extent permitted by law and advance expenses to each indemnitee in connection with any proceeding in which a right to indemnification is available.</w:t>
      </w:r>
    </w:p>
    <w:p>
      <w:pPr>
        <w:spacing w:after="0" w:line="146"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maintain general liability insurance that covers certain liabilities of our directors and officers arising out of claims based on acts or omissions in their capacities as directors or officers, including liabilities under the Securities Act. Insofar as indemnification for liabilities arising under the Securities Act may be permitted to directors, officers, or persons who control GCE,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These provisions may discourage stockholders from bringing a lawsuit against our directors for breach of their fiduciary duty. These provisions may also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common stock is listed on the Nasdaq Global Market under the symbol “LOPE.”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57"/>
        </w:trPr>
        <w:tc>
          <w:tcPr>
            <w:tcW w:w="6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tcPr>
          <w:p>
            <w:pPr>
              <w:ind w:left="1720"/>
              <w:spacing w:after="0"/>
              <w:rPr>
                <w:sz w:val="20"/>
                <w:szCs w:val="20"/>
                <w:color w:val="auto"/>
              </w:rPr>
            </w:pPr>
            <w:r>
              <w:rPr>
                <w:rFonts w:ascii="Arial" w:cs="Arial" w:eastAsia="Arial" w:hAnsi="Arial"/>
                <w:sz w:val="20"/>
                <w:szCs w:val="20"/>
                <w:b w:val="1"/>
                <w:bCs w:val="1"/>
                <w:color w:val="auto"/>
                <w:w w:val="89"/>
              </w:rPr>
              <w:t>Exhibit 21.0</w:t>
            </w:r>
          </w:p>
        </w:tc>
      </w:tr>
      <w:tr>
        <w:trPr>
          <w:trHeight w:val="442"/>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Subsidiaries of Registrant</w:t>
            </w:r>
          </w:p>
        </w:tc>
        <w:tc>
          <w:tcPr>
            <w:tcW w:w="220" w:type="dxa"/>
            <w:vAlign w:val="bottom"/>
          </w:tcPr>
          <w:p>
            <w:pPr>
              <w:spacing w:after="0"/>
              <w:rPr>
                <w:sz w:val="24"/>
                <w:szCs w:val="24"/>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Jurisdiction of Incorporation</w:t>
            </w:r>
          </w:p>
        </w:tc>
      </w:tr>
      <w:tr>
        <w:trPr>
          <w:trHeight w:val="422"/>
        </w:trPr>
        <w:tc>
          <w:tcPr>
            <w:tcW w:w="6320" w:type="dxa"/>
            <w:vAlign w:val="bottom"/>
            <w:gridSpan w:val="2"/>
          </w:tcPr>
          <w:p>
            <w:pPr>
              <w:spacing w:after="0"/>
              <w:rPr>
                <w:sz w:val="20"/>
                <w:szCs w:val="20"/>
                <w:color w:val="auto"/>
              </w:rPr>
            </w:pPr>
            <w:r>
              <w:rPr>
                <w:rFonts w:ascii="Arial" w:cs="Arial" w:eastAsia="Arial" w:hAnsi="Arial"/>
                <w:sz w:val="20"/>
                <w:szCs w:val="20"/>
                <w:color w:val="auto"/>
              </w:rPr>
              <w:t>Orbis Education Services, LLC</w:t>
            </w:r>
          </w:p>
        </w:tc>
        <w:tc>
          <w:tcPr>
            <w:tcW w:w="274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30"/>
        </w:trPr>
        <w:tc>
          <w:tcPr>
            <w:tcW w:w="6320" w:type="dxa"/>
            <w:vAlign w:val="bottom"/>
            <w:gridSpan w:val="2"/>
          </w:tcPr>
          <w:p>
            <w:pPr>
              <w:spacing w:after="0"/>
              <w:rPr>
                <w:sz w:val="20"/>
                <w:szCs w:val="20"/>
                <w:color w:val="auto"/>
              </w:rPr>
            </w:pPr>
            <w:r>
              <w:rPr>
                <w:rFonts w:ascii="Arial" w:cs="Arial" w:eastAsia="Arial" w:hAnsi="Arial"/>
                <w:sz w:val="20"/>
                <w:szCs w:val="20"/>
                <w:color w:val="auto"/>
              </w:rPr>
              <w:t>GC Education, Inc.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spacing w:after="0"/>
              <w:rPr>
                <w:sz w:val="20"/>
                <w:szCs w:val="20"/>
                <w:color w:val="auto"/>
              </w:rPr>
            </w:pPr>
            <w:r>
              <w:rPr>
                <w:rFonts w:ascii="Arial" w:cs="Arial" w:eastAsia="Arial" w:hAnsi="Arial"/>
                <w:sz w:val="20"/>
                <w:szCs w:val="20"/>
                <w:color w:val="auto"/>
              </w:rPr>
              <w:t>Tierra Vista Inversiones, LLC</w:t>
            </w:r>
          </w:p>
        </w:tc>
        <w:tc>
          <w:tcPr>
            <w:tcW w:w="2740" w:type="dxa"/>
            <w:vAlign w:val="bottom"/>
          </w:tcPr>
          <w:p>
            <w:pPr>
              <w:jc w:val="center"/>
              <w:spacing w:after="0"/>
              <w:rPr>
                <w:sz w:val="20"/>
                <w:szCs w:val="20"/>
                <w:color w:val="auto"/>
              </w:rPr>
            </w:pPr>
            <w:r>
              <w:rPr>
                <w:rFonts w:ascii="Arial" w:cs="Arial" w:eastAsia="Arial" w:hAnsi="Arial"/>
                <w:sz w:val="20"/>
                <w:szCs w:val="20"/>
                <w:color w:val="auto"/>
                <w:w w:val="93"/>
              </w:rPr>
              <w:t>DE</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Nueva Ventura,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Casa de Amistad,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Amigos de Torrejon,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Piedras Bonitas Inversiones,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La Sonrisa de Siena,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Nuevo Comienzo,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El Vecino de Amigos,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La Fuente de la Comunidad,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Rentwise Properties,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3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Mid-State Rental Properties,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250"/>
        </w:trPr>
        <w:tc>
          <w:tcPr>
            <w:tcW w:w="6320" w:type="dxa"/>
            <w:vAlign w:val="bottom"/>
            <w:gridSpan w:val="2"/>
          </w:tcPr>
          <w:p>
            <w:pPr>
              <w:ind w:left="660"/>
              <w:spacing w:after="0"/>
              <w:rPr>
                <w:sz w:val="20"/>
                <w:szCs w:val="20"/>
                <w:color w:val="auto"/>
              </w:rPr>
            </w:pPr>
            <w:r>
              <w:rPr>
                <w:rFonts w:ascii="Arial" w:cs="Arial" w:eastAsia="Arial" w:hAnsi="Arial"/>
                <w:sz w:val="20"/>
                <w:szCs w:val="20"/>
                <w:color w:val="auto"/>
              </w:rPr>
              <w:t>REG 5160, LLC</w:t>
            </w:r>
          </w:p>
        </w:tc>
        <w:tc>
          <w:tcPr>
            <w:tcW w:w="2740" w:type="dxa"/>
            <w:vAlign w:val="bottom"/>
          </w:tcPr>
          <w:p>
            <w:pPr>
              <w:jc w:val="center"/>
              <w:spacing w:after="0"/>
              <w:rPr>
                <w:sz w:val="20"/>
                <w:szCs w:val="20"/>
                <w:color w:val="auto"/>
              </w:rPr>
            </w:pPr>
            <w:r>
              <w:rPr>
                <w:rFonts w:ascii="Arial" w:cs="Arial" w:eastAsia="Arial" w:hAnsi="Arial"/>
                <w:sz w:val="20"/>
                <w:szCs w:val="20"/>
                <w:color w:val="auto"/>
              </w:rPr>
              <w:t>AZ</w:t>
            </w:r>
          </w:p>
        </w:tc>
      </w:tr>
      <w:tr>
        <w:trPr>
          <w:trHeight w:val="773"/>
        </w:trPr>
        <w:tc>
          <w:tcPr>
            <w:tcW w:w="6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6" w:right="1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Grand Canyon Education, Inc.:</w:t>
      </w:r>
    </w:p>
    <w:p>
      <w:pPr>
        <w:spacing w:after="0" w:line="171" w:lineRule="exact"/>
        <w:rPr>
          <w:sz w:val="20"/>
          <w:szCs w:val="20"/>
          <w:color w:val="auto"/>
        </w:rPr>
      </w:pPr>
    </w:p>
    <w:p>
      <w:pPr>
        <w:ind w:right="60"/>
        <w:spacing w:after="0" w:line="204" w:lineRule="exact"/>
        <w:rPr>
          <w:sz w:val="20"/>
          <w:szCs w:val="20"/>
          <w:color w:val="auto"/>
        </w:rPr>
      </w:pPr>
      <w:r>
        <w:rPr>
          <w:rFonts w:ascii="Arial" w:cs="Arial" w:eastAsia="Arial" w:hAnsi="Arial"/>
          <w:sz w:val="18"/>
          <w:szCs w:val="18"/>
          <w:color w:val="auto"/>
        </w:rPr>
        <w:t>We consent to the incorporation by reference in the registration statement (Nos. 333</w:t>
      </w:r>
      <w:r>
        <w:rPr>
          <w:rFonts w:ascii="MS PGothic" w:cs="MS PGothic" w:eastAsia="MS PGothic" w:hAnsi="MS PGothic"/>
          <w:sz w:val="18"/>
          <w:szCs w:val="18"/>
          <w:color w:val="auto"/>
        </w:rPr>
        <w:t>‑</w:t>
      </w:r>
      <w:r>
        <w:rPr>
          <w:rFonts w:ascii="Arial" w:cs="Arial" w:eastAsia="Arial" w:hAnsi="Arial"/>
          <w:sz w:val="18"/>
          <w:szCs w:val="18"/>
          <w:color w:val="auto"/>
        </w:rPr>
        <w:t>155973, 333</w:t>
      </w:r>
      <w:r>
        <w:rPr>
          <w:rFonts w:ascii="MS PGothic" w:cs="MS PGothic" w:eastAsia="MS PGothic" w:hAnsi="MS PGothic"/>
          <w:sz w:val="18"/>
          <w:szCs w:val="18"/>
          <w:color w:val="auto"/>
        </w:rPr>
        <w:t>‑</w:t>
      </w:r>
      <w:r>
        <w:rPr>
          <w:rFonts w:ascii="Arial" w:cs="Arial" w:eastAsia="Arial" w:hAnsi="Arial"/>
          <w:sz w:val="18"/>
          <w:szCs w:val="18"/>
          <w:color w:val="auto"/>
        </w:rPr>
        <w:t>165019, 333</w:t>
      </w:r>
      <w:r>
        <w:rPr>
          <w:rFonts w:ascii="MS PGothic" w:cs="MS PGothic" w:eastAsia="MS PGothic" w:hAnsi="MS PGothic"/>
          <w:sz w:val="18"/>
          <w:szCs w:val="18"/>
          <w:color w:val="auto"/>
        </w:rPr>
        <w:t>‑</w:t>
      </w:r>
      <w:r>
        <w:rPr>
          <w:rFonts w:ascii="Arial" w:cs="Arial" w:eastAsia="Arial" w:hAnsi="Arial"/>
          <w:sz w:val="18"/>
          <w:szCs w:val="18"/>
          <w:color w:val="auto"/>
        </w:rPr>
        <w:t>179611, and 333-218740) on Form S-8 of Grand Canyon Education, Inc. of our reports dated February 19, 2020, with respect to the consolidated balance sheets of Grand Canyon Education, Inc. as of December 31, 2019 and 2018, the related consolidated statements of income, comprehensive income, stockholders’ equity,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Grand Canyon Education, Inc.</w:t>
      </w:r>
    </w:p>
    <w:p>
      <w:pPr>
        <w:spacing w:after="0" w:line="16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 xml:space="preserve">Our report dated February 19, 2020 refers to a change in the Company’s method of accounting for leases as of January 1, 2019 due to the adoption of ASU No. 2016-02, </w:t>
      </w:r>
      <w:r>
        <w:rPr>
          <w:rFonts w:ascii="Arial" w:cs="Arial" w:eastAsia="Arial" w:hAnsi="Arial"/>
          <w:sz w:val="18"/>
          <w:szCs w:val="18"/>
          <w:i w:val="1"/>
          <w:iCs w:val="1"/>
          <w:color w:val="auto"/>
        </w:rPr>
        <w:t>Leases (Topic 842).</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/s/ KPMG LLP</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rPr>
          <w:sz w:val="20"/>
          <w:szCs w:val="20"/>
          <w:color w:val="auto"/>
        </w:rPr>
      </w:pPr>
      <w:r>
        <w:rPr>
          <w:rFonts w:ascii="Arial" w:cs="Arial" w:eastAsia="Arial" w:hAnsi="Arial"/>
          <w:sz w:val="18"/>
          <w:szCs w:val="18"/>
          <w:color w:val="auto"/>
        </w:rPr>
        <w:t>February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340995</wp:posOffset>
            </wp:positionV>
            <wp:extent cx="584898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5848985" cy="26035"/>
                    </a:xfrm>
                    <a:prstGeom prst="rect">
                      <a:avLst/>
                    </a:prstGeom>
                    <a:noFill/>
                  </pic:spPr>
                </pic:pic>
              </a:graphicData>
            </a:graphic>
          </wp:anchor>
        </w:drawing>
      </w:r>
    </w:p>
    <w:p>
      <w:pPr>
        <w:sectPr>
          <w:pgSz w:w="11900" w:h="16838" w:orient="portrait"/>
          <w:cols w:equalWidth="0" w:num="1">
            <w:col w:w="9220"/>
          </w:cols>
          <w:pgMar w:left="1440" w:top="118" w:right="1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right="700" w:firstLine="444"/>
        <w:spacing w:after="0" w:line="277" w:lineRule="auto"/>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Grand Canyon Education, Inc.;</w:t>
      </w:r>
    </w:p>
    <w:p>
      <w:pPr>
        <w:spacing w:after="0" w:line="170" w:lineRule="exact"/>
        <w:rPr>
          <w:rFonts w:ascii="Arial" w:cs="Arial" w:eastAsia="Arial" w:hAnsi="Arial"/>
          <w:sz w:val="18"/>
          <w:szCs w:val="18"/>
          <w:color w:val="auto"/>
        </w:rPr>
      </w:pPr>
    </w:p>
    <w:p>
      <w:pPr>
        <w:ind w:right="160" w:firstLine="444"/>
        <w:spacing w:after="0" w:line="264" w:lineRule="auto"/>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0" w:firstLine="444"/>
        <w:spacing w:after="0" w:line="264" w:lineRule="auto"/>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right="100" w:firstLine="444"/>
        <w:spacing w:after="0" w:line="286" w:lineRule="auto"/>
        <w:tabs>
          <w:tab w:leader="none" w:pos="62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right="160" w:firstLine="884"/>
        <w:spacing w:after="0" w:line="259" w:lineRule="auto"/>
        <w:tabs>
          <w:tab w:leader="none" w:pos="10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firstLine="884"/>
        <w:spacing w:after="0" w:line="312" w:lineRule="auto"/>
        <w:tabs>
          <w:tab w:leader="none" w:pos="107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jc w:val="both"/>
        <w:ind w:right="120" w:firstLine="884"/>
        <w:spacing w:after="0" w:line="264" w:lineRule="auto"/>
        <w:tabs>
          <w:tab w:leader="none" w:pos="10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100" w:firstLine="884"/>
        <w:spacing w:after="0" w:line="312" w:lineRule="auto"/>
        <w:tabs>
          <w:tab w:leader="none" w:pos="1076"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right="180" w:firstLine="444"/>
        <w:spacing w:after="0" w:line="264" w:lineRule="auto"/>
        <w:tabs>
          <w:tab w:leader="none" w:pos="6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200" w:firstLine="884"/>
        <w:spacing w:after="0" w:line="264" w:lineRule="auto"/>
        <w:tabs>
          <w:tab w:leader="none" w:pos="106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right="80" w:firstLine="884"/>
        <w:spacing w:after="0" w:line="277" w:lineRule="auto"/>
        <w:tabs>
          <w:tab w:leader="none" w:pos="1076"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Date: February 19, 2020</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1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1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574"/>
        </w:trPr>
        <w:tc>
          <w:tcPr>
            <w:tcW w:w="41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right="700" w:firstLine="444"/>
        <w:spacing w:after="0" w:line="277" w:lineRule="auto"/>
        <w:tabs>
          <w:tab w:leader="none" w:pos="6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2019 of Grand Canyon Education, Inc.;</w:t>
      </w:r>
    </w:p>
    <w:p>
      <w:pPr>
        <w:spacing w:after="0" w:line="170" w:lineRule="exact"/>
        <w:rPr>
          <w:rFonts w:ascii="Arial" w:cs="Arial" w:eastAsia="Arial" w:hAnsi="Arial"/>
          <w:sz w:val="18"/>
          <w:szCs w:val="18"/>
          <w:color w:val="auto"/>
        </w:rPr>
      </w:pPr>
    </w:p>
    <w:p>
      <w:pPr>
        <w:ind w:right="160" w:firstLine="444"/>
        <w:spacing w:after="0" w:line="264" w:lineRule="auto"/>
        <w:tabs>
          <w:tab w:leader="none" w:pos="6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200" w:firstLine="444"/>
        <w:spacing w:after="0" w:line="264" w:lineRule="auto"/>
        <w:tabs>
          <w:tab w:leader="none" w:pos="6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right="100" w:firstLine="444"/>
        <w:spacing w:after="0" w:line="286" w:lineRule="auto"/>
        <w:tabs>
          <w:tab w:leader="none" w:pos="62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right="160" w:firstLine="884"/>
        <w:spacing w:after="0" w:line="259" w:lineRule="auto"/>
        <w:tabs>
          <w:tab w:leader="none" w:pos="1066"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firstLine="884"/>
        <w:spacing w:after="0" w:line="312" w:lineRule="auto"/>
        <w:tabs>
          <w:tab w:leader="none" w:pos="1076"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Arial" w:cs="Arial" w:eastAsia="Arial" w:hAnsi="Arial"/>
          <w:sz w:val="16"/>
          <w:szCs w:val="16"/>
          <w:color w:val="auto"/>
        </w:rPr>
      </w:pPr>
    </w:p>
    <w:p>
      <w:pPr>
        <w:jc w:val="both"/>
        <w:ind w:right="120" w:firstLine="884"/>
        <w:spacing w:after="0" w:line="264" w:lineRule="auto"/>
        <w:tabs>
          <w:tab w:leader="none" w:pos="1066"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right="100" w:firstLine="884"/>
        <w:spacing w:after="0" w:line="312" w:lineRule="auto"/>
        <w:tabs>
          <w:tab w:leader="none" w:pos="1076"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6"/>
          <w:szCs w:val="16"/>
          <w:color w:val="auto"/>
        </w:rPr>
      </w:pPr>
    </w:p>
    <w:p>
      <w:pPr>
        <w:ind w:right="180" w:firstLine="444"/>
        <w:spacing w:after="0" w:line="264" w:lineRule="auto"/>
        <w:tabs>
          <w:tab w:leader="none" w:pos="62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right="200" w:firstLine="884"/>
        <w:spacing w:after="0" w:line="264" w:lineRule="auto"/>
        <w:tabs>
          <w:tab w:leader="none" w:pos="106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right="80" w:firstLine="884"/>
        <w:spacing w:after="0" w:line="277" w:lineRule="auto"/>
        <w:tabs>
          <w:tab w:leader="none" w:pos="107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February 19,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574"/>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In connection with the Annual Report on Form 10-K of Grand Canyon Education, Inc. (the “Company”) for the year ending December 31, 2019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54" w:lineRule="exact"/>
        <w:rPr>
          <w:sz w:val="20"/>
          <w:szCs w:val="20"/>
          <w:color w:val="auto"/>
        </w:rPr>
      </w:pPr>
    </w:p>
    <w:p>
      <w:pPr>
        <w:ind w:left="440" w:right="80" w:hanging="438"/>
        <w:spacing w:after="0" w:line="277" w:lineRule="auto"/>
        <w:tabs>
          <w:tab w:leader="none" w:pos="4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40" w:right="160" w:hanging="438"/>
        <w:spacing w:after="0" w:line="277" w:lineRule="auto"/>
        <w:tabs>
          <w:tab w:leader="none" w:pos="47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8816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357505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In connection with the Annual Report on Form 10-K of Grand Canyon Education, Inc. (the “Company”) for the year ending December 31, 2019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54" w:lineRule="exact"/>
        <w:rPr>
          <w:sz w:val="20"/>
          <w:szCs w:val="20"/>
          <w:color w:val="auto"/>
        </w:rPr>
      </w:pPr>
    </w:p>
    <w:p>
      <w:pPr>
        <w:ind w:left="440" w:right="80" w:hanging="438"/>
        <w:spacing w:after="0" w:line="277" w:lineRule="auto"/>
        <w:tabs>
          <w:tab w:leader="none" w:pos="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or 78o); and</w:t>
      </w:r>
    </w:p>
    <w:p>
      <w:pPr>
        <w:spacing w:after="0" w:line="170" w:lineRule="exact"/>
        <w:rPr>
          <w:rFonts w:ascii="Arial" w:cs="Arial" w:eastAsia="Arial" w:hAnsi="Arial"/>
          <w:sz w:val="18"/>
          <w:szCs w:val="18"/>
          <w:color w:val="auto"/>
        </w:rPr>
      </w:pPr>
    </w:p>
    <w:p>
      <w:pPr>
        <w:ind w:left="440" w:right="160" w:hanging="438"/>
        <w:spacing w:after="0" w:line="277" w:lineRule="auto"/>
        <w:tabs>
          <w:tab w:leader="none" w:pos="47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8816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502920</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o"/>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1)"/>
      <w:numFmt w:val="decimal"/>
      <w:start w:val="1"/>
    </w:lvl>
  </w:abstractNum>
  <w:abstractNum w:abstractNumId="27">
    <w:nsid w:val="2463B9EA"/>
    <w:multiLevelType w:val="hybridMultilevel"/>
    <w:lvl w:ilvl="0">
      <w:lvlJc w:val="left"/>
      <w:lvlText w:val="(%1)"/>
      <w:numFmt w:val="decimal"/>
      <w:start w:val="2"/>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1)"/>
      <w:numFmt w:val="lowerLetter"/>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decimal"/>
      <w:start w:val="2"/>
    </w:lvl>
    <w:lvl w:ilvl="1">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1)"/>
      <w:numFmt w:val="decimal"/>
      <w:start w:val="1"/>
    </w:lvl>
  </w:abstractNum>
  <w:abstractNum w:abstractNumId="36">
    <w:nsid w:val="2A487CB0"/>
    <w:multiLevelType w:val="hybridMultilevel"/>
    <w:lvl w:ilvl="0">
      <w:lvlJc w:val="left"/>
      <w:lvlText w:val="(%1)"/>
      <w:numFmt w:val="decimal"/>
      <w:start w:val="1"/>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lowerRoman"/>
      <w:start w:val="1"/>
    </w:lvl>
  </w:abstractNum>
  <w:abstractNum w:abstractNumId="40">
    <w:nsid w:val="57E4CCAF"/>
    <w:multiLevelType w:val="hybridMultilevel"/>
    <w:lvl w:ilvl="0">
      <w:lvlJc w:val="left"/>
      <w:lvlText w:val="%1."/>
      <w:numFmt w:val="decimal"/>
      <w:start w:val="2"/>
    </w:lvl>
  </w:abstractNum>
  <w:abstractNum w:abstractNumId="41">
    <w:nsid w:val="7A6D8D3C"/>
    <w:multiLevelType w:val="hybridMultilevel"/>
    <w:lvl w:ilvl="0">
      <w:lvlJc w:val="left"/>
      <w:lvlText w:val="%1."/>
      <w:numFmt w:val="decimal"/>
      <w:start w:val="3"/>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10"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9" Type="http://schemas.openxmlformats.org/officeDocument/2006/relationships/image" Target="media/image102.png"/><Relationship Id="rId132" Type="http://schemas.openxmlformats.org/officeDocument/2006/relationships/image" Target="media/image103.png"/><Relationship Id="rId133" Type="http://schemas.openxmlformats.org/officeDocument/2006/relationships/image" Target="media/image104.png"/><Relationship Id="rId134" Type="http://schemas.openxmlformats.org/officeDocument/2006/relationships/image" Target="media/image105.png"/><Relationship Id="rId135" Type="http://schemas.openxmlformats.org/officeDocument/2006/relationships/image" Target="media/image106.png"/><Relationship Id="rId136" Type="http://schemas.openxmlformats.org/officeDocument/2006/relationships/image" Target="media/image107.png"/><Relationship Id="rId137"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62" Type="http://schemas.openxmlformats.org/officeDocument/2006/relationships/hyperlink" Target="http://www.sec.gov/Archives/edgar/data/1434588/000155837019000782/lope-20181231x10k.htm" TargetMode="External"/><Relationship Id="rId107" Type="http://schemas.openxmlformats.org/officeDocument/2006/relationships/hyperlink" Target="http://www.sec.gov/Archives/edgar/data/1434588/000119312518322557/d617676dex21.htm" TargetMode="External"/><Relationship Id="rId108" Type="http://schemas.openxmlformats.org/officeDocument/2006/relationships/hyperlink" Target="http://www.sec.gov/Archives/edgar/data/1434588/000155837019000782/lope-20181231ex22ef9e938.htm" TargetMode="External"/><Relationship Id="rId109" Type="http://schemas.openxmlformats.org/officeDocument/2006/relationships/hyperlink" Target="http://www.sec.gov/Archives/edgar/data/1434588/000155837019000782/lope-20181231ex31395dfc9.htm" TargetMode="External"/><Relationship Id="rId111" Type="http://schemas.openxmlformats.org/officeDocument/2006/relationships/hyperlink" Target="http://www.sec.gov/Archives/edgar/data/1434588/000119312514387149/d812440dex31.htm" TargetMode="External"/><Relationship Id="rId112" Type="http://schemas.openxmlformats.org/officeDocument/2006/relationships/hyperlink" Target="http://www.sec.gov/Archives/edgar/data/1434588/000095015308001671/p75463a2exv4w1.htm" TargetMode="External"/><Relationship Id="rId113" Type="http://schemas.openxmlformats.org/officeDocument/2006/relationships/hyperlink" Target="http://www.sec.gov/Archives/edgar/data/1434588/000095012311098382/c21597exv10w1.htm" TargetMode="External"/><Relationship Id="rId114" Type="http://schemas.openxmlformats.org/officeDocument/2006/relationships/hyperlink" Target="http://www.sec.gov/Archives/edgar/data/1434588/000119312517203503/d405521dex101.htm" TargetMode="External"/><Relationship Id="rId115" Type="http://schemas.openxmlformats.org/officeDocument/2006/relationships/hyperlink" Target="http://www.sec.gov/Archives/edgar/data/1434588/000119312518051923/d508256dex103.htm" TargetMode="External"/><Relationship Id="rId116" Type="http://schemas.openxmlformats.org/officeDocument/2006/relationships/hyperlink" Target="http://www.sec.gov/Archives/edgar/data/1434588/000119312518322557/d617676dex101.htm" TargetMode="External"/><Relationship Id="rId117" Type="http://schemas.openxmlformats.org/officeDocument/2006/relationships/hyperlink" Target="http://www.sec.gov/Archives/edgar/data/1434588/000119312518322557/d617676dex102.htm" TargetMode="External"/><Relationship Id="rId118" Type="http://schemas.openxmlformats.org/officeDocument/2006/relationships/hyperlink" Target="http://www.sec.gov/Archives/edgar/data/1434588/000119312518322557/d617676dex103.htm" TargetMode="External"/><Relationship Id="rId119" Type="http://schemas.openxmlformats.org/officeDocument/2006/relationships/hyperlink" Target="http://www.sec.gov/Archives/edgar/data/1434588/000119312518322557/d617676dex104.htm" TargetMode="External"/><Relationship Id="rId120" Type="http://schemas.openxmlformats.org/officeDocument/2006/relationships/hyperlink" Target="http://www.sec.gov/Archives/edgar/data/1434588/000119312518322557/d617676dex105.htm" TargetMode="External"/><Relationship Id="rId121" Type="http://schemas.openxmlformats.org/officeDocument/2006/relationships/hyperlink" Target="http://www.sec.gov/Archives/edgar/data/1434588/000095015308001671/p75463a2exv10w21.htm" TargetMode="External"/><Relationship Id="rId124" Type="http://schemas.openxmlformats.org/officeDocument/2006/relationships/hyperlink" Target="http://www.sec.gov/Archives/edgar/data/1434588/000119312518322557/d617676dex107.htm" TargetMode="External"/><Relationship Id="rId125" Type="http://schemas.openxmlformats.org/officeDocument/2006/relationships/hyperlink" Target="http://www.sec.gov/Archives/edgar/data/1434588/000110465919023090/a19-8606_1ex10d8.htm" TargetMode="External"/><Relationship Id="rId126" Type="http://schemas.openxmlformats.org/officeDocument/2006/relationships/hyperlink" Target="http://www.sec.gov/Archives/edgar/data/1434588/000155837019000782/lope-20181231ex10149afd4.htm" TargetMode="External"/><Relationship Id="rId127" Type="http://schemas.openxmlformats.org/officeDocument/2006/relationships/hyperlink" Target="http://www.sec.gov/Archives/edgar/data/1434588/000155837019000782/lope-20181231ex1015066a4.htm" TargetMode="External"/><Relationship Id="rId128" Type="http://schemas.openxmlformats.org/officeDocument/2006/relationships/hyperlink" Target="http://www.sec.gov/Archives/edgar/data/1434588/000155837019000782/lope-20181231ex1016fa2d5.htm" TargetMode="External"/><Relationship Id="rId130" Type="http://schemas.openxmlformats.org/officeDocument/2006/relationships/hyperlink" Target="http://www.sec.gov/Archives/edgar/data/1434588/000155837019000782/lope-20181231ex101704b54.htm" TargetMode="External"/><Relationship Id="rId131" Type="http://schemas.openxmlformats.org/officeDocument/2006/relationships/hyperlink" Target="http://www.sec.gov/Archives/edgar/data/1434588/000155837019010167/ex-10d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2020-02-20T05:15:52Z</dcterms:created>
  <dcterms:modified xsi:type="dcterms:W3CDTF">2020-02-20T05:15:52Z</dcterms:modified>
</cp:coreProperties>
</file>