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40331x10q.htm"/>
        <w:bookmarkStart w:id="1" w:name="kslope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f5ae85fd_6777_49fa_94ee_5228ee13fad9"/>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v2KZkCMWN0qyzLamwcW1TA_2_1"/>
      <w:bookmarkStart w:id="4" w:name="Tc_BhJvO8KfT02LU42_wcS5Jw_0_1"/>
      <w:bookmarkStart w:id="5" w:name="_3686098e_700e_402f_aca5_708f1036acad"/>
      <w:bookmarkStart w:id="6" w:name="Tc_v2KZkCMWN0qyzLamwcW1TA_2_1"/>
      <w:bookmarkStart w:id="7" w:name="Tc_BhJvO8KfT02LU42_wcS5Jw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March 31, 2024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8o0z0OdCUWChUbMnwEHWA_3_1"/>
      <w:bookmarkStart w:id="10" w:name="Tc_aoouuYo26UyDDw62lOs0Ag_1_1"/>
      <w:bookmarkStart w:id="11" w:name="_2e915763_74e6_4785_9417_f193d4dd04bc"/>
      <w:bookmarkStart w:id="12" w:name="Tc_-8o0z0OdCUWChUbMnwEHWA_3_1"/>
      <w:bookmarkStart w:id="13" w:name="Tc_aoouuYo26UyDDw62lOs0Ag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eDVzUsbXqEWBT63S_z0r_g_2_2"/>
      <w:bookmarkStart w:id="16" w:name="Tc_Am_HqLQWHEqvQpiye60jEA_2_0"/>
      <w:bookmarkStart w:id="17" w:name="_ab6b0fdd_ca48_4162_a11d_9c80f8b48fcb"/>
      <w:bookmarkStart w:id="18" w:name="Tc_eDVzUsbXqEWBT63S_z0r_g_2_2"/>
      <w:bookmarkStart w:id="19" w:name="Tc_Am_HqLQWHEqvQpiye60jEA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_tiIFN1TWkmupKFGiX83iQ_0_2"/>
      <w:bookmarkStart w:id="22" w:name="Tc_K-2AuThzg0m1ewHOcFMOfw_0_1"/>
      <w:bookmarkStart w:id="23" w:name="Tc_1p235kaEaEOdUchDLFnN9g_0_0"/>
      <w:bookmarkStart w:id="24" w:name="_e7d5e65e_9e52_4cbe_be02_5582863c8dcf"/>
      <w:bookmarkStart w:id="25" w:name="Tc__tiIFN1TWkmupKFGiX83iQ_0_2"/>
      <w:bookmarkStart w:id="26" w:name="Tc_K-2AuThzg0m1ewHOcFMOfw_0_1"/>
      <w:bookmarkStart w:id="27" w:name="Tc_1p235kaEaEOdUchDLFnN9g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May 3, 2024, was 29,738,382.</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0ada9760_3de0_4b9c_b539_12d61b92fd0b"/>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dd40c850_230c_4336_b48a_973a1b38bd25"/>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5IYCy5S_FEuRwEchu51J8Q_22_0"/>
      <w:bookmarkStart w:id="36" w:name="Tc_ioFYHzGWSkSPv38OGzPoIQ_21_0"/>
      <w:bookmarkStart w:id="37" w:name="Tc_uTvi8Ccf90mCxVBInTs1EQ_20_5"/>
      <w:bookmarkStart w:id="38" w:name="Tc_Fn1ckcNDI02MfK7ZvAmnIg_20_2"/>
      <w:bookmarkStart w:id="39" w:name="Tc_7A85RtziEkSfM_vAmpbxCg_20_0"/>
      <w:bookmarkStart w:id="40" w:name="Tc_saCKvYpFFEy8sZmW-3fQBA_19_5"/>
      <w:bookmarkStart w:id="41" w:name="Tc_0qxsVChKmkSCdkVJXoJEFw_19_2"/>
      <w:bookmarkStart w:id="42" w:name="Tc_hzK2iWgG-U-u8SYGPup6zg_19_0"/>
      <w:bookmarkStart w:id="43" w:name="Tc_sRjVbeAde0W7ytd0u3Rn7g_18_0"/>
      <w:bookmarkStart w:id="44" w:name="Tc_m14Jl8-qNUOP5SJWZKEyjA_17_5"/>
      <w:bookmarkStart w:id="45" w:name="Tc_eX6C62YR8UqSfjfzh7o8AA_17_2"/>
      <w:bookmarkStart w:id="46" w:name="Tc_Fz8z0_Gg9EqyogoLuWQ4kg_17_0"/>
      <w:bookmarkStart w:id="47" w:name="Tc_Qq8kk7FGsUKWbcgi9BI5uQ_16_0"/>
      <w:bookmarkStart w:id="48" w:name="Tc_fOd6ja07d02nZjQObc9soQ_15_0"/>
      <w:bookmarkStart w:id="49" w:name="Tc_iEmcilm3_UOtDC14TikZeg_14_0"/>
      <w:bookmarkStart w:id="50" w:name="Tc_xE49yo9P9EuOuUbex8eGrw_13_0"/>
      <w:bookmarkStart w:id="51" w:name="Tc_CjTHJszpEUelchZBoMJc1w_12_0"/>
      <w:bookmarkStart w:id="52" w:name="Tc_URk3kI-AVEq9VPPYAcFv2w_11_0"/>
      <w:bookmarkStart w:id="53" w:name="Tc_ghVgzOJPMUK0SQMHoawVpQ_10_0"/>
      <w:bookmarkStart w:id="54" w:name="Tc_WwK1Q1Z9dEuyj3GB9HzwmA_9_0"/>
      <w:bookmarkStart w:id="55" w:name="Tc_7WACS1aMzkiTbScFWbJ5Zg_8_0"/>
      <w:bookmarkStart w:id="56" w:name="Tc_90v1PmCou0Wh8zp4K7BhBA_7_0"/>
      <w:bookmarkStart w:id="57" w:name="Tc_hK59HFCpeESXTALmWsVfCA_6_0"/>
      <w:bookmarkStart w:id="58" w:name="Tc_IgsFrWa_S065R2bQ91DtFA_5_0"/>
      <w:bookmarkStart w:id="59" w:name="Tc_SNQXJ_0cpUCo6qnddW2-EQ_4_5"/>
      <w:bookmarkStart w:id="60" w:name="Tc_W1_sjYBa3kacYClSxuZYDw_4_2"/>
      <w:bookmarkStart w:id="61" w:name="Tc_h305Zi_jGkS-EMvuiNh59g_4_0"/>
      <w:bookmarkStart w:id="62" w:name="Tc_AND4T9nyjUSiJjMXJ2iTpg_3_5"/>
      <w:bookmarkStart w:id="63" w:name="Tc_s3NrnQtKAEqOGo6sO9TBOg_3_2"/>
      <w:bookmarkStart w:id="64" w:name="Tc_bbzvMhe8S0G8L_j9sn7QBg_3_0"/>
      <w:bookmarkStart w:id="65" w:name="Tc_0VreE0II80GouiZWxMiBmg_2_2"/>
      <w:bookmarkStart w:id="66" w:name="Tc_gUt0Hf-J9UKwVdyojtKsDw_1_2"/>
      <w:bookmarkStart w:id="67" w:name="_3eb421a5_33df_466a_80ca_91955d2e906a"/>
      <w:bookmarkStart w:id="68" w:name="Tc_5IYCy5S_FEuRwEchu51J8Q_22_0"/>
      <w:bookmarkStart w:id="69" w:name="Tc_ioFYHzGWSkSPv38OGzPoIQ_21_0"/>
      <w:bookmarkStart w:id="70" w:name="Tc_uTvi8Ccf90mCxVBInTs1EQ_20_5"/>
      <w:bookmarkStart w:id="71" w:name="Tc_Fn1ckcNDI02MfK7ZvAmnIg_20_2"/>
      <w:bookmarkStart w:id="72" w:name="Tc_7A85RtziEkSfM_vAmpbxCg_20_0"/>
      <w:bookmarkStart w:id="73" w:name="Tc_saCKvYpFFEy8sZmW-3fQBA_19_5"/>
      <w:bookmarkStart w:id="74" w:name="Tc_0qxsVChKmkSCdkVJXoJEFw_19_2"/>
      <w:bookmarkStart w:id="75" w:name="Tc_hzK2iWgG-U-u8SYGPup6zg_19_0"/>
      <w:bookmarkStart w:id="76" w:name="Tc_sRjVbeAde0W7ytd0u3Rn7g_18_0"/>
      <w:bookmarkStart w:id="77" w:name="Tc_m14Jl8-qNUOP5SJWZKEyjA_17_5"/>
      <w:bookmarkStart w:id="78" w:name="Tc_eX6C62YR8UqSfjfzh7o8AA_17_2"/>
      <w:bookmarkStart w:id="79" w:name="Tc_Fz8z0_Gg9EqyogoLuWQ4kg_17_0"/>
      <w:bookmarkStart w:id="80" w:name="Tc_Qq8kk7FGsUKWbcgi9BI5uQ_16_0"/>
      <w:bookmarkStart w:id="81" w:name="Tc_fOd6ja07d02nZjQObc9soQ_15_0"/>
      <w:bookmarkStart w:id="82" w:name="Tc_iEmcilm3_UOtDC14TikZeg_14_0"/>
      <w:bookmarkStart w:id="83" w:name="Tc_xE49yo9P9EuOuUbex8eGrw_13_0"/>
      <w:bookmarkStart w:id="84" w:name="Tc_CjTHJszpEUelchZBoMJc1w_12_0"/>
      <w:bookmarkStart w:id="85" w:name="Tc_URk3kI-AVEq9VPPYAcFv2w_11_0"/>
      <w:bookmarkStart w:id="86" w:name="Tc_ghVgzOJPMUK0SQMHoawVpQ_10_0"/>
      <w:bookmarkStart w:id="87" w:name="Tc_WwK1Q1Z9dEuyj3GB9HzwmA_9_0"/>
      <w:bookmarkStart w:id="88" w:name="Tc_7WACS1aMzkiTbScFWbJ5Zg_8_0"/>
      <w:bookmarkStart w:id="89" w:name="Tc_90v1PmCou0Wh8zp4K7BhBA_7_0"/>
      <w:bookmarkStart w:id="90" w:name="Tc_hK59HFCpeESXTALmWsVfCA_6_0"/>
      <w:bookmarkStart w:id="91" w:name="Tc_IgsFrWa_S065R2bQ91DtFA_5_0"/>
      <w:bookmarkStart w:id="92" w:name="Tc_SNQXJ_0cpUCo6qnddW2-EQ_4_5"/>
      <w:bookmarkStart w:id="93" w:name="Tc_W1_sjYBa3kacYClSxuZYDw_4_2"/>
      <w:bookmarkStart w:id="94" w:name="Tc_h305Zi_jGkS-EMvuiNh59g_4_0"/>
      <w:bookmarkStart w:id="95" w:name="Tc_AND4T9nyjUSiJjMXJ2iTpg_3_5"/>
      <w:bookmarkStart w:id="96" w:name="Tc_s3NrnQtKAEqOGo6sO9TBOg_3_2"/>
      <w:bookmarkStart w:id="97" w:name="Tc_bbzvMhe8S0G8L_j9sn7QBg_3_0"/>
      <w:bookmarkStart w:id="98" w:name="Tc_0VreE0II80GouiZWxMiBmg_2_2"/>
      <w:bookmarkStart w:id="99" w:name="Tc_gUt0Hf-J9UKwVdyojtKsDw_1_2"/>
      <w:bookmarkStart w:id="100" w:name="_3eb421a5_33df_466a_80ca_91955d2e906a"/>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W w:w="6713" w:type="dxa"/>
        <w:jc w:val="left"/>
        <w:tblInd w:w="0" w:type="dxa"/>
        <w:tblLayout w:type="fixed"/>
        <w:tblCellMar>
          <w:top w:w="0" w:type="dxa"/>
          <w:left w:w="0" w:type="dxa"/>
          <w:bottom w:w="0" w:type="dxa"/>
          <w:right w:w="0" w:type="dxa"/>
        </w:tblCellMar>
      </w:tblPr>
      <w:tblGrid>
        <w:gridCol w:w="3886"/>
        <w:gridCol w:w="146"/>
        <w:gridCol w:w="211"/>
        <w:gridCol w:w="781"/>
        <w:gridCol w:w="326"/>
        <w:gridCol w:w="211"/>
        <w:gridCol w:w="781"/>
        <w:gridCol w:w="371"/>
      </w:tblGrid>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35585" cy="175260"/>
                      <wp:effectExtent l="0" t="0" r="0" b="0"/>
                      <wp:wrapNone/>
                      <wp:docPr id="8" name="Frame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1"/>
              <w:ind w:left="0" w:right="0" w:hanging="0"/>
              <w:jc w:val="center"/>
              <w:rPr/>
            </w:pPr>
            <w:r>
              <w:rPr/>
              <w:t>​</w: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1"/>
              <w:ind w:left="0" w:right="0" w:hanging="0"/>
              <w:jc w:val="center"/>
              <w:rPr/>
            </w:pPr>
            <w:r>
              <w:rPr/>
              <w:t>​</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1"/>
              <w:ind w:left="0" w:right="0" w:hanging="0"/>
              <w:jc w:val="center"/>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250,125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37,512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73,349</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52,894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9,788</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175,648</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74,477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76,611</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59,564</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30,461</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30,638</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1" w:name="_8673617c_2e60_46cb_b36a_9e2b23d958b4"/>
      <w:bookmarkEnd w:id="101"/>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02" w:name="Tc_GLTMElTdtUGUxRzZ5c6jMw_41_5"/>
      <w:bookmarkStart w:id="103" w:name="Tc_mF_zpFmALEmAhSFHA6Ei5A_41_2"/>
      <w:bookmarkStart w:id="104" w:name="Tc_u_nooUWR0E6V_0Zqabje1g_41_0"/>
      <w:bookmarkStart w:id="105" w:name="Tc_vhGQaRoNPE2ZcoyP3ix9jw_40_0"/>
      <w:bookmarkStart w:id="106" w:name="Tc_Ji-WEp127E6bPyF5tLfibA_39_0"/>
      <w:bookmarkStart w:id="107" w:name="Tc_njmIa41iWUKlsWzrlkdjxg_38_0"/>
      <w:bookmarkStart w:id="108" w:name="Tc_iQApk-Kcu02vCRiOM884wQ_37_0"/>
      <w:bookmarkStart w:id="109" w:name="Tc_aOfhUxQW8kOyOfiKFnrJQA_36_0"/>
      <w:bookmarkStart w:id="110" w:name="Tc_USn7Iq-jckeADoPLQON4aQ_35_0"/>
      <w:bookmarkStart w:id="111" w:name="Tc_wBTtFGYMCkeUdutPYJJlDw_34_6"/>
      <w:bookmarkStart w:id="112" w:name="Tc_xVynSJkRokqDTssbX2iZuQ_34_3"/>
      <w:bookmarkStart w:id="113" w:name="_3e1205f2_cf66_4f9a_a8cf_44970069bf54_3"/>
      <w:bookmarkStart w:id="114" w:name="_3e1205f2_cf66_4f9a_a8cf_44970069bf54_2"/>
      <w:bookmarkStart w:id="115" w:name="_3e1205f2_cf66_4f9a_a8cf_44970069bf54"/>
      <w:bookmarkStart w:id="116" w:name="Tc_AqL2MqzG_k655x44a1LfWA_34_0"/>
      <w:bookmarkStart w:id="117" w:name="Tc_xVFhJ-FAy0-lIfxIT8PJAQ_33_0"/>
      <w:bookmarkStart w:id="118" w:name="Tc_6wYYFj6q1kiRXWjLKbe3qQ_32_0"/>
      <w:bookmarkStart w:id="119" w:name="Tc_GEzpJo3t10GEUFo6rhli-g_31_0"/>
      <w:bookmarkStart w:id="120" w:name="Tc_8V-oq7UbdEqL0Jpi2Rl4Eg_30_0"/>
      <w:bookmarkStart w:id="121" w:name="Tc_G43s501oG0ON7k9rj0Fv8Q_29_0"/>
      <w:bookmarkStart w:id="122" w:name="Tc_8KYV0d-JUUKWmaucui9QlA_28_0"/>
      <w:bookmarkStart w:id="123" w:name="Tc_-wAhVgqqbEGe8NXdAUr-qQ_27_0"/>
      <w:bookmarkStart w:id="124" w:name="Tc_93cTgn9vXU-ESqxcmkDlTg_26_0"/>
      <w:bookmarkStart w:id="125" w:name="Tc_FsayzzlvtUWNz8CSdvBaMA_25_6"/>
      <w:bookmarkStart w:id="126" w:name="Tc_23W7BRpvck-t9wrpBkts5A_25_0"/>
      <w:bookmarkStart w:id="127" w:name="Tc_EqLEXEU-xk6MJM47al4jag_24_0"/>
      <w:bookmarkStart w:id="128" w:name="Tc_0IVePpX3yk6zW_9BaxmZRg_23_0"/>
      <w:bookmarkStart w:id="129" w:name="Tc_U5wbtfrkj0eYw7A8cGRPiQ_22_0"/>
      <w:bookmarkStart w:id="130" w:name="Tc_RfOZdPCK5EiZ4hRXIP5m5w_21_5"/>
      <w:bookmarkStart w:id="131" w:name="Tc_wiPDn2wk50S8I-xasqrF5A_21_2"/>
      <w:bookmarkStart w:id="132" w:name="Tc_PG7lmoJhP0ybYRWPvKXvqA_21_0"/>
      <w:bookmarkStart w:id="133" w:name="Tc_VAjFlvQja0SVej0H0GSwjA_20_0"/>
      <w:bookmarkStart w:id="134" w:name="Tc_JVbAKft_Sk6j64zDIGu60Q_19_0"/>
      <w:bookmarkStart w:id="135" w:name="Tc_Wf2r4Wy_OECCRfqb_fdqww_18_5"/>
      <w:bookmarkStart w:id="136" w:name="Tc_YETJIANtX0KGnwFwq5lGhQ_18_2"/>
      <w:bookmarkStart w:id="137" w:name="Tc_fYdkhLdtUUiLreoSt0xxpw_18_0"/>
      <w:bookmarkStart w:id="138" w:name="Tc_gFocob7exk2ZNniJe8vhTg_17_0"/>
      <w:bookmarkStart w:id="139" w:name="Tc_DydVvK8YTU-grnPPk1EfDA_16_0"/>
      <w:bookmarkStart w:id="140" w:name="Tc_iIBaQbpOY0qSO58WIgIxvA_15_0"/>
      <w:bookmarkStart w:id="141" w:name="Tc_i9M1xwupk06kQO0i7VEsIg_14_0"/>
      <w:bookmarkStart w:id="142" w:name="Tc_M59pk7zeOUWFX11Fbq9oZA_13_0"/>
      <w:bookmarkStart w:id="143" w:name="Tc_Nag_qbpEPkevBc7QpWpiiw_12_0"/>
      <w:bookmarkStart w:id="144" w:name="Tc_CEQNuggDSUGAX5Kww7Wrrg_11_0"/>
      <w:bookmarkStart w:id="145" w:name="Tc_5W4PTpZuH0eDrUoOLLHsBQ_10_0"/>
      <w:bookmarkStart w:id="146" w:name="Tc_AjtPIb2RVE62AC4IKXJQbg_9_6"/>
      <w:bookmarkStart w:id="147" w:name="Tc_J1H-c0QQ3EqbPTVk9UCJSA_9_0"/>
      <w:bookmarkStart w:id="148" w:name="Tc_mtihfNazrEW5rY5JrLL4aA_8_0"/>
      <w:bookmarkStart w:id="149" w:name="Tc_DzKr8ZB-GkOodVvVBZ5RCw_7_0"/>
      <w:bookmarkStart w:id="150" w:name="Tc_oAVwPO3LV066fUMlRz6sDA_6_5"/>
      <w:bookmarkStart w:id="151" w:name="Tc_asELb7CJbkeO-hC95zLUgA_6_2"/>
      <w:bookmarkStart w:id="152" w:name="Tc_8hHolVVAZUyUs_ORXMrGcg_6_0"/>
      <w:bookmarkStart w:id="153" w:name="Tc_NHjw_L1zGEu-ZDU58dw1yw_5_0"/>
      <w:bookmarkStart w:id="154" w:name="Tc_Fuah74Z6PEu2j0rSG4EQiw_4_0"/>
      <w:bookmarkStart w:id="155" w:name="Tc_rch_dVimzEqu_WxNLwRTQQ_3_2"/>
      <w:bookmarkStart w:id="156" w:name="Tc_V_AMnU0Fxky-28zWbsi2Og_2_5"/>
      <w:bookmarkStart w:id="157" w:name="Tc_nyAzMibYV0q9c_L7anbZeA_2_2"/>
      <w:bookmarkStart w:id="158" w:name="Tc_CcGpH2x3SEScRgM6c2vdlA_2_0"/>
      <w:bookmarkStart w:id="159" w:name="Tc_i7DW__ozbUiEAoQcR1TNDA_1_5"/>
      <w:bookmarkStart w:id="160" w:name="Tc_1jXzAeFVKECoB8w0Dh96HA_1_2"/>
      <w:bookmarkStart w:id="161" w:name="_6c3c0cba_dd8e_483d_ae5e_303dce73d637"/>
      <w:bookmarkStart w:id="162" w:name="Tc_GLTMElTdtUGUxRzZ5c6jMw_41_5"/>
      <w:bookmarkStart w:id="163" w:name="Tc_mF_zpFmALEmAhSFHA6Ei5A_41_2"/>
      <w:bookmarkStart w:id="164" w:name="Tc_u_nooUWR0E6V_0Zqabje1g_41_0"/>
      <w:bookmarkStart w:id="165" w:name="Tc_vhGQaRoNPE2ZcoyP3ix9jw_40_0"/>
      <w:bookmarkStart w:id="166" w:name="Tc_Ji-WEp127E6bPyF5tLfibA_39_0"/>
      <w:bookmarkStart w:id="167" w:name="Tc_njmIa41iWUKlsWzrlkdjxg_38_0"/>
      <w:bookmarkStart w:id="168" w:name="Tc_iQApk-Kcu02vCRiOM884wQ_37_0"/>
      <w:bookmarkStart w:id="169" w:name="Tc_aOfhUxQW8kOyOfiKFnrJQA_36_0"/>
      <w:bookmarkStart w:id="170" w:name="Tc_USn7Iq-jckeADoPLQON4aQ_35_0"/>
      <w:bookmarkStart w:id="171" w:name="Tc_wBTtFGYMCkeUdutPYJJlDw_34_6"/>
      <w:bookmarkStart w:id="172" w:name="Tc_xVynSJkRokqDTssbX2iZuQ_34_3"/>
      <w:bookmarkStart w:id="173" w:name="_3e1205f2_cf66_4f9a_a8cf_44970069bf54_3"/>
      <w:bookmarkStart w:id="174" w:name="_3e1205f2_cf66_4f9a_a8cf_44970069bf54_2"/>
      <w:bookmarkStart w:id="175" w:name="_3e1205f2_cf66_4f9a_a8cf_44970069bf54"/>
      <w:bookmarkStart w:id="176" w:name="Tc_AqL2MqzG_k655x44a1LfWA_34_0"/>
      <w:bookmarkStart w:id="177" w:name="Tc_xVFhJ-FAy0-lIfxIT8PJAQ_33_0"/>
      <w:bookmarkStart w:id="178" w:name="Tc_6wYYFj6q1kiRXWjLKbe3qQ_32_0"/>
      <w:bookmarkStart w:id="179" w:name="Tc_GEzpJo3t10GEUFo6rhli-g_31_0"/>
      <w:bookmarkStart w:id="180" w:name="Tc_8V-oq7UbdEqL0Jpi2Rl4Eg_30_0"/>
      <w:bookmarkStart w:id="181" w:name="Tc_G43s501oG0ON7k9rj0Fv8Q_29_0"/>
      <w:bookmarkStart w:id="182" w:name="Tc_8KYV0d-JUUKWmaucui9QlA_28_0"/>
      <w:bookmarkStart w:id="183" w:name="Tc_-wAhVgqqbEGe8NXdAUr-qQ_27_0"/>
      <w:bookmarkStart w:id="184" w:name="Tc_93cTgn9vXU-ESqxcmkDlTg_26_0"/>
      <w:bookmarkStart w:id="185" w:name="Tc_FsayzzlvtUWNz8CSdvBaMA_25_6"/>
      <w:bookmarkStart w:id="186" w:name="Tc_23W7BRpvck-t9wrpBkts5A_25_0"/>
      <w:bookmarkStart w:id="187" w:name="Tc_EqLEXEU-xk6MJM47al4jag_24_0"/>
      <w:bookmarkStart w:id="188" w:name="Tc_0IVePpX3yk6zW_9BaxmZRg_23_0"/>
      <w:bookmarkStart w:id="189" w:name="Tc_U5wbtfrkj0eYw7A8cGRPiQ_22_0"/>
      <w:bookmarkStart w:id="190" w:name="Tc_RfOZdPCK5EiZ4hRXIP5m5w_21_5"/>
      <w:bookmarkStart w:id="191" w:name="Tc_wiPDn2wk50S8I-xasqrF5A_21_2"/>
      <w:bookmarkStart w:id="192" w:name="Tc_PG7lmoJhP0ybYRWPvKXvqA_21_0"/>
      <w:bookmarkStart w:id="193" w:name="Tc_VAjFlvQja0SVej0H0GSwjA_20_0"/>
      <w:bookmarkStart w:id="194" w:name="Tc_JVbAKft_Sk6j64zDIGu60Q_19_0"/>
      <w:bookmarkStart w:id="195" w:name="Tc_Wf2r4Wy_OECCRfqb_fdqww_18_5"/>
      <w:bookmarkStart w:id="196" w:name="Tc_YETJIANtX0KGnwFwq5lGhQ_18_2"/>
      <w:bookmarkStart w:id="197" w:name="Tc_fYdkhLdtUUiLreoSt0xxpw_18_0"/>
      <w:bookmarkStart w:id="198" w:name="Tc_gFocob7exk2ZNniJe8vhTg_17_0"/>
      <w:bookmarkStart w:id="199" w:name="Tc_DydVvK8YTU-grnPPk1EfDA_16_0"/>
      <w:bookmarkStart w:id="200" w:name="Tc_iIBaQbpOY0qSO58WIgIxvA_15_0"/>
      <w:bookmarkStart w:id="201" w:name="Tc_i9M1xwupk06kQO0i7VEsIg_14_0"/>
      <w:bookmarkStart w:id="202" w:name="Tc_M59pk7zeOUWFX11Fbq9oZA_13_0"/>
      <w:bookmarkStart w:id="203" w:name="Tc_Nag_qbpEPkevBc7QpWpiiw_12_0"/>
      <w:bookmarkStart w:id="204" w:name="Tc_CEQNuggDSUGAX5Kww7Wrrg_11_0"/>
      <w:bookmarkStart w:id="205" w:name="Tc_5W4PTpZuH0eDrUoOLLHsBQ_10_0"/>
      <w:bookmarkStart w:id="206" w:name="Tc_AjtPIb2RVE62AC4IKXJQbg_9_6"/>
      <w:bookmarkStart w:id="207" w:name="Tc_J1H-c0QQ3EqbPTVk9UCJSA_9_0"/>
      <w:bookmarkStart w:id="208" w:name="Tc_mtihfNazrEW5rY5JrLL4aA_8_0"/>
      <w:bookmarkStart w:id="209" w:name="Tc_DzKr8ZB-GkOodVvVBZ5RCw_7_0"/>
      <w:bookmarkStart w:id="210" w:name="Tc_oAVwPO3LV066fUMlRz6sDA_6_5"/>
      <w:bookmarkStart w:id="211" w:name="Tc_asELb7CJbkeO-hC95zLUgA_6_2"/>
      <w:bookmarkStart w:id="212" w:name="Tc_8hHolVVAZUyUs_ORXMrGcg_6_0"/>
      <w:bookmarkStart w:id="213" w:name="Tc_NHjw_L1zGEu-ZDU58dw1yw_5_0"/>
      <w:bookmarkStart w:id="214" w:name="Tc_Fuah74Z6PEu2j0rSG4EQiw_4_0"/>
      <w:bookmarkStart w:id="215" w:name="Tc_rch_dVimzEqu_WxNLwRTQQ_3_2"/>
      <w:bookmarkStart w:id="216" w:name="Tc_V_AMnU0Fxky-28zWbsi2Og_2_5"/>
      <w:bookmarkStart w:id="217" w:name="Tc_nyAzMibYV0q9c_L7anbZeA_2_2"/>
      <w:bookmarkStart w:id="218" w:name="Tc_CcGpH2x3SEScRgM6c2vdlA_2_0"/>
      <w:bookmarkStart w:id="219" w:name="Tc_i7DW__ozbUiEAoQcR1TNDA_1_5"/>
      <w:bookmarkStart w:id="220" w:name="Tc_1jXzAeFVKECoB8w0Dh96HA_1_2"/>
      <w:bookmarkStart w:id="221" w:name="_6c3c0cba_dd8e_483d_ae5e_303dce73d637"/>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tbl>
      <w:tblPr>
        <w:tblW w:w="10205" w:type="dxa"/>
        <w:jc w:val="left"/>
        <w:tblInd w:w="0" w:type="dxa"/>
        <w:tblLayout w:type="fixed"/>
        <w:tblCellMar>
          <w:top w:w="0" w:type="dxa"/>
          <w:left w:w="0" w:type="dxa"/>
          <w:bottom w:w="0" w:type="dxa"/>
          <w:right w:w="0" w:type="dxa"/>
        </w:tblCellMar>
      </w:tblPr>
      <w:tblGrid>
        <w:gridCol w:w="7237"/>
        <w:gridCol w:w="146"/>
        <w:gridCol w:w="211"/>
        <w:gridCol w:w="1014"/>
        <w:gridCol w:w="326"/>
        <w:gridCol w:w="211"/>
        <w:gridCol w:w="1060"/>
      </w:tblGrid>
      <w:tr>
        <w:trPr/>
        <w:tc>
          <w:tcPr>
            <w:tcW w:w="7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595495" cy="175260"/>
                      <wp:effectExtent l="0" t="0" r="0" b="0"/>
                      <wp:wrapNone/>
                      <wp:docPr id="9" name="Frame9"/>
                      <a:graphic xmlns:a="http://schemas.openxmlformats.org/drawingml/2006/main">
                        <a:graphicData uri="http://schemas.microsoft.com/office/word/2010/wordprocessingShape">
                          <wps:wsp>
                            <wps:cNvSpPr txBox="1"/>
                            <wps:spPr>
                              <a:xfrm>
                                <a:off x="0" y="0"/>
                                <a:ext cx="459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3890" cy="175260"/>
                      <wp:effectExtent l="0" t="0" r="0" b="0"/>
                      <wp:wrapNone/>
                      <wp:docPr id="12" name="Frame12"/>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3100" cy="175260"/>
                      <wp:effectExtent l="0" t="0" r="0" b="0"/>
                      <wp:wrapNone/>
                      <wp:docPr id="15" name="Frame15"/>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3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r>
      <w:tr>
        <w:trPr/>
        <w:tc>
          <w:tcPr>
            <w:tcW w:w="7237"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0" w:type="dxa"/>
            <w:tcBorders/>
            <w:shd w:fill="CCEEFF" w:val="clear"/>
            <w:vAlign w:val="center"/>
          </w:tcPr>
          <w:p>
            <w:pPr>
              <w:pStyle w:val="TableContents"/>
              <w:bidi w:val="0"/>
              <w:spacing w:before="0" w:after="0"/>
              <w:ind w:left="0" w:right="0" w:hanging="0"/>
              <w:jc w:val="center"/>
              <w:rPr/>
            </w:pPr>
            <w:r>
              <w:rPr/>
              <w:t>​</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  </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98,031</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78,811</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12,889</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337,522</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169,699</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92,454</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168,381</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930,463</w:t>
            </w:r>
          </w:p>
        </w:tc>
      </w:tr>
      <w:tr>
        <w:trPr/>
        <w:tc>
          <w:tcPr>
            <w:tcW w:w="723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26,725</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11,024</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97,033</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88,257</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212,449</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2024 and December 31, 2023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54,087 and 53,970 shares issued and 29,839 and 29,953 shares outstanding at March 31, 2024 and December 31, 2023,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24,248 and 24,017 shares of common stock at March 31, 2024 and December 31, 2023, respectively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(1,849,693)</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322,512</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2,312,722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2,244,712</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759,447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718,014</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1,035,571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930,463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2" w:name="_e852b868_321f_4c31_9078_ddaf674d05fd"/>
      <w:bookmarkEnd w:id="222"/>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23" w:name="Tc_C7z4gSbDHU2Wqz3YLGCoyA_7_5"/>
      <w:bookmarkStart w:id="224" w:name="Tc_Ufyx9JVNtkK220WXtD_KSw_7_2"/>
      <w:bookmarkStart w:id="225" w:name="Tc_hnbV6_Cp4U6ko_eplpE4TA_7_0"/>
      <w:bookmarkStart w:id="226" w:name="Tc_5zPBEETOtE-0c8ChSNp6lg_6_0"/>
      <w:bookmarkStart w:id="227" w:name="Tc_TxnRTxJyZ0aKkwui25Xk7g_5_0"/>
      <w:bookmarkStart w:id="228" w:name="Tc_7lUeXJMh60uDpmy3XOFONg_4_5"/>
      <w:bookmarkStart w:id="229" w:name="Tc_uSLlvoRsB0iIRyOYvCJCCA_4_2"/>
      <w:bookmarkStart w:id="230" w:name="Tc_1992554n_0SPnLpZyYQtBA_4_0"/>
      <w:bookmarkStart w:id="231" w:name="Tc_EgiURmcla0-bvlfXGnA8bw_3_5"/>
      <w:bookmarkStart w:id="232" w:name="Tc_-2Dqfkh2MUWMOtNw4d8ujg_3_2"/>
      <w:bookmarkStart w:id="233" w:name="Tc_Tkh2SNlQ90mG2z3N5MXGMA_3_0"/>
      <w:bookmarkStart w:id="234" w:name="Tc_gjdzcg0ADEmdM2unrGEvIw_2_2"/>
      <w:bookmarkStart w:id="235" w:name="Tc_7U9rQiiFfkWLtivZ2NdDQw_1_2"/>
      <w:bookmarkStart w:id="236" w:name="_743169c8_3c37_4d4a_98c4_685ccd32df4d"/>
      <w:bookmarkStart w:id="237" w:name="Tc_C7z4gSbDHU2Wqz3YLGCoyA_7_5"/>
      <w:bookmarkStart w:id="238" w:name="Tc_Ufyx9JVNtkK220WXtD_KSw_7_2"/>
      <w:bookmarkStart w:id="239" w:name="Tc_hnbV6_Cp4U6ko_eplpE4TA_7_0"/>
      <w:bookmarkStart w:id="240" w:name="Tc_5zPBEETOtE-0c8ChSNp6lg_6_0"/>
      <w:bookmarkStart w:id="241" w:name="Tc_TxnRTxJyZ0aKkwui25Xk7g_5_0"/>
      <w:bookmarkStart w:id="242" w:name="Tc_7lUeXJMh60uDpmy3XOFONg_4_5"/>
      <w:bookmarkStart w:id="243" w:name="Tc_uSLlvoRsB0iIRyOYvCJCCA_4_2"/>
      <w:bookmarkStart w:id="244" w:name="Tc_1992554n_0SPnLpZyYQtBA_4_0"/>
      <w:bookmarkStart w:id="245" w:name="Tc_EgiURmcla0-bvlfXGnA8bw_3_5"/>
      <w:bookmarkStart w:id="246" w:name="Tc_-2Dqfkh2MUWMOtNw4d8ujg_3_2"/>
      <w:bookmarkStart w:id="247" w:name="Tc_Tkh2SNlQ90mG2z3N5MXGMA_3_0"/>
      <w:bookmarkStart w:id="248" w:name="Tc_gjdzcg0ADEmdM2unrGEvIw_2_2"/>
      <w:bookmarkStart w:id="249" w:name="Tc_7U9rQiiFfkWLtivZ2NdDQw_1_2"/>
      <w:bookmarkStart w:id="250" w:name="_743169c8_3c37_4d4a_98c4_685ccd32df4d"/>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Layout w:type="fixed"/>
        <w:tblCellMar>
          <w:top w:w="0" w:type="dxa"/>
          <w:left w:w="0" w:type="dxa"/>
          <w:bottom w:w="0" w:type="dxa"/>
          <w:right w:w="0" w:type="dxa"/>
        </w:tblCellMar>
      </w:tblPr>
      <w:tblGrid>
        <w:gridCol w:w="7588"/>
        <w:gridCol w:w="146"/>
        <w:gridCol w:w="211"/>
        <w:gridCol w:w="676"/>
        <w:gridCol w:w="326"/>
        <w:gridCol w:w="211"/>
        <w:gridCol w:w="676"/>
        <w:gridCol w:w="371"/>
      </w:tblGrid>
      <w:tr>
        <w:trPr/>
        <w:tc>
          <w:tcPr>
            <w:tcW w:w="758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5585" cy="175260"/>
                      <wp:effectExtent l="0" t="0" r="0" b="0"/>
                      <wp:wrapNone/>
                      <wp:docPr id="22" name="Frame2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8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center"/>
              <w:rPr/>
            </w:pPr>
            <w:r>
              <w:rPr/>
              <w:t>​</w:t>
            </w:r>
          </w:p>
        </w:tc>
      </w:tr>
      <w:tr>
        <w:trPr/>
        <w:tc>
          <w:tcPr>
            <w:tcW w:w="758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0"/>
              <w:ind w:left="0" w:right="0" w:hanging="0"/>
              <w:jc w:val="center"/>
              <w:rPr/>
            </w:pPr>
            <w:r>
              <w:rPr/>
              <w:t>​</w:t>
            </w:r>
          </w:p>
        </w:tc>
      </w:tr>
      <w:tr>
        <w:trPr/>
        <w:tc>
          <w:tcPr>
            <w:tcW w:w="75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center"/>
              <w:rPr/>
            </w:pPr>
            <w:r>
              <w:rPr/>
              <w:t>    </w:t>
            </w:r>
          </w:p>
        </w:tc>
      </w:tr>
      <w:tr>
        <w:trPr/>
        <w:tc>
          <w:tcPr>
            <w:tcW w:w="75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59,564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75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75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gains on available-for-sale securities, net of taxes of $18 and $37 for the three months ended March 31, 2024 and 2023,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75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1" w:name="_c0865671_06a2_4c93_b7ff_19c0cc90550d"/>
      <w:bookmarkEnd w:id="251"/>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52" w:name="Tc_b977Fa4ppkOs9mxMtecc0A_11_21"/>
      <w:bookmarkStart w:id="253" w:name="Tc_1E6dTgL_XEqNucVfumbhSw_11_18"/>
      <w:bookmarkStart w:id="254" w:name="Tc_Q1GTHsfVokCRsePVy91U8g_11_15"/>
      <w:bookmarkStart w:id="255" w:name="Tc_GjJe2fPQ-kuen8y55kUwuw_11_12"/>
      <w:bookmarkStart w:id="256" w:name="Tc_zD7PDplp4kSa7wUkEOxqoQ_11_9"/>
      <w:bookmarkStart w:id="257" w:name="Tc_JHYe9McMLkGTJgwGVDMvow_11_4"/>
      <w:bookmarkStart w:id="258" w:name="Tc_6krku8nywUaCzY5A9ppuWQ_11_0"/>
      <w:bookmarkStart w:id="259" w:name="Tc_pMrNJUoFZ0a9NTdmKs8c2Q_10_19"/>
      <w:bookmarkStart w:id="260" w:name="Tc___K8ht1ngke9wynxSVjwLg_10_16"/>
      <w:bookmarkStart w:id="261" w:name="Tc_1ozGYhMzGkaeLYhBazYcSg_10_0"/>
      <w:bookmarkStart w:id="262" w:name="Tc_qnbyKPT-pUePGqVREk5aLA_9_22"/>
      <w:bookmarkStart w:id="263" w:name="Tc_ml1HfxycUUizA9W3b4Lyig_9_19"/>
      <w:bookmarkStart w:id="264" w:name="Tc_L4VvSQaln0-XKL2nbHN5FQ_9_16"/>
      <w:bookmarkStart w:id="265" w:name="Tc_-HcQcAnRMkC4ZFoiU2ow0Q_9_13"/>
      <w:bookmarkStart w:id="266" w:name="Tc_uUbFV87zR06Kt3micT5ohQ_9_10"/>
      <w:bookmarkStart w:id="267" w:name="Tc_YCsIKCAxvkqhsY2SHrQVnA_9_5"/>
      <w:bookmarkStart w:id="268" w:name="Tc_6utRipz-mUyaWByKWCzPsw_9_2"/>
      <w:bookmarkStart w:id="269" w:name="Tc_cfItaWwtyEGh2cBSEQttXQ_9_0"/>
      <w:bookmarkStart w:id="270" w:name="Tc_jOdXs-A4ukK4IU30SJOs6g_8_19"/>
      <w:bookmarkStart w:id="271" w:name="Tc_x99YOvFvkk2TVY0afBzAoA_8_16"/>
      <w:bookmarkStart w:id="272" w:name="Tc_OaTLIffb8EKz7WcldFyXKA_8_13"/>
      <w:bookmarkStart w:id="273" w:name="Tc_BAfuQP0qt0e7TJPOc-5O8A_8_5"/>
      <w:bookmarkStart w:id="274" w:name="Tc_7LTZJZOJPkG1SJm2zD2qCA_8_2"/>
      <w:bookmarkStart w:id="275" w:name="Tc_cUpF3hzVHEOjaAsXKiRBUQ_8_0"/>
      <w:bookmarkStart w:id="276" w:name="Tc_j6BibNEkDkiGbPSgAK7l4Q_7_13"/>
      <w:bookmarkStart w:id="277" w:name="Tc_hkrZZmbRh0Wp5sBdMKQqOQ_7_10"/>
      <w:bookmarkStart w:id="278" w:name="Tc_PUEtuNkvg0GiXDG6pFGAew_7_7"/>
      <w:bookmarkStart w:id="279" w:name="Tc_6y8nnhVy50CjIVaTGRobVQ_7_5"/>
      <w:bookmarkStart w:id="280" w:name="Tc_oRl4aV4XbUa2tuTQw6wqVg_7_2"/>
      <w:bookmarkStart w:id="281" w:name="Tc_VSs-RMYlWUu4YokDnw5Rnw_7_0"/>
      <w:bookmarkStart w:id="282" w:name="Tc_pAUQPaexgUC-Kk631OWfdA_6_21"/>
      <w:bookmarkStart w:id="283" w:name="Tc_7Jg8Ib48TEu9fpBMmUGByw_6_18"/>
      <w:bookmarkStart w:id="284" w:name="Tc_-mmT7avHS0Kw0n89qu-7Lg_6_15"/>
      <w:bookmarkStart w:id="285" w:name="Tc_gJImQMaXB0m046bhSoW9dQ_6_12"/>
      <w:bookmarkStart w:id="286" w:name="Tc_fn2oRjvnS0-rQUsAa8yv2Q_6_9"/>
      <w:bookmarkStart w:id="287" w:name="Tc_tgVI3u4tgUabSYcY_4nmmg_6_4"/>
      <w:bookmarkStart w:id="288" w:name="Tc_IQsVWXy0IU2balGfYGTncg_6_0"/>
      <w:bookmarkStart w:id="289" w:name="Tc_H8R6cahqYUSysh3whdCF0Q_5_21"/>
      <w:bookmarkStart w:id="290" w:name="Tc_4G-iXXjFTk2BEQiWtaeovw_5_18"/>
      <w:bookmarkStart w:id="291" w:name="Tc_uf1n12cgp0-E18lcTQsFjQ_5_15"/>
      <w:bookmarkStart w:id="292" w:name="Tc_33l45wTbVUuJHEieV08xeA_5_12"/>
      <w:bookmarkStart w:id="293" w:name="Tc_HnInyYd5HEGghLKgVWtLHA_5_9"/>
      <w:bookmarkStart w:id="294" w:name="Tc_9sWQuJw0N0Oy1MrdDQwlag_5_7"/>
      <w:bookmarkStart w:id="295" w:name="Tc_y8C4rMABvkyMAbvYwUhVOA_5_4"/>
      <w:bookmarkStart w:id="296" w:name="Tc_Y8BrXoGWj06JnfroWaoR1w_5_2"/>
      <w:bookmarkStart w:id="297" w:name="Tc_9GOq3C2jAkW5xDyKjzpfPA_4_18"/>
      <w:bookmarkStart w:id="298" w:name="Tc_Oc0Wg3H-E0SLqJ8Z4tw42w_4_15"/>
      <w:bookmarkStart w:id="299" w:name="Tc_oJplJc0xaky5WzRiAzTZ4Q_4_12"/>
      <w:bookmarkStart w:id="300" w:name="Tc_gSDm-M1vd06smYYvwFvu8g_4_7"/>
      <w:bookmarkStart w:id="301" w:name="Tc_OGavLUvAxkGTE_3nLEnQ6A_4_2"/>
      <w:bookmarkStart w:id="302" w:name="Tc_CKO6vtQusUuWEDRKbvm0rA_3_15"/>
      <w:bookmarkStart w:id="303" w:name="Tc_TTFOA_iF2Uqg7PsqhQWJew_3_12"/>
      <w:bookmarkStart w:id="304" w:name="Tc_HdLbnBFVTUy-N8RCsjDIbA_2_15"/>
      <w:bookmarkStart w:id="305" w:name="Tc_3iWg0DmZy0q_SUjW2XQ2kg_1_2"/>
      <w:bookmarkStart w:id="306" w:name="_6c2148fc_67e0_4c26_b347_3f3814c45b99"/>
      <w:bookmarkStart w:id="307" w:name="Tc_b977Fa4ppkOs9mxMtecc0A_11_21"/>
      <w:bookmarkStart w:id="308" w:name="Tc_1E6dTgL_XEqNucVfumbhSw_11_18"/>
      <w:bookmarkStart w:id="309" w:name="Tc_Q1GTHsfVokCRsePVy91U8g_11_15"/>
      <w:bookmarkStart w:id="310" w:name="Tc_GjJe2fPQ-kuen8y55kUwuw_11_12"/>
      <w:bookmarkStart w:id="311" w:name="Tc_zD7PDplp4kSa7wUkEOxqoQ_11_9"/>
      <w:bookmarkStart w:id="312" w:name="Tc_JHYe9McMLkGTJgwGVDMvow_11_4"/>
      <w:bookmarkStart w:id="313" w:name="Tc_6krku8nywUaCzY5A9ppuWQ_11_0"/>
      <w:bookmarkStart w:id="314" w:name="Tc_pMrNJUoFZ0a9NTdmKs8c2Q_10_19"/>
      <w:bookmarkStart w:id="315" w:name="Tc___K8ht1ngke9wynxSVjwLg_10_16"/>
      <w:bookmarkStart w:id="316" w:name="Tc_1ozGYhMzGkaeLYhBazYcSg_10_0"/>
      <w:bookmarkStart w:id="317" w:name="Tc_qnbyKPT-pUePGqVREk5aLA_9_22"/>
      <w:bookmarkStart w:id="318" w:name="Tc_ml1HfxycUUizA9W3b4Lyig_9_19"/>
      <w:bookmarkStart w:id="319" w:name="Tc_L4VvSQaln0-XKL2nbHN5FQ_9_16"/>
      <w:bookmarkStart w:id="320" w:name="Tc_-HcQcAnRMkC4ZFoiU2ow0Q_9_13"/>
      <w:bookmarkStart w:id="321" w:name="Tc_uUbFV87zR06Kt3micT5ohQ_9_10"/>
      <w:bookmarkStart w:id="322" w:name="Tc_YCsIKCAxvkqhsY2SHrQVnA_9_5"/>
      <w:bookmarkStart w:id="323" w:name="Tc_6utRipz-mUyaWByKWCzPsw_9_2"/>
      <w:bookmarkStart w:id="324" w:name="Tc_cfItaWwtyEGh2cBSEQttXQ_9_0"/>
      <w:bookmarkStart w:id="325" w:name="Tc_jOdXs-A4ukK4IU30SJOs6g_8_19"/>
      <w:bookmarkStart w:id="326" w:name="Tc_x99YOvFvkk2TVY0afBzAoA_8_16"/>
      <w:bookmarkStart w:id="327" w:name="Tc_OaTLIffb8EKz7WcldFyXKA_8_13"/>
      <w:bookmarkStart w:id="328" w:name="Tc_BAfuQP0qt0e7TJPOc-5O8A_8_5"/>
      <w:bookmarkStart w:id="329" w:name="Tc_7LTZJZOJPkG1SJm2zD2qCA_8_2"/>
      <w:bookmarkStart w:id="330" w:name="Tc_cUpF3hzVHEOjaAsXKiRBUQ_8_0"/>
      <w:bookmarkStart w:id="331" w:name="Tc_j6BibNEkDkiGbPSgAK7l4Q_7_13"/>
      <w:bookmarkStart w:id="332" w:name="Tc_hkrZZmbRh0Wp5sBdMKQqOQ_7_10"/>
      <w:bookmarkStart w:id="333" w:name="Tc_PUEtuNkvg0GiXDG6pFGAew_7_7"/>
      <w:bookmarkStart w:id="334" w:name="Tc_6y8nnhVy50CjIVaTGRobVQ_7_5"/>
      <w:bookmarkStart w:id="335" w:name="Tc_oRl4aV4XbUa2tuTQw6wqVg_7_2"/>
      <w:bookmarkStart w:id="336" w:name="Tc_VSs-RMYlWUu4YokDnw5Rnw_7_0"/>
      <w:bookmarkStart w:id="337" w:name="Tc_pAUQPaexgUC-Kk631OWfdA_6_21"/>
      <w:bookmarkStart w:id="338" w:name="Tc_7Jg8Ib48TEu9fpBMmUGByw_6_18"/>
      <w:bookmarkStart w:id="339" w:name="Tc_-mmT7avHS0Kw0n89qu-7Lg_6_15"/>
      <w:bookmarkStart w:id="340" w:name="Tc_gJImQMaXB0m046bhSoW9dQ_6_12"/>
      <w:bookmarkStart w:id="341" w:name="Tc_fn2oRjvnS0-rQUsAa8yv2Q_6_9"/>
      <w:bookmarkStart w:id="342" w:name="Tc_tgVI3u4tgUabSYcY_4nmmg_6_4"/>
      <w:bookmarkStart w:id="343" w:name="Tc_IQsVWXy0IU2balGfYGTncg_6_0"/>
      <w:bookmarkStart w:id="344" w:name="Tc_H8R6cahqYUSysh3whdCF0Q_5_21"/>
      <w:bookmarkStart w:id="345" w:name="Tc_4G-iXXjFTk2BEQiWtaeovw_5_18"/>
      <w:bookmarkStart w:id="346" w:name="Tc_uf1n12cgp0-E18lcTQsFjQ_5_15"/>
      <w:bookmarkStart w:id="347" w:name="Tc_33l45wTbVUuJHEieV08xeA_5_12"/>
      <w:bookmarkStart w:id="348" w:name="Tc_HnInyYd5HEGghLKgVWtLHA_5_9"/>
      <w:bookmarkStart w:id="349" w:name="Tc_9sWQuJw0N0Oy1MrdDQwlag_5_7"/>
      <w:bookmarkStart w:id="350" w:name="Tc_y8C4rMABvkyMAbvYwUhVOA_5_4"/>
      <w:bookmarkStart w:id="351" w:name="Tc_Y8BrXoGWj06JnfroWaoR1w_5_2"/>
      <w:bookmarkStart w:id="352" w:name="Tc_9GOq3C2jAkW5xDyKjzpfPA_4_18"/>
      <w:bookmarkStart w:id="353" w:name="Tc_Oc0Wg3H-E0SLqJ8Z4tw42w_4_15"/>
      <w:bookmarkStart w:id="354" w:name="Tc_oJplJc0xaky5WzRiAzTZ4Q_4_12"/>
      <w:bookmarkStart w:id="355" w:name="Tc_gSDm-M1vd06smYYvwFvu8g_4_7"/>
      <w:bookmarkStart w:id="356" w:name="Tc_OGavLUvAxkGTE_3nLEnQ6A_4_2"/>
      <w:bookmarkStart w:id="357" w:name="Tc_CKO6vtQusUuWEDRKbvm0rA_3_15"/>
      <w:bookmarkStart w:id="358" w:name="Tc_TTFOA_iF2Uqg7PsqhQWJew_3_12"/>
      <w:bookmarkStart w:id="359" w:name="Tc_HdLbnBFVTUy-N8RCsjDIbA_2_15"/>
      <w:bookmarkStart w:id="360" w:name="Tc_3iWg0DmZy0q_SUjW2XQ2kg_1_2"/>
      <w:bookmarkStart w:id="361" w:name="_6c2148fc_67e0_4c26_b347_3f3814c45b99"/>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3" name="Frame2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7800" cy="175260"/>
                      <wp:effectExtent l="0" t="0" r="0" b="0"/>
                      <wp:wrapNone/>
                      <wp:docPr id="26" name="Frame2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56235" cy="175260"/>
                      <wp:effectExtent l="0" t="0" r="0" b="0"/>
                      <wp:wrapNone/>
                      <wp:docPr id="27" name="Frame2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9260" cy="175260"/>
                      <wp:effectExtent l="0" t="0" r="0" b="0"/>
                      <wp:wrapNone/>
                      <wp:docPr id="29" name="Frame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0810" cy="175260"/>
                      <wp:effectExtent l="0" t="0" r="0" b="0"/>
                      <wp:wrapNone/>
                      <wp:docPr id="30" name="Frame3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29285" cy="175260"/>
                      <wp:effectExtent l="0" t="0" r="0" b="0"/>
                      <wp:wrapNone/>
                      <wp:docPr id="32" name="Frame3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5"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6" name="Frame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4950" cy="175260"/>
                      <wp:effectExtent l="0" t="0" r="0" b="0"/>
                      <wp:wrapNone/>
                      <wp:docPr id="37" name="Frame3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7210" cy="175260"/>
                      <wp:effectExtent l="0" t="0" r="0" b="0"/>
                      <wp:wrapNone/>
                      <wp:docPr id="38" name="Frame3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9" name="Frame3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41" name="Frame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0810" cy="175260"/>
                      <wp:effectExtent l="0" t="0" r="0" b="0"/>
                      <wp:wrapNone/>
                      <wp:docPr id="42" name="Frame4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2610" cy="175260"/>
                      <wp:effectExtent l="0" t="0" r="0" b="0"/>
                      <wp:wrapNone/>
                      <wp:docPr id="44" name="Frame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322,512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2,244,712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718,014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68,010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67,954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54,087</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(1,879,697)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325,994</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2,312,722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759,447</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2" w:name="Tc_4Glo4llIKkKfXfLxiJjb9A_11_21"/>
      <w:bookmarkStart w:id="363" w:name="Tc_Npv0XcKGd0q6AaY1AWBDMg_11_18"/>
      <w:bookmarkStart w:id="364" w:name="Tc_jtntZTB6mEKqE6v3s8yArQ_11_15"/>
      <w:bookmarkStart w:id="365" w:name="Tc_VmGrvuws40GQXbj58lHzBg_11_12"/>
      <w:bookmarkStart w:id="366" w:name="Tc_mlBrfKxm5EmnvNRQNTpU0g_11_9"/>
      <w:bookmarkStart w:id="367" w:name="Tc_mPgFH-5MCkWDs3Yu34Dfaw_11_4"/>
      <w:bookmarkStart w:id="368" w:name="Tc_UtxL-z-BxEuhW4fxwGDCBA_11_0"/>
      <w:bookmarkStart w:id="369" w:name="Tc_sDRE7oXcmUi1sqYFh2oIFA_10_19"/>
      <w:bookmarkStart w:id="370" w:name="Tc_iJVFgjY1_Eae4L_Ptebw6g_10_16"/>
      <w:bookmarkStart w:id="371" w:name="Tc_TMYb-oSg6US8cDByU_Z0MQ_10_0"/>
      <w:bookmarkStart w:id="372" w:name="Tc_XGXv52tVP0iPgqv43gzxrg_9_22"/>
      <w:bookmarkStart w:id="373" w:name="Tc_lB6P2PSKZkqCHBNtL0GJLw_9_19"/>
      <w:bookmarkStart w:id="374" w:name="Tc_G3z5KqPrGkOFoNMk97eb3Q_9_16"/>
      <w:bookmarkStart w:id="375" w:name="Tc_F514s4iF00WnNAzRuJe4Jg_9_13"/>
      <w:bookmarkStart w:id="376" w:name="Tc_OrsY_6yWX0CusndSW5rYSQ_9_10"/>
      <w:bookmarkStart w:id="377" w:name="Tc_MdBC0uMwekiwloqP0eWleA_9_5"/>
      <w:bookmarkStart w:id="378" w:name="Tc_kUp3ZoAToUK_8T7LM1I0tA_9_2"/>
      <w:bookmarkStart w:id="379" w:name="Tc_DSIddZwq-U-2jifJMnwFWw_9_0"/>
      <w:bookmarkStart w:id="380" w:name="Tc_S4nNR7dHw0u_24nAx9LdEw_8_19"/>
      <w:bookmarkStart w:id="381" w:name="Tc_0nMbEBmc1kyj0dFDXCsuMg_8_16"/>
      <w:bookmarkStart w:id="382" w:name="Tc_Y0uwysQeEUSV6Plxl1JTrg_8_13"/>
      <w:bookmarkStart w:id="383" w:name="Tc_khNc-YKJO0OgIKEXeP79Eg_8_5"/>
      <w:bookmarkStart w:id="384" w:name="Tc_4lIvNbDxGUiGuzclcyLFHA_8_2"/>
      <w:bookmarkStart w:id="385" w:name="Tc_IcRVoiJ9uUW-gtKv1NsuJA_8_0"/>
      <w:bookmarkStart w:id="386" w:name="Tc_QR-_E_0AdUWCi_9hWNH97g_7_13"/>
      <w:bookmarkStart w:id="387" w:name="Tc_kvGcK-Qsl06pZxEbGhghcQ_7_10"/>
      <w:bookmarkStart w:id="388" w:name="Tc_xTkW-30rb0qJGnax7eN4OQ_7_7"/>
      <w:bookmarkStart w:id="389" w:name="Tc_XrwH-M_YoU69Fu-2diwlng_7_5"/>
      <w:bookmarkStart w:id="390" w:name="Tc_dBfEmCqVzkqvmSbmdSeSjQ_7_2"/>
      <w:bookmarkStart w:id="391" w:name="Tc_0q5vOkJug0-fCpNQpLsojA_7_0"/>
      <w:bookmarkStart w:id="392" w:name="Tc_pYj1kv5Isk2ZbtAsD_hsOg_6_21"/>
      <w:bookmarkStart w:id="393" w:name="Tc_k8e5u43XeUiJG84VLaqa2g_6_18"/>
      <w:bookmarkStart w:id="394" w:name="Tc_Jcatgyn8-kasGeyuIVdZNg_6_15"/>
      <w:bookmarkStart w:id="395" w:name="Tc_UTyHw-IqWUm_9uLk9L4F4w_6_12"/>
      <w:bookmarkStart w:id="396" w:name="Tc_gDt4ue3TN0umhBKtYa26rw_6_9"/>
      <w:bookmarkStart w:id="397" w:name="Tc_BK_xeTihjU-nhc1vvxp8bQ_6_4"/>
      <w:bookmarkStart w:id="398" w:name="Tc_D_jbMWn4lUmxZ9tJ1d9IQw_6_0"/>
      <w:bookmarkStart w:id="399" w:name="Tc_ImBtq5mJjkWB63M08symEw_5_21"/>
      <w:bookmarkStart w:id="400" w:name="Tc_MnKameKENkWQJK5aFmZF_Q_5_18"/>
      <w:bookmarkStart w:id="401" w:name="Tc_VwLJeViJlkOZF-XbdWxjjw_5_15"/>
      <w:bookmarkStart w:id="402" w:name="Tc_q1mhayGI_0q8YOyUspJxuQ_5_12"/>
      <w:bookmarkStart w:id="403" w:name="Tc_PpD1PYJDaEW-LlexGG7xdg_5_9"/>
      <w:bookmarkStart w:id="404" w:name="Tc_lAjzyDgpEU6IvQMNWSSw3A_5_7"/>
      <w:bookmarkStart w:id="405" w:name="Tc_UjSPrWkwCkGcCU9-Gh9lbg_5_4"/>
      <w:bookmarkStart w:id="406" w:name="Tc_l6cmuf-JeEGBBaPGtq6HqA_5_2"/>
      <w:bookmarkStart w:id="407" w:name="Tc_inIDFqlYiEKQfocUoJ647g_4_18"/>
      <w:bookmarkStart w:id="408" w:name="Tc_9K8BsUDUqEaF7aZGQd3oAA_4_15"/>
      <w:bookmarkStart w:id="409" w:name="Tc_LasL5xmTtE285QuYqo2meg_4_12"/>
      <w:bookmarkStart w:id="410" w:name="Tc_dG3AfURhzU2U69_Kyf5kfA_4_7"/>
      <w:bookmarkStart w:id="411" w:name="Tc_xT8jVdwAz0GnB5JLFBLu5Q_4_2"/>
      <w:bookmarkStart w:id="412" w:name="Tc_0X8XdMYLvk---E9hiLi1JA_3_15"/>
      <w:bookmarkStart w:id="413" w:name="Tc_9HHjhJyczE6gDzsEn9SAWQ_3_12"/>
      <w:bookmarkStart w:id="414" w:name="Tc_a-B2RupLUEKnK-ujyOVsew_2_15"/>
      <w:bookmarkStart w:id="415" w:name="Tc_5kHC_H8HvkCIQxQsZHYo4Q_1_2"/>
      <w:bookmarkStart w:id="416" w:name="_f99ad569_bc19_45ea_b57e_63964ab0add2"/>
      <w:bookmarkStart w:id="417" w:name="Tc_4Glo4llIKkKfXfLxiJjb9A_11_21"/>
      <w:bookmarkStart w:id="418" w:name="Tc_Npv0XcKGd0q6AaY1AWBDMg_11_18"/>
      <w:bookmarkStart w:id="419" w:name="Tc_jtntZTB6mEKqE6v3s8yArQ_11_15"/>
      <w:bookmarkStart w:id="420" w:name="Tc_VmGrvuws40GQXbj58lHzBg_11_12"/>
      <w:bookmarkStart w:id="421" w:name="Tc_mlBrfKxm5EmnvNRQNTpU0g_11_9"/>
      <w:bookmarkStart w:id="422" w:name="Tc_mPgFH-5MCkWDs3Yu34Dfaw_11_4"/>
      <w:bookmarkStart w:id="423" w:name="Tc_UtxL-z-BxEuhW4fxwGDCBA_11_0"/>
      <w:bookmarkStart w:id="424" w:name="Tc_sDRE7oXcmUi1sqYFh2oIFA_10_19"/>
      <w:bookmarkStart w:id="425" w:name="Tc_iJVFgjY1_Eae4L_Ptebw6g_10_16"/>
      <w:bookmarkStart w:id="426" w:name="Tc_TMYb-oSg6US8cDByU_Z0MQ_10_0"/>
      <w:bookmarkStart w:id="427" w:name="Tc_XGXv52tVP0iPgqv43gzxrg_9_22"/>
      <w:bookmarkStart w:id="428" w:name="Tc_lB6P2PSKZkqCHBNtL0GJLw_9_19"/>
      <w:bookmarkStart w:id="429" w:name="Tc_G3z5KqPrGkOFoNMk97eb3Q_9_16"/>
      <w:bookmarkStart w:id="430" w:name="Tc_F514s4iF00WnNAzRuJe4Jg_9_13"/>
      <w:bookmarkStart w:id="431" w:name="Tc_OrsY_6yWX0CusndSW5rYSQ_9_10"/>
      <w:bookmarkStart w:id="432" w:name="Tc_MdBC0uMwekiwloqP0eWleA_9_5"/>
      <w:bookmarkStart w:id="433" w:name="Tc_kUp3ZoAToUK_8T7LM1I0tA_9_2"/>
      <w:bookmarkStart w:id="434" w:name="Tc_DSIddZwq-U-2jifJMnwFWw_9_0"/>
      <w:bookmarkStart w:id="435" w:name="Tc_S4nNR7dHw0u_24nAx9LdEw_8_19"/>
      <w:bookmarkStart w:id="436" w:name="Tc_0nMbEBmc1kyj0dFDXCsuMg_8_16"/>
      <w:bookmarkStart w:id="437" w:name="Tc_Y0uwysQeEUSV6Plxl1JTrg_8_13"/>
      <w:bookmarkStart w:id="438" w:name="Tc_khNc-YKJO0OgIKEXeP79Eg_8_5"/>
      <w:bookmarkStart w:id="439" w:name="Tc_4lIvNbDxGUiGuzclcyLFHA_8_2"/>
      <w:bookmarkStart w:id="440" w:name="Tc_IcRVoiJ9uUW-gtKv1NsuJA_8_0"/>
      <w:bookmarkStart w:id="441" w:name="Tc_QR-_E_0AdUWCi_9hWNH97g_7_13"/>
      <w:bookmarkStart w:id="442" w:name="Tc_kvGcK-Qsl06pZxEbGhghcQ_7_10"/>
      <w:bookmarkStart w:id="443" w:name="Tc_xTkW-30rb0qJGnax7eN4OQ_7_7"/>
      <w:bookmarkStart w:id="444" w:name="Tc_XrwH-M_YoU69Fu-2diwlng_7_5"/>
      <w:bookmarkStart w:id="445" w:name="Tc_dBfEmCqVzkqvmSbmdSeSjQ_7_2"/>
      <w:bookmarkStart w:id="446" w:name="Tc_0q5vOkJug0-fCpNQpLsojA_7_0"/>
      <w:bookmarkStart w:id="447" w:name="Tc_pYj1kv5Isk2ZbtAsD_hsOg_6_21"/>
      <w:bookmarkStart w:id="448" w:name="Tc_k8e5u43XeUiJG84VLaqa2g_6_18"/>
      <w:bookmarkStart w:id="449" w:name="Tc_Jcatgyn8-kasGeyuIVdZNg_6_15"/>
      <w:bookmarkStart w:id="450" w:name="Tc_UTyHw-IqWUm_9uLk9L4F4w_6_12"/>
      <w:bookmarkStart w:id="451" w:name="Tc_gDt4ue3TN0umhBKtYa26rw_6_9"/>
      <w:bookmarkStart w:id="452" w:name="Tc_BK_xeTihjU-nhc1vvxp8bQ_6_4"/>
      <w:bookmarkStart w:id="453" w:name="Tc_D_jbMWn4lUmxZ9tJ1d9IQw_6_0"/>
      <w:bookmarkStart w:id="454" w:name="Tc_ImBtq5mJjkWB63M08symEw_5_21"/>
      <w:bookmarkStart w:id="455" w:name="Tc_MnKameKENkWQJK5aFmZF_Q_5_18"/>
      <w:bookmarkStart w:id="456" w:name="Tc_VwLJeViJlkOZF-XbdWxjjw_5_15"/>
      <w:bookmarkStart w:id="457" w:name="Tc_q1mhayGI_0q8YOyUspJxuQ_5_12"/>
      <w:bookmarkStart w:id="458" w:name="Tc_PpD1PYJDaEW-LlexGG7xdg_5_9"/>
      <w:bookmarkStart w:id="459" w:name="Tc_lAjzyDgpEU6IvQMNWSSw3A_5_7"/>
      <w:bookmarkStart w:id="460" w:name="Tc_UjSPrWkwCkGcCU9-Gh9lbg_5_4"/>
      <w:bookmarkStart w:id="461" w:name="Tc_l6cmuf-JeEGBBaPGtq6HqA_5_2"/>
      <w:bookmarkStart w:id="462" w:name="Tc_inIDFqlYiEKQfocUoJ647g_4_18"/>
      <w:bookmarkStart w:id="463" w:name="Tc_9K8BsUDUqEaF7aZGQd3oAA_4_15"/>
      <w:bookmarkStart w:id="464" w:name="Tc_LasL5xmTtE285QuYqo2meg_4_12"/>
      <w:bookmarkStart w:id="465" w:name="Tc_dG3AfURhzU2U69_Kyf5kfA_4_7"/>
      <w:bookmarkStart w:id="466" w:name="Tc_xT8jVdwAz0GnB5JLFBLu5Q_4_2"/>
      <w:bookmarkStart w:id="467" w:name="Tc_0X8XdMYLvk---E9hiLi1JA_3_15"/>
      <w:bookmarkStart w:id="468" w:name="Tc_9HHjhJyczE6gDzsEn9SAWQ_3_12"/>
      <w:bookmarkStart w:id="469" w:name="Tc_a-B2RupLUEKnK-ujyOVsew_2_15"/>
      <w:bookmarkStart w:id="470" w:name="Tc_5kHC_H8HvkCIQxQsZHYo4Q_1_2"/>
      <w:bookmarkStart w:id="471" w:name="_f99ad569_bc19_45ea_b57e_63964ab0add2"/>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5" name="Frame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6" name="Frame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0810" cy="175260"/>
                      <wp:effectExtent l="0" t="0" r="0" b="0"/>
                      <wp:wrapNone/>
                      <wp:docPr id="47" name="Frame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7800" cy="175260"/>
                      <wp:effectExtent l="0" t="0" r="0" b="0"/>
                      <wp:wrapNone/>
                      <wp:docPr id="48" name="Frame4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6235" cy="175260"/>
                      <wp:effectExtent l="0" t="0" r="0" b="0"/>
                      <wp:wrapNone/>
                      <wp:docPr id="49" name="Frame4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0810" cy="175260"/>
                      <wp:effectExtent l="0" t="0" r="0" b="0"/>
                      <wp:wrapNone/>
                      <wp:docPr id="50" name="Frame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51" name="Frame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5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29285" cy="175260"/>
                      <wp:effectExtent l="0" t="0" r="0" b="0"/>
                      <wp:wrapNone/>
                      <wp:docPr id="54" name="Frame5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4950" cy="175260"/>
                      <wp:effectExtent l="0" t="0" r="0" b="0"/>
                      <wp:wrapNone/>
                      <wp:docPr id="59" name="Frame5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7210" cy="175260"/>
                      <wp:effectExtent l="0" t="0" r="0" b="0"/>
                      <wp:wrapNone/>
                      <wp:docPr id="60" name="Frame6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0810" cy="175260"/>
                      <wp:effectExtent l="0" t="0" r="0" b="0"/>
                      <wp:wrapNone/>
                      <wp:docPr id="61" name="Frame6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1185" cy="175260"/>
                      <wp:effectExtent l="0" t="0" r="0" b="0"/>
                      <wp:wrapNone/>
                      <wp:docPr id="63"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0810" cy="175260"/>
                      <wp:effectExtent l="0" t="0" r="0" b="0"/>
                      <wp:wrapNone/>
                      <wp:docPr id="64" name="Frame6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2610" cy="175260"/>
                      <wp:effectExtent l="0" t="0" r="0" b="0"/>
                      <wp:wrapNone/>
                      <wp:docPr id="66" name="Frame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(1,711,423)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309,310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2,039,727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637,619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59,564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59,683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(35,090)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(35,090)</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53,966</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23,143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(1,752,844)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312,677</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2,099,291</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659,250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2" w:name="_efc7488c_996a_4cb4_80ef_854786d0899a"/>
      <w:bookmarkEnd w:id="472"/>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73" w:name="Tc_Wsw8wJxrnUSj8YoxBTu06A_39_5"/>
      <w:bookmarkStart w:id="474" w:name="Tc_0izYPuclU0ev3vwlvKyi2Q_39_2"/>
      <w:bookmarkStart w:id="475" w:name="Tc_Jsvnd3epW0m0X9o-h7NNAw_39_0"/>
      <w:bookmarkStart w:id="476" w:name="Tc_Q2Wc_5xXkUOsC8yIE4hKlQ_38_6"/>
      <w:bookmarkStart w:id="477" w:name="Tc_XRylSUo7SE6KIJs8tUK4Vg_38_5"/>
      <w:bookmarkStart w:id="478" w:name="Tc_OkngbHQ3ZUehR0g4kwR_Mw_38_2"/>
      <w:bookmarkStart w:id="479" w:name="Tc_7juwzsrQfk6aFrhiwtTn8A_38_0"/>
      <w:bookmarkStart w:id="480" w:name="Tc_PNhBLjC-5ka6ABmI_f7Gow_37_5"/>
      <w:bookmarkStart w:id="481" w:name="Tc_18RQAZGj10m7UnzS5U-ZkA_37_2"/>
      <w:bookmarkStart w:id="482" w:name="Tc_ywQZJXghyUuIvViL93E-ig_37_0"/>
      <w:bookmarkStart w:id="483" w:name="Tc_6H9LiUJqbUqCnZ5theWdWw_36_0"/>
      <w:bookmarkStart w:id="484" w:name="Tc_Yi-h4dRHGk2YBEw_4Axi3Q_35_5"/>
      <w:bookmarkStart w:id="485" w:name="Tc_a_h3qygaWEyKvnTlcvuzxw_35_2"/>
      <w:bookmarkStart w:id="486" w:name="Tc_-7aYlZ7TG0aOAodoATPfXw_35_0"/>
      <w:bookmarkStart w:id="487" w:name="Tc_TNP07bGRTkmRwKAtKwo2PQ_34_5"/>
      <w:bookmarkStart w:id="488" w:name="Tc_c8ZUyaKuykek125vz4LHTQ_34_2"/>
      <w:bookmarkStart w:id="489" w:name="Tc_uVIyxNLMTEuEqYr2iKHz-g_34_0"/>
      <w:bookmarkStart w:id="490" w:name="Tc_YbrZsmN3U0KPplpbjdxFqQ_33_0"/>
      <w:bookmarkStart w:id="491" w:name="Tc_TdEJ2p6is0K_u8xPA3Qzaw_32_5"/>
      <w:bookmarkStart w:id="492" w:name="Tc_64ZQ5JFv1kKVibD2p0hr9A_32_2"/>
      <w:bookmarkStart w:id="493" w:name="Tc_3AytNNqEjEaCH017egbpjg_32_0"/>
      <w:bookmarkStart w:id="494" w:name="Tc_r34aBGQXhUyH52lf1xc-qw_31_0"/>
      <w:bookmarkStart w:id="495" w:name="Tc_7S54TzFJS0O44z0x9Dkx3w_30_0"/>
      <w:bookmarkStart w:id="496" w:name="Tc_SoM4_PlY-kqHga6m1R0qSw_29_0"/>
      <w:bookmarkStart w:id="497" w:name="Tc_ALEHqUIM9kGezd8kI80dMg_28_0"/>
      <w:bookmarkStart w:id="498" w:name="Tc_3lUkxI8asE-Xv-kHiP2MeA_27_0"/>
      <w:bookmarkStart w:id="499" w:name="Tc_bDHu3Qz5QECGlp0mQEd8PQ_26_0"/>
      <w:bookmarkStart w:id="500" w:name="Tc_H3BcjkUZsEet6q_VMqCwJQ_25_0"/>
      <w:bookmarkStart w:id="501" w:name="Tc_8fdAIcrDmEW6AHM52i4upw_24_0"/>
      <w:bookmarkStart w:id="502" w:name="Tc_SyOsUOs9PkWH4214vxkrxA_23_0"/>
      <w:bookmarkStart w:id="503" w:name="Tc_Xg8ergbjtEC50uPdYF0Qrg_22_0"/>
      <w:bookmarkStart w:id="504" w:name="Tc_5maOO4jnTkGn48mopKIT5Q_21_0"/>
      <w:bookmarkStart w:id="505" w:name="Tc_XayAkWKIQEqPwD2vxeyUaA_20_0"/>
      <w:bookmarkStart w:id="506" w:name="Tc_We5qfa2wtEyrAC9ZW1MrTQ_19_0"/>
      <w:bookmarkStart w:id="507" w:name="Tc_i9urRQjAk0GtbEeVVkWq8g_18_0"/>
      <w:bookmarkStart w:id="508" w:name="Tc_9yzotwFlnkiaiqzOo4uggw_17_0"/>
      <w:bookmarkStart w:id="509" w:name="Tc_KjJGwA4dcUKn3z1onBac3A_16_0"/>
      <w:bookmarkStart w:id="510" w:name="Tc_ZEtQcYhwuUiaH9edqyeYUQ_15_0"/>
      <w:bookmarkStart w:id="511" w:name="Tc_Oa0YOysn20qcATblFdt8KA_14_0"/>
      <w:bookmarkStart w:id="512" w:name="Tc_5SFKduT2RU-82hVbI4w61A_13_0"/>
      <w:bookmarkStart w:id="513" w:name="Tc_pIPCICCl0kCdvcggOZpR7A_12_0"/>
      <w:bookmarkStart w:id="514" w:name="Tc_2d5Lbz_pEUq2FzJPO6pvhQ_11_0"/>
      <w:bookmarkStart w:id="515" w:name="Tc_xqVO-t5yPEmubkGA0urM8Q_10_0"/>
      <w:bookmarkStart w:id="516" w:name="Tc_cCZlm8Jv5Eq0b5UZDsmnjA_9_0"/>
      <w:bookmarkStart w:id="517" w:name="Tc_ekYV8BYI30eax0tQENh25g_8_0"/>
      <w:bookmarkStart w:id="518" w:name="Tc_vdYVsmeFMUK38tkDEjJEDQ_7_0"/>
      <w:bookmarkStart w:id="519" w:name="Tc_Cl4GT5XJskK6UgpGP4F_3g_6_0"/>
      <w:bookmarkStart w:id="520" w:name="Tc_yq1LfwdKlEqKbT0f_8jnDg_5_5"/>
      <w:bookmarkStart w:id="521" w:name="Tc_VLce-rq0V0aC6lHfhAvnZw_5_2"/>
      <w:bookmarkStart w:id="522" w:name="Tc_rFs4EDA6aUG1PD_zBD6xqA_5_0"/>
      <w:bookmarkStart w:id="523" w:name="Tc_bVPG6A7oXkOQ5vMW8rJNpw_4_0"/>
      <w:bookmarkStart w:id="524" w:name="Tc_Wfpwa4iwmEmUXjUw8F380w_3_5"/>
      <w:bookmarkStart w:id="525" w:name="Tc_r9wF8hL2S0yL5QLzUfGlbg_3_2"/>
      <w:bookmarkStart w:id="526" w:name="Tc_hayzuSeUrU-srRnqJTkH5g_3_0"/>
      <w:bookmarkStart w:id="527" w:name="Tc__aSvFn8RJkeW3cDfr6bo-Q_2_2"/>
      <w:bookmarkStart w:id="528" w:name="Tc_B6r77DLZkkqf_KPc71D19w_1_2"/>
      <w:bookmarkStart w:id="529" w:name="_3ef04afb_51ad_45aa_87a2_1fc8f1a88ea0"/>
      <w:bookmarkStart w:id="530" w:name="Tc_Wsw8wJxrnUSj8YoxBTu06A_39_5"/>
      <w:bookmarkStart w:id="531" w:name="Tc_0izYPuclU0ev3vwlvKyi2Q_39_2"/>
      <w:bookmarkStart w:id="532" w:name="Tc_Jsvnd3epW0m0X9o-h7NNAw_39_0"/>
      <w:bookmarkStart w:id="533" w:name="Tc_Q2Wc_5xXkUOsC8yIE4hKlQ_38_6"/>
      <w:bookmarkStart w:id="534" w:name="Tc_XRylSUo7SE6KIJs8tUK4Vg_38_5"/>
      <w:bookmarkStart w:id="535" w:name="Tc_OkngbHQ3ZUehR0g4kwR_Mw_38_2"/>
      <w:bookmarkStart w:id="536" w:name="Tc_7juwzsrQfk6aFrhiwtTn8A_38_0"/>
      <w:bookmarkStart w:id="537" w:name="Tc_PNhBLjC-5ka6ABmI_f7Gow_37_5"/>
      <w:bookmarkStart w:id="538" w:name="Tc_18RQAZGj10m7UnzS5U-ZkA_37_2"/>
      <w:bookmarkStart w:id="539" w:name="Tc_ywQZJXghyUuIvViL93E-ig_37_0"/>
      <w:bookmarkStart w:id="540" w:name="Tc_6H9LiUJqbUqCnZ5theWdWw_36_0"/>
      <w:bookmarkStart w:id="541" w:name="Tc_Yi-h4dRHGk2YBEw_4Axi3Q_35_5"/>
      <w:bookmarkStart w:id="542" w:name="Tc_a_h3qygaWEyKvnTlcvuzxw_35_2"/>
      <w:bookmarkStart w:id="543" w:name="Tc_-7aYlZ7TG0aOAodoATPfXw_35_0"/>
      <w:bookmarkStart w:id="544" w:name="Tc_TNP07bGRTkmRwKAtKwo2PQ_34_5"/>
      <w:bookmarkStart w:id="545" w:name="Tc_c8ZUyaKuykek125vz4LHTQ_34_2"/>
      <w:bookmarkStart w:id="546" w:name="Tc_uVIyxNLMTEuEqYr2iKHz-g_34_0"/>
      <w:bookmarkStart w:id="547" w:name="Tc_YbrZsmN3U0KPplpbjdxFqQ_33_0"/>
      <w:bookmarkStart w:id="548" w:name="Tc_TdEJ2p6is0K_u8xPA3Qzaw_32_5"/>
      <w:bookmarkStart w:id="549" w:name="Tc_64ZQ5JFv1kKVibD2p0hr9A_32_2"/>
      <w:bookmarkStart w:id="550" w:name="Tc_3AytNNqEjEaCH017egbpjg_32_0"/>
      <w:bookmarkStart w:id="551" w:name="Tc_r34aBGQXhUyH52lf1xc-qw_31_0"/>
      <w:bookmarkStart w:id="552" w:name="Tc_7S54TzFJS0O44z0x9Dkx3w_30_0"/>
      <w:bookmarkStart w:id="553" w:name="Tc_SoM4_PlY-kqHga6m1R0qSw_29_0"/>
      <w:bookmarkStart w:id="554" w:name="Tc_ALEHqUIM9kGezd8kI80dMg_28_0"/>
      <w:bookmarkStart w:id="555" w:name="Tc_3lUkxI8asE-Xv-kHiP2MeA_27_0"/>
      <w:bookmarkStart w:id="556" w:name="Tc_bDHu3Qz5QECGlp0mQEd8PQ_26_0"/>
      <w:bookmarkStart w:id="557" w:name="Tc_H3BcjkUZsEet6q_VMqCwJQ_25_0"/>
      <w:bookmarkStart w:id="558" w:name="Tc_8fdAIcrDmEW6AHM52i4upw_24_0"/>
      <w:bookmarkStart w:id="559" w:name="Tc_SyOsUOs9PkWH4214vxkrxA_23_0"/>
      <w:bookmarkStart w:id="560" w:name="Tc_Xg8ergbjtEC50uPdYF0Qrg_22_0"/>
      <w:bookmarkStart w:id="561" w:name="Tc_5maOO4jnTkGn48mopKIT5Q_21_0"/>
      <w:bookmarkStart w:id="562" w:name="Tc_XayAkWKIQEqPwD2vxeyUaA_20_0"/>
      <w:bookmarkStart w:id="563" w:name="Tc_We5qfa2wtEyrAC9ZW1MrTQ_19_0"/>
      <w:bookmarkStart w:id="564" w:name="Tc_i9urRQjAk0GtbEeVVkWq8g_18_0"/>
      <w:bookmarkStart w:id="565" w:name="Tc_9yzotwFlnkiaiqzOo4uggw_17_0"/>
      <w:bookmarkStart w:id="566" w:name="Tc_KjJGwA4dcUKn3z1onBac3A_16_0"/>
      <w:bookmarkStart w:id="567" w:name="Tc_ZEtQcYhwuUiaH9edqyeYUQ_15_0"/>
      <w:bookmarkStart w:id="568" w:name="Tc_Oa0YOysn20qcATblFdt8KA_14_0"/>
      <w:bookmarkStart w:id="569" w:name="Tc_5SFKduT2RU-82hVbI4w61A_13_0"/>
      <w:bookmarkStart w:id="570" w:name="Tc_pIPCICCl0kCdvcggOZpR7A_12_0"/>
      <w:bookmarkStart w:id="571" w:name="Tc_2d5Lbz_pEUq2FzJPO6pvhQ_11_0"/>
      <w:bookmarkStart w:id="572" w:name="Tc_xqVO-t5yPEmubkGA0urM8Q_10_0"/>
      <w:bookmarkStart w:id="573" w:name="Tc_cCZlm8Jv5Eq0b5UZDsmnjA_9_0"/>
      <w:bookmarkStart w:id="574" w:name="Tc_ekYV8BYI30eax0tQENh25g_8_0"/>
      <w:bookmarkStart w:id="575" w:name="Tc_vdYVsmeFMUK38tkDEjJEDQ_7_0"/>
      <w:bookmarkStart w:id="576" w:name="Tc_Cl4GT5XJskK6UgpGP4F_3g_6_0"/>
      <w:bookmarkStart w:id="577" w:name="Tc_yq1LfwdKlEqKbT0f_8jnDg_5_5"/>
      <w:bookmarkStart w:id="578" w:name="Tc_VLce-rq0V0aC6lHfhAvnZw_5_2"/>
      <w:bookmarkStart w:id="579" w:name="Tc_rFs4EDA6aUG1PD_zBD6xqA_5_0"/>
      <w:bookmarkStart w:id="580" w:name="Tc_bVPG6A7oXkOQ5vMW8rJNpw_4_0"/>
      <w:bookmarkStart w:id="581" w:name="Tc_Wfpwa4iwmEmUXjUw8F380w_3_5"/>
      <w:bookmarkStart w:id="582" w:name="Tc_r9wF8hL2S0yL5QLzUfGlbg_3_2"/>
      <w:bookmarkStart w:id="583" w:name="Tc_hayzuSeUrU-srRnqJTkH5g_3_0"/>
      <w:bookmarkStart w:id="584" w:name="Tc__aSvFn8RJkeW3cDfr6bo-Q_2_2"/>
      <w:bookmarkStart w:id="585" w:name="Tc_B6r77DLZkkqf_KPc71D19w_1_2"/>
      <w:bookmarkStart w:id="586" w:name="_3ef04afb_51ad_45aa_87a2_1fc8f1a88ea0"/>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tbl>
      <w:tblPr>
        <w:tblW w:w="8067" w:type="dxa"/>
        <w:jc w:val="left"/>
        <w:tblInd w:w="0" w:type="dxa"/>
        <w:tblLayout w:type="fixed"/>
        <w:tblCellMar>
          <w:top w:w="0" w:type="dxa"/>
          <w:left w:w="0" w:type="dxa"/>
          <w:bottom w:w="0" w:type="dxa"/>
          <w:right w:w="0" w:type="dxa"/>
        </w:tblCellMar>
      </w:tblPr>
      <w:tblGrid>
        <w:gridCol w:w="5716"/>
        <w:gridCol w:w="146"/>
        <w:gridCol w:w="196"/>
        <w:gridCol w:w="721"/>
        <w:gridCol w:w="326"/>
        <w:gridCol w:w="196"/>
        <w:gridCol w:w="76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629660" cy="175260"/>
                      <wp:effectExtent l="0" t="0" r="0" b="0"/>
                      <wp:wrapNone/>
                      <wp:docPr id="67" name="Frame6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92710" cy="175260"/>
                      <wp:effectExtent l="0" t="0" r="0" b="0"/>
                      <wp:wrapNone/>
                      <wp:docPr id="68" name="Frame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57835" cy="175260"/>
                      <wp:effectExtent l="0" t="0" r="0" b="0"/>
                      <wp:wrapNone/>
                      <wp:docPr id="70" name="Frame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86410" cy="175260"/>
                      <wp:effectExtent l="0" t="0" r="0" b="0"/>
                      <wp:wrapNone/>
                      <wp:docPr id="73" name="Frame7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59,564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(25,158)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14,225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62,999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23,172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24,253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(37,134)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(41,234)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(41,234)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 (decrease) in cash and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120,409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196,208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105,040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receivable for litigation settlement to be paid by insurance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187</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587" w:name="_cp_text_1_117"/>
      <w:bookmarkEnd w:id="587"/>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six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GCE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2024, GCE provides education services to 23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2023.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2023 from which the December 31, 2023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the Company considered its investments in corporate bonds, agency bonds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Unrealized investment 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Insurance Receivable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Company recorded a insurance receivable on March 31, 2024 for $25,500 for the Shareholder Litigation matter discussed in detail in Note 8 of the consolidated financial statements. The Company’s insurance carriers will fund the entire settlement amount.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March 31, 2024 and December 31, 2023, $726 and $746,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March 31, 2024.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March 31, 2024. The Company will continue to review and revise its allowance methodology based on its collection experience with its partners.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our partners with unbilled revenue, revenue recognition occurs in advance of billings. Billings for some university partners do not occur until after the service period has commenced and final enrollment information is available. Given that the Fall semester has ended as of December 31 of each year unbilled revenue is low at year end whereas at the end of each fiscal quarter a semester is ongoing and thus unbilled revenue is higher. Our unbilled revenue of $2,956 and $188 as of March 31, 2024 and December 31, 2023,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March 31, 2024 and December 31, 2023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March 31, 2024 and December 31, 2023, the Company had $195,207 and $145,474, respectively, in excess of the FDIC insured limit. The Company is also subject to credit risk for its accounts receivable balance. Our dependence on our most significant university partner, with 89.7% and 88.5% of total service revenue for the three-month periods ended March 31, 2024 and 2023,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 other than consolidated net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 effective for fiscal years beginning after December 15, 2023, with early adoption permitted. The ASU adds disclosure requirements for segment expense information. The ASU clarifies that single reportable segment entities are subject to Topic 280 in its entirety. The Company adopted this standard effective January 1, 2024 and the adoption of this guidance did not have a material impact on the Company’s financial condition, results of operations or statements of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588" w:name="Tc_9nSDAIb8zEykvrRgfM4fkA_6_2"/>
      <w:bookmarkStart w:id="589" w:name="Tc_mtviCE4Wik2uwynd16z8kg_6_0"/>
      <w:bookmarkStart w:id="590" w:name="Tc_nP9Q6KccPUinhUD1IJf8mg_5_0"/>
      <w:bookmarkStart w:id="591" w:name="Tc_0u1WMIOkW0yAaAwFXc2-bw_4_0"/>
      <w:bookmarkStart w:id="592" w:name="Tc_torlvHbUnEWXn9E7azrmJQ_3_0"/>
      <w:bookmarkStart w:id="593" w:name="Tc_2I1ZWYLSMUCrwutluCKLtg_2_2"/>
      <w:bookmarkStart w:id="594" w:name="Tc_K8rWVWahK0qiTmMXO3d1cw_2_0"/>
      <w:bookmarkStart w:id="595" w:name="Tc_c0JIwCueTEqxXg8w-huK7w_1_0"/>
      <w:bookmarkStart w:id="596" w:name="Tc_aD_k3lPan0OGIXLd_aaBlA_7_11"/>
      <w:bookmarkStart w:id="597" w:name="Tc_LY5se4j20EeF6NcQvJRjqg_7_8"/>
      <w:bookmarkStart w:id="598" w:name="Tc_a7uXcQEgSE6qgpxpiLIsDw_7_5"/>
      <w:bookmarkStart w:id="599" w:name="Tc_KY2ULkKjpkeTuLc7aVjegg_7_2"/>
      <w:bookmarkStart w:id="600" w:name="Tc_Rno0Pc7tA0G2QeRbxxKTHw_7_0"/>
      <w:bookmarkStart w:id="601" w:name="Tc_oKcF0sdd80qQn3yaVR7ANg_6_0"/>
      <w:bookmarkStart w:id="602" w:name="Tc_8Krsg6KQ_UOUxYqx_3W_Og_5_11"/>
      <w:bookmarkStart w:id="603" w:name="Tc_BjkIn9mjRUW6kj3xHE7z5g_5_8"/>
      <w:bookmarkStart w:id="604" w:name="Tc_b78AcAgEHEKnAJpbumY3UA_5_5"/>
      <w:bookmarkStart w:id="605" w:name="Tc_lIPcPJ2STUqxvoH0lqdajg_5_2"/>
      <w:bookmarkStart w:id="606" w:name="Tc_--GEu23FFk-gxBuCmuks0Q_5_0"/>
      <w:bookmarkStart w:id="607" w:name="Tc_Zn5jdAk0nEqHkeCD-OwRJw_4_11"/>
      <w:bookmarkStart w:id="608" w:name="Tc_rJYR1n5Ptk6MSIyFqTBzug_4_8"/>
      <w:bookmarkStart w:id="609" w:name="Tc_iWmodp3_jkm9eknyO5auZQ_4_5"/>
      <w:bookmarkStart w:id="610" w:name="Tc_uBjZgAXq906xK6eoJQVJbQ_4_2"/>
      <w:bookmarkStart w:id="611" w:name="Tc_i2rx4uGa40yTrFS5-UFwzA_3_11"/>
      <w:bookmarkStart w:id="612" w:name="Tc_nGVl8EUXJUSIi-2V2ekD9A_3_8"/>
      <w:bookmarkStart w:id="613" w:name="Tc_sqlYfCCC3Ua3P2vfMkk8Vg_3_5"/>
      <w:bookmarkStart w:id="614" w:name="Tc_iEeUPXNqZUa516_tD1fBpg_3_2"/>
      <w:bookmarkStart w:id="615" w:name="Tc_fY9A5Ecuk0aCTanHBG-uhA_2_11"/>
      <w:bookmarkStart w:id="616" w:name="Tc_w7qOi1ZOTUKXX0b2-U1b4w_2_8"/>
      <w:bookmarkStart w:id="617" w:name="Tc_JKfA_EPR5EmeTT1N1GorCw_2_5"/>
      <w:bookmarkStart w:id="618" w:name="Tc_aqtJicYkKEGAtj9qW6iPig_1_2"/>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the Company had investments of $94,485 and $98,031, respectively, classified as available-for-sale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March 31, 2024, the Company had available-for-sale investments comprised of the following:</w:t>
      </w:r>
    </w:p>
    <w:p>
      <w:pPr>
        <w:pStyle w:val="TextBody"/>
        <w:bidi w:val="0"/>
        <w:spacing w:before="0" w:after="0"/>
        <w:ind w:left="0" w:right="0" w:hanging="0"/>
        <w:jc w:val="left"/>
        <w:rPr/>
      </w:pPr>
      <w:r>
        <w:rPr/>
        <w:t>​</w:t>
      </w:r>
    </w:p>
    <w:tbl>
      <w:tblPr>
        <w:tblW w:w="6531" w:type="dxa"/>
        <w:jc w:val="left"/>
        <w:tblInd w:w="0" w:type="dxa"/>
        <w:tblLayout w:type="fixed"/>
        <w:tblCellMar>
          <w:top w:w="0" w:type="dxa"/>
          <w:left w:w="0" w:type="dxa"/>
          <w:bottom w:w="0" w:type="dxa"/>
          <w:right w:w="0" w:type="dxa"/>
        </w:tblCellMar>
      </w:tblPr>
      <w:tblGrid>
        <w:gridCol w:w="1576"/>
        <w:gridCol w:w="326"/>
        <w:gridCol w:w="211"/>
        <w:gridCol w:w="676"/>
        <w:gridCol w:w="326"/>
        <w:gridCol w:w="295"/>
        <w:gridCol w:w="591"/>
        <w:gridCol w:w="326"/>
        <w:gridCol w:w="270"/>
        <w:gridCol w:w="616"/>
        <w:gridCol w:w="326"/>
        <w:gridCol w:w="211"/>
        <w:gridCol w:w="78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00760" cy="175260"/>
                      <wp:effectExtent l="0" t="0" r="0" b="0"/>
                      <wp:wrapNone/>
                      <wp:docPr id="74" name="Frame7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29260" cy="175260"/>
                      <wp:effectExtent l="0" t="0" r="0" b="0"/>
                      <wp:wrapNone/>
                      <wp:docPr id="77"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7325" cy="175260"/>
                      <wp:effectExtent l="0" t="0" r="0" b="0"/>
                      <wp:wrapNone/>
                      <wp:docPr id="79" name="Frame7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75285" cy="175260"/>
                      <wp:effectExtent l="0" t="0" r="0" b="0"/>
                      <wp:wrapNone/>
                      <wp:docPr id="80" name="Frame8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1450" cy="175260"/>
                      <wp:effectExtent l="0" t="0" r="0" b="0"/>
                      <wp:wrapNone/>
                      <wp:docPr id="82" name="Frame8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91160" cy="175260"/>
                      <wp:effectExtent l="0" t="0" r="0" b="0"/>
                      <wp:wrapNone/>
                      <wp:docPr id="83" name="Frame8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2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2024</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79,633</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79,493</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15,001</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14,992</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94,634</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94,485</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2024 and 2023, the net unrealized losses and gains were $56 and $119,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The Company has the ability and intent to hold these investments until recovery or maturity.</w:t>
      </w:r>
    </w:p>
    <w:p>
      <w:pPr>
        <w:pStyle w:val="TextBody"/>
        <w:bidi w:val="0"/>
        <w:spacing w:before="0" w:after="0"/>
        <w:ind w:left="0" w:right="0" w:hanging="0"/>
        <w:jc w:val="left"/>
        <w:rPr/>
      </w:pPr>
      <w:r>
        <w:rPr/>
        <w:t>​</w:t>
      </w:r>
    </w:p>
    <w:tbl>
      <w:tblPr>
        <w:tblW w:w="5867" w:type="dxa"/>
        <w:jc w:val="left"/>
        <w:tblInd w:w="0" w:type="dxa"/>
        <w:tblLayout w:type="fixed"/>
        <w:tblCellMar>
          <w:top w:w="0" w:type="dxa"/>
          <w:left w:w="0" w:type="dxa"/>
          <w:bottom w:w="0" w:type="dxa"/>
          <w:right w:w="0" w:type="dxa"/>
        </w:tblCellMar>
      </w:tblPr>
      <w:tblGrid>
        <w:gridCol w:w="4756"/>
        <w:gridCol w:w="109"/>
        <w:gridCol w:w="211"/>
        <w:gridCol w:w="79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020060" cy="175260"/>
                      <wp:effectExtent l="0" t="0" r="0" b="0"/>
                      <wp:wrapNone/>
                      <wp:docPr id="87" name="Frame8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2285" cy="175260"/>
                      <wp:effectExtent l="0" t="0" r="0" b="0"/>
                      <wp:wrapNone/>
                      <wp:docPr id="90" name="Frame9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50,632</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26,916</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7,190</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94,485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619" w:name="Tc_FsbH4KvPx0GscDMwFhFXRA_7_0"/>
      <w:bookmarkStart w:id="620" w:name="Tc_p3CdRgf7qkilgQEQK3mj_A_6_0"/>
      <w:bookmarkStart w:id="621" w:name="Tc_CNCYT463xUGiT-qw2zdtvQ_5_0"/>
      <w:bookmarkStart w:id="622" w:name="Tc_JQZqXQl_RUiZx2QoDOkB2g_4_0"/>
      <w:bookmarkStart w:id="623" w:name="Tc_62gcu395Ck2aHS3XaMo4Pg_3_5"/>
      <w:bookmarkStart w:id="624" w:name="Tc_gQh1G_KA-UiU_DXVjnDj0A_3_3"/>
      <w:bookmarkStart w:id="625" w:name="Tc_2EMVSZJ21E2JG47be-UtPw_2_3"/>
      <w:bookmarkStart w:id="626" w:name="Tc_mi2YIxSjiEWm63-AGahcKw_1_3"/>
      <w:bookmarkEnd w:id="619"/>
      <w:bookmarkEnd w:id="620"/>
      <w:bookmarkEnd w:id="621"/>
      <w:bookmarkEnd w:id="622"/>
      <w:bookmarkEnd w:id="623"/>
      <w:bookmarkEnd w:id="624"/>
      <w:bookmarkEnd w:id="625"/>
      <w:bookmarkEnd w:id="626"/>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6782" w:type="dxa"/>
        <w:jc w:val="left"/>
        <w:tblInd w:w="0" w:type="dxa"/>
        <w:tblLayout w:type="fixed"/>
        <w:tblCellMar>
          <w:top w:w="0" w:type="dxa"/>
          <w:left w:w="0" w:type="dxa"/>
          <w:bottom w:w="0" w:type="dxa"/>
          <w:right w:w="0" w:type="dxa"/>
        </w:tblCellMar>
      </w:tblPr>
      <w:tblGrid>
        <w:gridCol w:w="4261"/>
        <w:gridCol w:w="326"/>
        <w:gridCol w:w="146"/>
        <w:gridCol w:w="676"/>
        <w:gridCol w:w="326"/>
        <w:gridCol w:w="676"/>
        <w:gridCol w:w="37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705735" cy="175260"/>
                      <wp:effectExtent l="0" t="0" r="0" b="0"/>
                      <wp:wrapNone/>
                      <wp:docPr id="91" name="Frame9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2710" cy="175260"/>
                      <wp:effectExtent l="0" t="0" r="0" b="0"/>
                      <wp:wrapNone/>
                      <wp:docPr id="93" name="Frame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5585" cy="175260"/>
                      <wp:effectExtent l="0" t="0" r="0" b="0"/>
                      <wp:wrapNone/>
                      <wp:docPr id="97" name="Frame9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67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30,461</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71" w:type="dxa"/>
            <w:tcBorders/>
            <w:vAlign w:val="center"/>
          </w:tcPr>
          <w:p>
            <w:pPr>
              <w:pStyle w:val="TableContents"/>
              <w:bidi w:val="0"/>
              <w:spacing w:before="0" w:after="0"/>
              <w:ind w:left="0" w:right="0" w:hanging="0"/>
              <w:jc w:val="left"/>
              <w:rPr/>
            </w:pPr>
            <w:r>
              <w:rPr/>
              <w:t> </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30,638</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March 31, 2024 and 2023, approximately 78 and 100,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627" w:name="Tc_-WarpdNvy0ail7bjAtz7ZA_13_5"/>
      <w:bookmarkStart w:id="628" w:name="Tc_KuZPDARghEOTOtA69vuktQ_13_2"/>
      <w:bookmarkStart w:id="629" w:name="Tc_kA6jynuteUCLrrCGKGaSXQ_13_0"/>
      <w:bookmarkStart w:id="630" w:name="Tc_EoEhQ5trokeOeaEdq42e0Q_12_0"/>
      <w:bookmarkStart w:id="631" w:name="Tc_hwnUmEiTeEqxgO3T-gmc6Q_10_0"/>
      <w:bookmarkStart w:id="632" w:name="Tc_10g2AbCFCkiQC4a3WPrBiA_9_0"/>
      <w:bookmarkStart w:id="633" w:name="Tc_4_i3G3zX2Uamxdi3f5oyCw_8_0"/>
      <w:bookmarkStart w:id="634" w:name="Tc_9TpNzp8pj0eegruZsEj_qQ_7_0"/>
      <w:bookmarkStart w:id="635" w:name="Tc_AnD1TQiA206Jvl6QdGtBdw_6_0"/>
      <w:bookmarkStart w:id="636" w:name="Tc_V9KZpXrrGkijnhrgJ5u3GA_5_0"/>
      <w:bookmarkStart w:id="637" w:name="Tc_BsVqSvRQCEuhsBvv1xdq-Q_4_0"/>
      <w:bookmarkStart w:id="638" w:name="Tc_ffMzxPC1mUqLSMBMNDgC3g_3_5"/>
      <w:bookmarkStart w:id="639" w:name="Tc_xO8YRPpf_0SxMbXz4uTLYQ_3_2"/>
      <w:bookmarkStart w:id="640" w:name="Tc_yRMLTL7pPkWTnZI50EB-mg_3_0"/>
      <w:bookmarkStart w:id="641" w:name="Tc_b4kCEvtQxkyiHxP7nhuA-w_2_5"/>
      <w:bookmarkStart w:id="642" w:name="Tc_8jUn5KOxWUqpIvWtC1PbVg_2_2"/>
      <w:bookmarkStart w:id="643" w:name="Tc__GKuEa5Kr0KfSkEiANN9Uw_1_5"/>
      <w:bookmarkStart w:id="644" w:name="Tc_iPOpiM_UuEqDVI1i5Q-mxQ_1_2"/>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820" w:type="dxa"/>
        <w:jc w:val="left"/>
        <w:tblInd w:w="0" w:type="dxa"/>
        <w:tblLayout w:type="fixed"/>
        <w:tblCellMar>
          <w:top w:w="0" w:type="dxa"/>
          <w:left w:w="0" w:type="dxa"/>
          <w:bottom w:w="0" w:type="dxa"/>
          <w:right w:w="0" w:type="dxa"/>
        </w:tblCellMar>
      </w:tblPr>
      <w:tblGrid>
        <w:gridCol w:w="4051"/>
        <w:gridCol w:w="146"/>
        <w:gridCol w:w="211"/>
        <w:gridCol w:w="901"/>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572385" cy="175260"/>
                      <wp:effectExtent l="0" t="0" r="0" b="0"/>
                      <wp:wrapNone/>
                      <wp:docPr id="98" name="Frame9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2710" cy="175260"/>
                      <wp:effectExtent l="0" t="0" r="0" b="0"/>
                      <wp:wrapNone/>
                      <wp:docPr id="99" name="Frame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72135" cy="175260"/>
                      <wp:effectExtent l="0" t="0" r="0" b="0"/>
                      <wp:wrapNone/>
                      <wp:docPr id="101" name="Frame1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7160" cy="175260"/>
                      <wp:effectExtent l="0" t="0" r="0" b="0"/>
                      <wp:wrapNone/>
                      <wp:docPr id="103" name="Frame10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15315" cy="175260"/>
                      <wp:effectExtent l="0" t="0" r="0" b="0"/>
                      <wp:wrapNone/>
                      <wp:docPr id="104" name="Frame104"/>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34,463</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140,304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138,950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26,970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26,737</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74,728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10,274</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349,107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340,114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(176,921)</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(170,415)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172,186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169,699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645" w:name="Tc_mic7ydnWF0uWAxjJiY4Dtw_7_2"/>
      <w:bookmarkStart w:id="646" w:name="Tc_Co931K_pF0idKYNIxnEf0w_6_0"/>
      <w:bookmarkStart w:id="647" w:name="Tc_jwb6bd-X4U6FqV3Ez-ViDw_5_0"/>
      <w:bookmarkStart w:id="648" w:name="Tc_SCxXnpObXEmTQBWXunVqxg_4_0"/>
      <w:bookmarkStart w:id="649" w:name="Tc_-Vzhcp3ZI0mj_NQdUXQczQ_3_0"/>
      <w:bookmarkStart w:id="650" w:name="Tc_ApDcXvXB7E-rL5uNDP3uzQ_2_0"/>
      <w:bookmarkStart w:id="651" w:name="Tc_EeVmk7XjgEqEsi1mHBKrWw_1_2"/>
      <w:bookmarkStart w:id="652" w:name="Tc_GKRtV-vDpUSYPxdzVMJjEA_1_0"/>
      <w:bookmarkStart w:id="653" w:name="_249664d2_3644_4f96_be29_3043b3d2146f"/>
      <w:bookmarkStart w:id="654" w:name="Tc__Ua1JUbwQ06F-sZJGg4gFw_7_9"/>
      <w:bookmarkStart w:id="655" w:name="Tc_ELtgfm0MJ0uIsCP-0abAOg_7_6"/>
      <w:bookmarkStart w:id="656" w:name="Tc_Cur6Cri7UkaPqJz79zU2Tw_7_3"/>
      <w:bookmarkStart w:id="657" w:name="Tc_ufYbDWgYckOj4iBb7RP1og_7_0"/>
      <w:bookmarkStart w:id="658" w:name="Tc_U_7bwdvfpkOE-MlcOWp7eA_6_10"/>
      <w:bookmarkStart w:id="659" w:name="Tc_LUI-mOlPv0Slp-d1B_dlfw_6_0"/>
      <w:bookmarkStart w:id="660" w:name="Tc_AYia7xqUm0Cbu2lIP0C13w_5_9"/>
      <w:bookmarkStart w:id="661" w:name="Tc_uoigL57kfUisiH1vJ4lNuA_5_6"/>
      <w:bookmarkStart w:id="662" w:name="Tc_xpwDn9Iq20KJSy6WhYHVEQ_5_3"/>
      <w:bookmarkStart w:id="663" w:name="Tc_nR6Kb4klTEOBp43f7uZttA_5_0"/>
      <w:bookmarkStart w:id="664" w:name="Tc_SxxbDPtIh0iDvx5r06d29w_4_9"/>
      <w:bookmarkStart w:id="665" w:name="Tc_B_VV711JJUS-Ij7tqd0-qQ_4_6"/>
      <w:bookmarkStart w:id="666" w:name="Tc_-m-6tdEZGkG_CpAxKENurQ_4_3"/>
      <w:bookmarkStart w:id="667" w:name="Tc_euaouooVCk2vN2gNKUwgmA_4_1"/>
      <w:bookmarkStart w:id="668" w:name="Tc_lr9oqOWzUku-A91pMN0tCg_3_9"/>
      <w:bookmarkStart w:id="669" w:name="Tc_O2qTdTbejUe-NNXpHIgOgA_3_6"/>
      <w:bookmarkStart w:id="670" w:name="Tc_33SVEGQp5USoT9kWowawnA_3_3"/>
      <w:bookmarkStart w:id="671" w:name="Tc_eVB-wZ8hDUOJhNL9GRUMoQ_3_1"/>
      <w:bookmarkStart w:id="672" w:name="Tc_uwlm4sGF_U6mpfVVGnEeRw_2_9"/>
      <w:bookmarkStart w:id="673" w:name="Tc_RvR_KwuNiUeZ_JVJYcMukw_2_3"/>
      <w:bookmarkStart w:id="674" w:name="Tc_Mve63wec8kCIOW7qjhX5iQ_2_1"/>
      <w:bookmarkStart w:id="675" w:name="Tc_lKze2wlIsEyEU8XvTQJ_4Q_1_1"/>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2019 acquisition of Orbis Education.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96135" cy="175260"/>
                      <wp:effectExtent l="0" t="0" r="0" b="0"/>
                      <wp:wrapNone/>
                      <wp:docPr id="105" name="Frame10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72160" cy="175260"/>
                      <wp:effectExtent l="0" t="0" r="0" b="0"/>
                      <wp:wrapNone/>
                      <wp:docPr id="106" name="Frame10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0810" cy="175260"/>
                      <wp:effectExtent l="0" t="0" r="0" b="0"/>
                      <wp:wrapNone/>
                      <wp:docPr id="107" name="Frame10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0810" cy="175260"/>
                      <wp:effectExtent l="0" t="0" r="0" b="0"/>
                      <wp:wrapNone/>
                      <wp:docPr id="110" name="Frame1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2400" cy="175260"/>
                      <wp:effectExtent l="0" t="0" r="0" b="0"/>
                      <wp:wrapNone/>
                      <wp:docPr id="111" name="Frame11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4035" cy="175260"/>
                      <wp:effectExtent l="0" t="0" r="0" b="0"/>
                      <wp:wrapNone/>
                      <wp:docPr id="112" name="Frame11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810" cy="175260"/>
                      <wp:effectExtent l="0" t="0" r="0" b="0"/>
                      <wp:wrapNone/>
                      <wp:docPr id="113" name="Frame1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8960" cy="175260"/>
                      <wp:effectExtent l="0" t="0" r="0" b="0"/>
                      <wp:wrapNone/>
                      <wp:docPr id="115" name="Frame11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(43,724)</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166,276</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(44,004)</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166,276</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00710" cy="175260"/>
                      <wp:effectExtent l="0" t="0" r="0" b="0"/>
                      <wp:wrapNone/>
                      <wp:docPr id="116" name="Frame11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8960" cy="175260"/>
                      <wp:effectExtent l="0" t="0" r="0" b="0"/>
                      <wp:wrapNone/>
                      <wp:docPr id="119" name="Frame11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126,286</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166,276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has operating leases for off-campus classroom and laboratory sites, office space, office equipment, and optical fiber communication lines. These leases have remaining lease terms that range from two months to </w:t>
      </w:r>
      <w:r>
        <w:rPr>
          <w:rFonts w:ascii="Times New Roman;Times;serif" w:hAnsi="Times New Roman;Times;serif"/>
          <w:b w:val="false"/>
          <w:i w:val="false"/>
          <w:caps w:val="false"/>
          <w:smallCaps w:val="false"/>
          <w:sz w:val="20"/>
        </w:rPr>
        <w:t xml:space="preserve">10 </w:t>
      </w:r>
      <w:r>
        <w:rPr>
          <w:rFonts w:ascii="Times New Roman;Times;serif" w:hAnsi="Times New Roman;Times;serif"/>
          <w:sz w:val="20"/>
        </w:rPr>
        <w:t>years and one month.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$3,877 and $3,018 for the three-month periods ended March 31,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bookmarkStart w:id="676" w:name="Tc_4iW-PAfi0EWWuT_a_UhFlQ_10_2"/>
      <w:bookmarkStart w:id="677" w:name="Tc_EaUKrAXiK0y-zOGpvYDnMg_10_0"/>
      <w:bookmarkStart w:id="678" w:name="Tc_IPkzo4q-aUmQJU3R28Wiqw_9_0"/>
      <w:bookmarkStart w:id="679" w:name="Tc_-7-R6AdcLEu2zr9vsOz0-Q_8_2"/>
      <w:bookmarkStart w:id="680" w:name="Tc_0-uqidfo6U2AuFKR36b7Hw_8_0"/>
      <w:bookmarkStart w:id="681" w:name="Tc_vJt8Zs8Xv0aDihJ6x_K7Lg_7_0"/>
      <w:bookmarkStart w:id="682" w:name="Tc_hUAdFzcHNU29CfjiNhfhRw_6_0"/>
      <w:bookmarkStart w:id="683" w:name="Tc_yQnqf4CmeE6o6g22kFdqWQ_5_0"/>
      <w:bookmarkStart w:id="684" w:name="Tc_K_6_41KkLU6pA-UON6FDGQ_4_0"/>
      <w:bookmarkStart w:id="685" w:name="Tc__DgYtbKZmECGfKzlpzdv0w_3_0"/>
      <w:bookmarkStart w:id="686" w:name="Tc_DgWK5mBR3kCXnmLwfpIGXw_2_2"/>
      <w:bookmarkStart w:id="687" w:name="Tc_ocNuLb_EpEiGM1nitPVkcw_2_0"/>
      <w:bookmarkStart w:id="688" w:name="Tc_OP85DCPZ7Uy29pWVVW4ZLg_1_2"/>
      <w:bookmarkStart w:id="689" w:name="Tc_pwm7eX_J-06wma2tmEDciw_1_0"/>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Pr>
          <w:rFonts w:ascii="Times New Roman;Times;serif" w:hAnsi="Times New Roman;Times;serif"/>
          <w:sz w:val="20"/>
        </w:rPr>
        <w:t>As of March 31, 2024, the Company had $29,578 of non-cancelable operating lease commitments for five off-campus classroom and laboratory sites that had not yet commenced. The Company’s weighted-average remaining lease term relating to its operating leases is 7.79 years, with a weighted-average discount rate of 3.9%. The cash paid for operating lease liabilities was $3,541 and $2,600 for the three months ended March 31, 2024 and 2023, respectively. As of March 31, 2024,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March 31, 2024, by year and in the aggregate, are as follows:</w:t>
      </w:r>
    </w:p>
    <w:p>
      <w:pPr>
        <w:pStyle w:val="TextBody"/>
        <w:bidi w:val="0"/>
        <w:spacing w:before="0" w:after="0"/>
        <w:ind w:left="0" w:right="0" w:hanging="0"/>
        <w:jc w:val="left"/>
        <w:rPr/>
      </w:pPr>
      <w:r>
        <w:rPr/>
        <w:t>​</w:t>
      </w:r>
    </w:p>
    <w:tbl>
      <w:tblPr>
        <w:tblW w:w="4049" w:type="dxa"/>
        <w:jc w:val="left"/>
        <w:tblInd w:w="0" w:type="dxa"/>
        <w:tblLayout w:type="fixed"/>
        <w:tblCellMar>
          <w:top w:w="0" w:type="dxa"/>
          <w:left w:w="0" w:type="dxa"/>
          <w:bottom w:w="0" w:type="dxa"/>
          <w:right w:w="0" w:type="dxa"/>
        </w:tblCellMar>
      </w:tblPr>
      <w:tblGrid>
        <w:gridCol w:w="2686"/>
        <w:gridCol w:w="326"/>
        <w:gridCol w:w="211"/>
        <w:gridCol w:w="82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05610" cy="175260"/>
                      <wp:effectExtent l="0" t="0" r="0" b="0"/>
                      <wp:wrapNone/>
                      <wp:docPr id="120" name="Frame12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24510" cy="175260"/>
                      <wp:effectExtent l="0" t="0" r="0" b="0"/>
                      <wp:wrapNone/>
                      <wp:docPr id="123" name="Frame1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45,261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113,817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97,297</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120"/>
        <w:ind w:left="58" w:right="72" w:firstLine="648"/>
        <w:jc w:val="left"/>
        <w:rPr>
          <w:rFonts w:ascii="Times New Roman;Times;serif" w:hAnsi="Times New Roman;Times;serif"/>
          <w:sz w:val="20"/>
        </w:rPr>
      </w:pPr>
      <w:r>
        <w:rPr>
          <w:rFonts w:ascii="Times New Roman;Times;serif" w:hAnsi="Times New Roman;Times;serif"/>
          <w:i/>
          <w:sz w:val="20"/>
        </w:rPr>
        <w:t xml:space="preserve">Shareholder Litigation. </w:t>
      </w:r>
      <w:r>
        <w:rPr>
          <w:rFonts w:ascii="Times New Roman;Times;serif" w:hAnsi="Times New Roman;Times;serif"/>
          <w:sz w:val="20"/>
        </w:rPr>
        <w:t>On May 12, 2020, a securities class action complaint was filed in the U.S. District Court for the District of Delaware by the City of Hialeah Employees’ Retirement System naming the Company, Brian E. Mueller and Daniel E. Bachus as defendants for allegedly making false and materially misleading statements regarding the circumstances surrounding the Company’s sale of Grand Canyon University (the “University”) to a non-profit entity on July 1, 2018 and the subsequent decision of the U.S. Department of Education to continue to treat the University as a for-profit institution for education regulatory purposes (collectively, the “Conversion”). The complaint asserted a putative class period stemming from January 5, 2018, the date when the Company announced that it had applied to the University’s accreditor for approval of the Conversion, to January 27, 2020, the date prior to the publication of a short-seller report focused on the Conversion. A substantially similar complaint was filed in the same court by Grant Walsh on June 12, 2020, making similar allegations against the Company, Mr. Mueller and Mr. Bachus. Both complaints alleged violations of Sections 10(b) and 20(a) of the Securities Exchange Act of 1934, as amended, and Rule 10b-5 promulgated thereunder and sought unspecified monetary relief, interest, and attorneys’ fees.</w:t>
      </w:r>
    </w:p>
    <w:p>
      <w:pPr>
        <w:pStyle w:val="TextBody"/>
        <w:bidi w:val="0"/>
        <w:spacing w:before="0" w:after="0"/>
        <w:ind w:left="58" w:right="216" w:firstLine="648"/>
        <w:jc w:val="left"/>
        <w:rPr>
          <w:rFonts w:ascii="Times New Roman;Times;serif" w:hAnsi="Times New Roman;Times;serif"/>
          <w:sz w:val="20"/>
        </w:rPr>
      </w:pPr>
      <w:r>
        <w:rPr>
          <w:rFonts w:ascii="Times New Roman;Times;serif" w:hAnsi="Times New Roman;Times;serif"/>
          <w:sz w:val="20"/>
        </w:rPr>
        <w:t xml:space="preserve">On August 13, 2020, the two cases were consolidated and the Fire and Police Association of Colorado, the Oakland County Employees’ Retirement System and the Oakland County Voluntary Employees’ Beneficiary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58" w:right="216" w:hanging="0"/>
        <w:jc w:val="left"/>
        <w:rPr>
          <w:rFonts w:ascii="Times New Roman;Times;serif" w:hAnsi="Times New Roman;Times;serif"/>
          <w:sz w:val="20"/>
        </w:rPr>
      </w:pPr>
      <w:r>
        <w:rPr>
          <w:rFonts w:ascii="Times New Roman;Times;serif" w:hAnsi="Times New Roman;Times;serif"/>
          <w:sz w:val="20"/>
        </w:rPr>
        <w:t>Association Trust were appointed as lead plaintiffs. Thereafter, the plaintiffs filed a consolidated amended complaint on October 20, 2020, and the Company filed a motion to dismiss on December 21, 2020. On August 23, 2021, the Court granted the Company’s motion to dismiss in its entirety but permitted plaintiffs to file a further amended complaint to correct deficiencies in the initial complaint. The plaintiffs filed further amended complaints on September 28, 2021, and January 21, 2022, and the Company filed a further motion to dismiss on March 15, 2022. On March 28, 2023, the Company’s motion to dismiss was denied. On January 5, 2024, plaintiffs moved for class action status and the briefing on plaintiffs motion commenced.</w:t>
      </w:r>
    </w:p>
    <w:p>
      <w:pPr>
        <w:pStyle w:val="TextBody"/>
        <w:bidi w:val="0"/>
        <w:spacing w:before="0" w:after="120"/>
        <w:ind w:left="0" w:right="0" w:firstLine="706"/>
        <w:jc w:val="left"/>
        <w:rPr>
          <w:rFonts w:ascii="Times New Roman;Times;serif" w:hAnsi="Times New Roman;Times;serif"/>
          <w:sz w:val="20"/>
        </w:rPr>
      </w:pPr>
      <w:r>
        <w:rPr>
          <w:rFonts w:ascii="Times New Roman;Times;serif" w:hAnsi="Times New Roman;Times;serif"/>
          <w:sz w:val="20"/>
        </w:rPr>
        <w:t>On March 25, 2024, the parties executed a Stipulation and Agreement of Settlement to resolve this action. Subsequently, on March 29, 2024, the plaintiffs filed a motion seeking entry of an order preliminarily approving the settlement and establishing notice procedures, and on May 1, 2024, the Court granted an order preliminarily approving the settlement and authorizing dissemination of notice. The settlement remains subject to final approval by the Court. The Company’s insurance carriers will fund the entire settlement amount.</w:t>
      </w:r>
    </w:p>
    <w:p>
      <w:pPr>
        <w:pStyle w:val="TextBody"/>
        <w:bidi w:val="0"/>
        <w:spacing w:before="0" w:after="120"/>
        <w:ind w:left="58" w:right="58" w:firstLine="648"/>
        <w:jc w:val="left"/>
        <w:rPr>
          <w:rFonts w:ascii="Times New Roman;Times;serif" w:hAnsi="Times New Roman;Times;serif"/>
          <w:sz w:val="20"/>
        </w:rPr>
      </w:pPr>
      <w:r>
        <w:rPr>
          <w:rFonts w:ascii="Times New Roman;Times;serif" w:hAnsi="Times New Roman;Times;serif"/>
          <w:sz w:val="20"/>
        </w:rPr>
        <w:t>On December 22, 2023, the Company was named as a nominal defendant and certain of the Company’s current and former directors and officers were named as defendants in a shareholder derivative lawsuit filed in the Delaware Court of Chancery related to, among other things, the allegations in the aforementioned securities class action. The complaint asserts claims for breach of fiduciary duty, unjust enrichment, aiding and abetting breach of fiduciary duty, and corporate waste against all defendants. The defendants filed a motion to dismiss the complaint on April 15, 2024. The plaintiffs are required to either file a response opposing the motion to dismiss or submit an amended complaint by no later than June 12,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False Claims Act Matter</w:t>
      </w:r>
      <w:r>
        <w:rPr>
          <w:rFonts w:ascii="Times New Roman;Times;serif" w:hAnsi="Times New Roman;Times;serif"/>
          <w:sz w:val="20"/>
        </w:rPr>
        <w:t>. In May 2020, we were served with a </w:t>
      </w:r>
      <w:r>
        <w:rPr>
          <w:rFonts w:ascii="Times New Roman;Times;serif" w:hAnsi="Times New Roman;Times;serif"/>
          <w:i/>
          <w:sz w:val="20"/>
        </w:rPr>
        <w:t>qui tam </w:t>
      </w:r>
      <w:r>
        <w:rPr>
          <w:rFonts w:ascii="Times New Roman;Times;serif" w:hAnsi="Times New Roman;Times;serif"/>
          <w:sz w:val="20"/>
        </w:rPr>
        <w:t xml:space="preserve">lawsuit that had been filed against 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Times;serif" w:hAnsi="Times New Roman;Times;serif"/>
          <w:i/>
          <w:sz w:val="20"/>
        </w:rPr>
        <w:t>United States ex rel Mackillop v. Grand Canyon Education, Inc.</w:t>
      </w:r>
      <w:r>
        <w:rPr>
          <w:rFonts w:ascii="Times New Roman;Times;serif" w:hAnsi="Times New Roman;Times;serif"/>
          <w:sz w:val="20"/>
        </w:rPr>
        <w:t xml:space="preserve">, alleges that we violated the False Claims Act by improperly compensating 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that motion remains pending. Prior to trial commencing, we and the relator reached an agreement to stay trial while the parties attempt to finalize the terms upon which the litigation could be concluded. For any future settlement to be effected, all parties to the litigation will need to agree on acceptable terms, both monetary and non-monetary. In this regard, because this matter involves claims under the False Claims Act, any such terms would also need to be approved by the applicable U.S. government agencies.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compensation practices at issue in the complaint, which were developed with the guidance of outside regulatory counsel specifically to comply with Title IV and its regulations and relevant case law interpreting the incentive compensation rule, do not violate applicable law. If a future settlement is not finalized on terms acceptable to all parties in interest,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00" w:before="0" w:after="120"/>
        <w:ind w:left="0" w:right="0" w:hanging="0"/>
        <w:jc w:val="left"/>
        <w:rPr>
          <w:rFonts w:ascii="Times New Roman;Times;serif" w:hAnsi="Times New Roman;Times;serif"/>
          <w:b/>
          <w:sz w:val="20"/>
        </w:rPr>
      </w:pPr>
      <w:bookmarkStart w:id="690" w:name="Tc_KjPXCUNdWk-3t1Jf2z00bA_8_5"/>
      <w:bookmarkStart w:id="691" w:name="Tc_3UZvkeWLNU-0ZEtUrxh3aQ_8_2"/>
      <w:bookmarkStart w:id="692" w:name="Tc_e3Ov3HI4mESW6lBks9j8UA_8_0"/>
      <w:bookmarkStart w:id="693" w:name="Tc_KJovRF2r-UaXg7pSXuoqtw_7_0"/>
      <w:bookmarkStart w:id="694" w:name="Tc_LvFhxV2wCkGVLOAQhApR3Q_6_0"/>
      <w:bookmarkStart w:id="695" w:name="Tc_ibMhVUbCb0W0gzhefYAmUQ_5_0"/>
      <w:bookmarkStart w:id="696" w:name="Tc_EfoJGVF9rkG0cQ9UmH8MVg_4_0"/>
      <w:bookmarkStart w:id="697" w:name="Tc_npXNTXqeT0CH9U6qxanELg_3_0"/>
      <w:bookmarkStart w:id="698" w:name="Tc_pNl4ooQv3UCpEoCQ6D8omw_2_5"/>
      <w:bookmarkStart w:id="699" w:name="Tc_yY3fM4x2TU2-Et_j8OcO2A_2_2"/>
      <w:bookmarkStart w:id="700" w:name="Tc_C8c5Olg53ESlk6UZSC7N4g_2_0"/>
      <w:bookmarkStart w:id="701" w:name="Tc__9EAzxhJ9kWa6uUGPyL_6Q_1_5"/>
      <w:bookmarkStart w:id="702" w:name="Tc__W8ePOIh0E-Urpt1gOXUFA_1_2"/>
      <w:bookmarkStart w:id="703" w:name="Tc_0tf5_-MIaUmuJqzSFZ3S8Q_8_4"/>
      <w:bookmarkStart w:id="704" w:name="Tc_Awz0bwhpwUaoTKhbScREHg_8_0"/>
      <w:bookmarkStart w:id="705" w:name="Tc_J9JnFgZ1Wk6MkFt79wLWkw_7_4"/>
      <w:bookmarkStart w:id="706" w:name="Tc_suZRzG07QEeTplNXhVY2mw_7_0"/>
      <w:bookmarkStart w:id="707" w:name="Tc_OvCJDQjll0i1u-oeA1Jt-g_6_4"/>
      <w:bookmarkStart w:id="708" w:name="Tc_7CQ3qit7jkqJkpTF6tgAjA_6_0"/>
      <w:bookmarkStart w:id="709" w:name="Tc_owT_vqOP502gLzQnNMticw_5_4"/>
      <w:bookmarkStart w:id="710" w:name="Tc_pVUCNjnYBEebuBCAtzJL5g_5_0"/>
      <w:bookmarkStart w:id="711" w:name="Tc_HUBMxX3DD0SVj4x8kSckzw_4_4"/>
      <w:bookmarkStart w:id="712" w:name="Tc_y1HbN-ive0yAo5FAU15yFQ_4_0"/>
      <w:bookmarkStart w:id="713" w:name="Tc_hPBYw6rFyEC_dJ2zpcrOhw_3_4"/>
      <w:bookmarkStart w:id="714" w:name="Tc_kWrpWG965kSUj8LpUwC7IQ_3_2"/>
      <w:bookmarkStart w:id="715" w:name="Tc_B3TQKyYnc0S1bXK3PR2EEw_2_4"/>
      <w:bookmarkStart w:id="716" w:name="Tc_DYjlpxgnmkuSQ28l3VK0jg_2_2"/>
      <w:bookmarkStart w:id="717" w:name="Tc_Xc-yKar9Sk2OpGsdYePSqA_1_4"/>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March 31, 2024, 965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2024, the Company granted 117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three months ended March 31, 2024, the Company withheld 55 shares of common stock in lieu of taxes at a cost of $7,446 on the restricted stock vesting dates.</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Company’s Incentive Plan since December 31, 2023 is as follows:</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256"/>
        <w:gridCol w:w="326"/>
        <w:gridCol w:w="586"/>
        <w:gridCol w:w="326"/>
        <w:gridCol w:w="357"/>
        <w:gridCol w:w="1324"/>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67560" cy="175260"/>
                      <wp:effectExtent l="0" t="0" r="0" b="0"/>
                      <wp:wrapNone/>
                      <wp:docPr id="124" name="Frame124"/>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2110" cy="175260"/>
                      <wp:effectExtent l="0" t="0" r="0" b="0"/>
                      <wp:wrapNone/>
                      <wp:docPr id="126" name="Frame1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6695" cy="175260"/>
                      <wp:effectExtent l="0" t="0" r="0" b="0"/>
                      <wp:wrapNone/>
                      <wp:docPr id="128" name="Frame12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840740" cy="175260"/>
                      <wp:effectExtent l="0" t="0" r="0" b="0"/>
                      <wp:wrapNone/>
                      <wp:docPr id="129" name="Frame129"/>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91.08</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94.61</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104.22</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three months ended March 31, 2024 and 2023 related to restricted stock granted:</w:t>
      </w:r>
    </w:p>
    <w:p>
      <w:pPr>
        <w:pStyle w:val="TextBody"/>
        <w:bidi w:val="0"/>
        <w:spacing w:before="0" w:after="0"/>
        <w:ind w:left="0" w:right="0" w:hanging="0"/>
        <w:jc w:val="left"/>
        <w:rPr/>
      </w:pPr>
      <w:r>
        <w:rPr/>
        <w:t>​</w:t>
      </w:r>
    </w:p>
    <w:tbl>
      <w:tblPr>
        <w:tblW w:w="7852" w:type="dxa"/>
        <w:jc w:val="left"/>
        <w:tblInd w:w="0" w:type="dxa"/>
        <w:tblLayout w:type="fixed"/>
        <w:tblCellMar>
          <w:top w:w="0" w:type="dxa"/>
          <w:left w:w="0" w:type="dxa"/>
          <w:bottom w:w="0" w:type="dxa"/>
          <w:right w:w="0" w:type="dxa"/>
        </w:tblCellMar>
      </w:tblPr>
      <w:tblGrid>
        <w:gridCol w:w="5701"/>
        <w:gridCol w:w="146"/>
        <w:gridCol w:w="211"/>
        <w:gridCol w:w="571"/>
        <w:gridCol w:w="326"/>
        <w:gridCol w:w="211"/>
        <w:gridCol w:w="68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0135" cy="175260"/>
                      <wp:effectExtent l="0" t="0" r="0" b="0"/>
                      <wp:wrapNone/>
                      <wp:docPr id="130" name="Frame130"/>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2710" cy="175260"/>
                      <wp:effectExtent l="0" t="0" r="0" b="0"/>
                      <wp:wrapNone/>
                      <wp:docPr id="131" name="Frame1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35610" cy="175260"/>
                      <wp:effectExtent l="0" t="0" r="0" b="0"/>
                      <wp:wrapNone/>
                      <wp:docPr id="136" name="Frame13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2,527</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under its existing stock repurchase program, an aggregate authorization for share repurchases since the initiation of our program of $2,045,000. The expiration date on the repurchase authorization is March 1, 2025.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the Company repurchased 172 shares of common stock, at an aggregate cost of $22,524. As of March 31, 2024, there remained $242,530 available under its current share repurchase authorization. Shares repurchased in lieu of taxes are not included in the repurchase plan totals as they were approved in conjunction with the restricted share awards. Excise taxes of $34 are not included in the repurchase plan totals but are included in the total cost of net share repurchases in the consolidated statement of stockholders’ equity.</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18" w:name="Item2ManagementsDiscussionandAnalysisofF"/>
      <w:bookmarkStart w:id="719" w:name="_80c7c89a_7b8a_4d33_8880_773a4e92b807"/>
      <w:bookmarkEnd w:id="718"/>
      <w:bookmarkEnd w:id="719"/>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retract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on behalf of our university partners,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“2023 Form 10-K”) filed with the Securities and Exchange Commission (“SEC”) for the fiscal year ended December 31, 2023,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six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GCE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2024, GCE provides education services to 23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2023 Form 10-K for the fiscal year ended December 31, 2023. During the three months ended March 31, 2024,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5618" w:type="dxa"/>
        <w:jc w:val="left"/>
        <w:tblInd w:w="0" w:type="dxa"/>
        <w:tblLayout w:type="fixed"/>
        <w:tblCellMar>
          <w:top w:w="0" w:type="dxa"/>
          <w:left w:w="0" w:type="dxa"/>
          <w:bottom w:w="0" w:type="dxa"/>
          <w:right w:w="0" w:type="dxa"/>
        </w:tblCellMar>
      </w:tblPr>
      <w:tblGrid>
        <w:gridCol w:w="2956"/>
        <w:gridCol w:w="326"/>
        <w:gridCol w:w="578"/>
        <w:gridCol w:w="448"/>
        <w:gridCol w:w="578"/>
        <w:gridCol w:w="361"/>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77060" cy="175260"/>
                      <wp:effectExtent l="0" t="0" r="0" b="0"/>
                      <wp:wrapNone/>
                      <wp:docPr id="137" name="Frame137"/>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7030" cy="175260"/>
                      <wp:effectExtent l="0" t="0" r="0" b="0"/>
                      <wp:wrapNone/>
                      <wp:docPr id="139" name="Frame13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84480" cy="175260"/>
                      <wp:effectExtent l="0" t="0" r="0" b="0"/>
                      <wp:wrapNone/>
                      <wp:docPr id="140" name="Frame140"/>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67030" cy="175260"/>
                      <wp:effectExtent l="0" t="0" r="0" b="0"/>
                      <wp:wrapNone/>
                      <wp:docPr id="141" name="Frame14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9235" cy="175260"/>
                      <wp:effectExtent l="0" t="0" r="0" b="0"/>
                      <wp:wrapNone/>
                      <wp:docPr id="142" name="Frame1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5585" cy="175260"/>
                      <wp:effectExtent l="0" t="0" r="0" b="0"/>
                      <wp:wrapNone/>
                      <wp:docPr id="143" name="Frame14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2024 Compared to Three Months Ended March 31,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Our service revenue for the three months ended March 31, 2024 was $274.7 million, an increase of $24.6 million, or 9.8%, as compared to service revenue of $250.1 million for the three months ended March 31, 2023. The increase year over year in service revenue was primarily due to an increase in GCU enrollments to 116,952 at March 31, 2024, an increase of 7.7% over enrollments at March 31, 2023 and an increase in revenue per student year over year. The increase in revenue per student between years is primarily due to the service revenue impact of the increased room, board and other ancillary revenues at GCU in the first quarter of 2024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March 31, 2024 was also positively impacted by the timing of the Spring semester for the ground traditional campus. The Spring semester started one day earlier in 2024 than in 2023, which had the effect of shifting $2.1 million in service revenue from the second quarter of 2024 to the first quarter of 2024 in comparison to the prior year. The additional day for leap year in 2024 added additional service revenue of $1.5 million as compared to the prior year. Partner enrollments totaled 120,788 at March 31, 2024 as compared to 112,588 at March 31, 2023. University partner enrollments at our off-campus classroom and laboratory sites were 4,486, an increase of 4.0% over enrollments at March 31, 2023, which includes 650 and 360 GCU students at March 31, 2024 and 2023, respectively. Although partner enrollments at our off-campus classroom and laboratory sites returned to year over year growth this quarter, some existing partners continue to experience reduced incoming cohort sizes which has slowed the growth. We believe the growth in the number of ABSN students is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Spring 2023 semester. We opened five sites in the year ended December 31, 2023 and two sites in the three months ended March 31, 2024 increasing the total number of these sites to 42 at March 31, 2024, which has also positively impacted the enrollment growth. Enrollments for GCU ground students were 22,965 at March 31, 2024 up from 22,568 at March 31, 2023. GCU online enrollments were 93,987 at March 31, 2024, up from 86,065 at March 31, 2023, an increase of 9.2% between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three months ended March 31, 2024 were $39.1 million, an increase of $1.6 million, or 4.3%, as compared to technology and academic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services expenses of $37.5 million for the three months ended March 31, 2023. This increase was primarily due to increases in occupancy and depreciation and in other technology and academic costs of $1.3 million and $1.1 million, respectively, partially offset by a decrease in employee compensation and related expenses, including share-based compensation of $0.8 million. The increased occupancy and depreciation and other technology and academic costs were primarily due to the costs associated with the increased number of off-campus classroom and laboratory sites to support our 23 university partners, and their increased enrollment growth. The decrease in employee compensation and related expenses is primarily due to decreased faculty reimbursements due to the decline in some of our other partners’ enrollments and changes in our agreements with certain university partners whereby we no longer reimburse these partners for their faculty costs partially offset by increased headcount to support our 23 university partners, and their increased enrollment growth, tenure-based salary adjustments and the increased number of off-campus classroom and laboratory sites year over year. Our technology and academic services expenses as a percentage of revenue decreased by 0.8% to 14.2% for the three months ended March 31, 2024, from 15.0% for the three months ended March 31, 2023. This decrease was primarily due to the decreased faculty reimbursements between years. We anticipate that technology and academic services expenses as a percentage of revenue will continue to increase in the future as we open more off-site classroom and laboratory sites although these increases might be offset by lower faculty reimbursements if more partners choose to adjust their contracts.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March 31, 2024 were $82.9 million, an increase of $9.6 million, or 13.0%, as compared to counseling services and support expenses of $73.3 million for the three months ended March 31, 2023. This increase was primarily attributable to increases in employee compensation and related expenses including share-based compensation and benefits, in other counseling services and support expenses and in occupancy and depreciation costs of $7.2 million, $1.8 million and $0.6 million, respectively.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23 university partners. The increase in occupancy and depreciation is primarily related to higher depreciation expense associated with our continued enhancements to IT infrastructure and internal-use software development. Our counseling services and support expenses as a percentage of revenue increased by 0.9% to 30.2% for the three months ended March 31, 2024, from 29.3% for the three months ended March 31, 2023 primarily due to the significant increase year over year in travel expenses and headcount. We anticipate that counseling services and support expense will continue to increase in the future as we continue to invest to meet our partners’ needs but are hopeful that we will see leverage in counseling services and support expenses as a percentage of revenue in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March 31, 2024 were $55.4 million, an increase of $2.5 million, or 4.6%, as compared to marketing and communication expenses of $52.9 million for the three months ended March 31, 2023. This increase was primarily attributable to the increased cost to market our university partners’ programs and to the marketing of new university partners and new locations which resulted in increased advertising of $2.1 million, increased employee compensation, including share-based compensation and benefits of $0.2 million, an increase in occupancy and depreciation of $0.1 million and an increase in other marketing and communication expenses of $0.1 million. Our marketing and communication expenses as a percentage of revenue decreased by 0.9% to 20.2% for the three months ended March 31, 2024, from 21.1% for the three months ended March 31, 2023, primarily due to our ability to leverage our marketing and communication expenses across an increasing revenue base. Although we will continue to invest heavily in this area, we are hopeful that we will see leverage in marketing and communication costs in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three months ended March 31, 2024 were $10.7 million, an increase of $0.9 million, or 9.6%, as compared to general and administrative expenses of $9.8 million for the three months ended March 31, 2023. This increase was primarily attributable to an increase in professional fees and an increase in employee compensation, including share-based compensation and benefits of $0.8 million and $0.2 million respectively. These increases were partially offset by a decrease in other administrative expenses of $0.1 million. Our professional fees increased between years primarily due to higher legal costs. Our general and administrative expenses as a percentage of revenue stayed flat at 3.9% for both of the three months ended March 31, 2024 and 2023 due to our ability to leverage our general and administrative expenses across an increasing revenue base. General and administrative expenses as a percentage of revenue could increase in 2024 due to higher expected legal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March 31, 2024 and 2023 were $2.1 million for both periods. As a result of the acquisition of our wholly owned subsidiary, Orbis Education,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March 31, 2024 was $3.7 million, as compared to investment interest and other for the three months ended March 31, 2023 of $2.2 million due to higher investment balances and higher returns on those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three months ended March 31, 2024 was $20.2 million, an increase of $3.2 million, or 18.5%, as compared to income tax expense of $17.0 million for the three months ended March 31, 2023. Our effective tax rate was 22.9% during the first quarter of 2024 compared to 22.3% during the first quarter of 2023. In the first quarter of 2024, the effective tax rate was favorably impacted by excess tax benefits of $1.5 million as compared to $0.9 million in the first quarter of 2023. The effective tax rate increased year over year due to higher taxable income and in the first quarter of 2023 the effective tax rate was favorably impacted by state income tax refunds.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March 31, 2024 was $68.0 million, an increase of $8.4 million, or 14.2%, as compared to $59.6 million for the three months ended March 31, 2023,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384" w:type="dxa"/>
        <w:jc w:val="left"/>
        <w:tblInd w:w="0" w:type="dxa"/>
        <w:tblLayout w:type="fixed"/>
        <w:tblCellMar>
          <w:top w:w="0" w:type="dxa"/>
          <w:left w:w="0" w:type="dxa"/>
          <w:bottom w:w="0" w:type="dxa"/>
          <w:right w:w="0" w:type="dxa"/>
        </w:tblCellMar>
      </w:tblPr>
      <w:tblGrid>
        <w:gridCol w:w="3331"/>
        <w:gridCol w:w="109"/>
        <w:gridCol w:w="271"/>
        <w:gridCol w:w="1004"/>
        <w:gridCol w:w="109"/>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72085" cy="175260"/>
                      <wp:effectExtent l="0" t="0" r="0" b="0"/>
                      <wp:wrapNone/>
                      <wp:docPr id="145" name="Frame14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37540" cy="175260"/>
                      <wp:effectExtent l="0" t="0" r="0" b="0"/>
                      <wp:wrapNone/>
                      <wp:docPr id="146" name="Frame14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8595" cy="175260"/>
                      <wp:effectExtent l="0" t="0" r="0" b="0"/>
                      <wp:wrapNone/>
                      <wp:docPr id="148" name="Frame14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02005" cy="175260"/>
                      <wp:effectExtent l="0" t="0" r="0" b="0"/>
                      <wp:wrapNone/>
                      <wp:docPr id="149" name="Frame149"/>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290,693</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244,506</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Our liquidity position, as measured by cash and cash equivalents and investments increased by $46.2 million between December 31, 2023 and March 31, 2024, which was largely attributable to cash flows from operations during the three months ended March 31, 2024 exceeding share repurchases, changes in our investment balances and capital expenditures.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019" w:type="dxa"/>
        <w:jc w:val="left"/>
        <w:tblInd w:w="0" w:type="dxa"/>
        <w:tblLayout w:type="fixed"/>
        <w:tblCellMar>
          <w:top w:w="0" w:type="dxa"/>
          <w:left w:w="0" w:type="dxa"/>
          <w:bottom w:w="0" w:type="dxa"/>
          <w:right w:w="0" w:type="dxa"/>
        </w:tblCellMar>
      </w:tblPr>
      <w:tblGrid>
        <w:gridCol w:w="3466"/>
        <w:gridCol w:w="109"/>
        <w:gridCol w:w="258"/>
        <w:gridCol w:w="827"/>
        <w:gridCol w:w="133"/>
        <w:gridCol w:w="258"/>
        <w:gridCol w:w="968"/>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3830" cy="175260"/>
                      <wp:effectExtent l="0" t="0" r="0" b="0"/>
                      <wp:wrapNone/>
                      <wp:docPr id="151" name="Frame15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5145" cy="175260"/>
                      <wp:effectExtent l="0" t="0" r="0" b="0"/>
                      <wp:wrapNone/>
                      <wp:docPr id="152" name="Frame152"/>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4455" cy="175260"/>
                      <wp:effectExtent l="0" t="0" r="0" b="0"/>
                      <wp:wrapNone/>
                      <wp:docPr id="153" name="Frame153"/>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3830" cy="175260"/>
                      <wp:effectExtent l="0" t="0" r="0" b="0"/>
                      <wp:wrapNone/>
                      <wp:docPr id="154" name="Frame15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14680" cy="175260"/>
                      <wp:effectExtent l="0" t="0" r="0" b="0"/>
                      <wp:wrapNone/>
                      <wp:docPr id="155" name="Frame155"/>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3" w:type="dxa"/>
            <w:tcBorders/>
            <w:vAlign w:val="center"/>
          </w:tcPr>
          <w:p>
            <w:pPr>
              <w:pStyle w:val="TableContents"/>
              <w:bidi w:val="0"/>
              <w:spacing w:before="0" w:after="1"/>
              <w:ind w:left="0" w:right="0" w:hanging="0"/>
              <w:jc w:val="left"/>
              <w:rPr/>
            </w:pPr>
            <w:r>
              <w:rPr/>
              <w:t>​</w:t>
            </w:r>
          </w:p>
        </w:tc>
        <w:tc>
          <w:tcPr>
            <w:tcW w:w="12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84,963</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62,999</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increase in cash generated from operating activities between the three months ended March 31, 2023 and the three months ended March 31, 2024 was primarily due to increased income and changes in working capital balances, primarily accounts payable, accrued liabilities and accounts receivable. Accounts payable increased between December 31, 2023 and March 31, 2024 by $10.0 million more than it did between December 31, 2022 and March 31, 2023 due to the timing of check runs during those periods and accrued liabilities decreased by $6.2 million less than it did between December 31, 2022 and March 31, 2023 due to the timing of payroll disbursements. Accounts receivable increased by $7.7 million more than it did between December 31, 2022 and March 31, 2023 due primarily to higher revenues between periods.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5600" w:type="dxa"/>
        <w:jc w:val="left"/>
        <w:tblInd w:w="0" w:type="dxa"/>
        <w:tblLayout w:type="fixed"/>
        <w:tblCellMar>
          <w:top w:w="0" w:type="dxa"/>
          <w:left w:w="0" w:type="dxa"/>
          <w:bottom w:w="0" w:type="dxa"/>
          <w:right w:w="0" w:type="dxa"/>
        </w:tblCellMar>
      </w:tblPr>
      <w:tblGrid>
        <w:gridCol w:w="3046"/>
        <w:gridCol w:w="109"/>
        <w:gridCol w:w="250"/>
        <w:gridCol w:w="819"/>
        <w:gridCol w:w="129"/>
        <w:gridCol w:w="250"/>
        <w:gridCol w:w="997"/>
      </w:tblGrid>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8750" cy="175260"/>
                      <wp:effectExtent l="0" t="0" r="0" b="0"/>
                      <wp:wrapNone/>
                      <wp:docPr id="157" name="Frame15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20065" cy="175260"/>
                      <wp:effectExtent l="0" t="0" r="0" b="0"/>
                      <wp:wrapNone/>
                      <wp:docPr id="158" name="Frame158"/>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1915" cy="175260"/>
                      <wp:effectExtent l="0" t="0" r="0" b="0"/>
                      <wp:wrapNone/>
                      <wp:docPr id="159" name="Frame159"/>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8750" cy="175260"/>
                      <wp:effectExtent l="0" t="0" r="0" b="0"/>
                      <wp:wrapNone/>
                      <wp:docPr id="160" name="Frame16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33095" cy="175260"/>
                      <wp:effectExtent l="0" t="0" r="0" b="0"/>
                      <wp:wrapNone/>
                      <wp:docPr id="161" name="Frame16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12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(37,134)</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consumed $5.3 million of cash in the three months ended March 31, 2024 compared to $37.1 million in the three months ended March 31,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three months of 2024 and 2023 cash used in investing activities included capital expenditures totaling $9.0 million and $8.6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Cash used in investing activities also includes net investment activity. In the first three months of 2024, proceeds, net of purchases of available-for sale securities were $3.8 million, while in the first three months of 2023 the purchase of available-for-sale securities, net of proceeds from the sale of investments of $28.3 million.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614" w:type="dxa"/>
        <w:jc w:val="left"/>
        <w:tblInd w:w="0" w:type="dxa"/>
        <w:tblLayout w:type="fixed"/>
        <w:tblCellMar>
          <w:top w:w="0" w:type="dxa"/>
          <w:left w:w="0" w:type="dxa"/>
          <w:bottom w:w="0" w:type="dxa"/>
          <w:right w:w="0" w:type="dxa"/>
        </w:tblCellMar>
      </w:tblPr>
      <w:tblGrid>
        <w:gridCol w:w="3061"/>
        <w:gridCol w:w="109"/>
        <w:gridCol w:w="238"/>
        <w:gridCol w:w="898"/>
        <w:gridCol w:w="122"/>
        <w:gridCol w:w="238"/>
        <w:gridCol w:w="948"/>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1130" cy="175260"/>
                      <wp:effectExtent l="0" t="0" r="0" b="0"/>
                      <wp:wrapNone/>
                      <wp:docPr id="163" name="Frame16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70230" cy="175260"/>
                      <wp:effectExtent l="0" t="0" r="0" b="0"/>
                      <wp:wrapNone/>
                      <wp:docPr id="164" name="Frame16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7470" cy="175260"/>
                      <wp:effectExtent l="0" t="0" r="0" b="0"/>
                      <wp:wrapNone/>
                      <wp:docPr id="165" name="Frame165"/>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51130" cy="175260"/>
                      <wp:effectExtent l="0" t="0" r="0" b="0"/>
                      <wp:wrapNone/>
                      <wp:docPr id="166" name="Frame16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01980" cy="175260"/>
                      <wp:effectExtent l="0" t="0" r="0" b="0"/>
                      <wp:wrapNone/>
                      <wp:docPr id="167" name="Frame167"/>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2"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(29,970)</w:t>
            </w:r>
          </w:p>
        </w:tc>
        <w:tc>
          <w:tcPr>
            <w:tcW w:w="122"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(41,234)</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$30.0 million of cash in the three months ended March 31, 2024 compared to $41.2 million in the three months ended March 31,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and 2023, $22.6 million and $34.9 million, respectively was used to purchase treasury stock in accordance with GCE’s share repurchase program. In 2024 and 2023, $7.4 million and $6.3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under its existing stock repurchase program, an aggregate authorization for share repurchases since the initiation of the program of $2,045.0 million. The current expiration date on the repurchase authorization by our Board of Directors is March 1, 2025. Repurchases occur at the Company’s discretion and the Company may modify, suspend or discontinue the repurchase authorization at any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repurchased 171,670 shares of common stock in the three months ended March 31, 2024. At March 31, 2024, there remains $242.5 million available under our share repurchase authorization.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720" w:name="Item3QuantitativeandQualitativeDisclosur"/>
      <w:bookmarkStart w:id="721" w:name="_57dfe6a7_feb9_4ad4_8b3f_504e6280ac58"/>
      <w:bookmarkEnd w:id="720"/>
      <w:bookmarkEnd w:id="721"/>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March 31, 2024,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2024,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722" w:name="Item4ControlsandProcedures_621985"/>
      <w:bookmarkStart w:id="723" w:name="_62d1662d_861f_4a50_9362_e913a6236069"/>
      <w:bookmarkEnd w:id="722"/>
      <w:bookmarkEnd w:id="723"/>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March 31, 2024,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120"/>
        <w:ind w:left="0" w:right="0" w:hanging="0"/>
        <w:jc w:val="left"/>
        <w:rPr>
          <w:rFonts w:ascii="Times New Roman;Times;serif" w:hAnsi="Times New Roman;Times;serif"/>
          <w:b/>
          <w:sz w:val="20"/>
        </w:rPr>
      </w:pPr>
      <w:bookmarkStart w:id="724" w:name="PARTIIOTHERINFORMATION_437433"/>
      <w:bookmarkStart w:id="725" w:name="_db14765d_8c6a_42ab_b355_37370643d7f8"/>
      <w:bookmarkEnd w:id="724"/>
      <w:bookmarkEnd w:id="725"/>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726" w:name="Item1LegalProceedings_770208"/>
      <w:bookmarkEnd w:id="726"/>
      <w:r>
        <w:rPr>
          <w:rFonts w:ascii="Times New Roman;Times;serif" w:hAnsi="Times New Roman;Times;serif"/>
          <w:b/>
          <w:sz w:val="20"/>
        </w:rPr>
        <w:t>Item 1.   Legal Proceedings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Litigation within Note 8 – Commitments and Contingencies of our notes to consolidated financial statements included in Part I, Item 1 of this report, which section is incorporated by reference into this Part II, Item 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27" w:name="Item1ARiskFactors_601971"/>
      <w:bookmarkStart w:id="728" w:name="_2c4b8a50_f2c2_4a8b_a5c2_5d1cc6cf5d35"/>
      <w:bookmarkEnd w:id="727"/>
      <w:bookmarkEnd w:id="728"/>
      <w:r>
        <w:rPr>
          <w:rFonts w:ascii="Times New Roman;Times;serif" w:hAnsi="Times New Roman;Times;serif"/>
          <w:b/>
          <w:sz w:val="20"/>
        </w:rPr>
        <w:t>Item 1A. Risk Factors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2023 Form 10-K.</w:t>
      </w:r>
    </w:p>
    <w:p>
      <w:pPr>
        <w:pStyle w:val="TextBody"/>
        <w:bidi w:val="0"/>
        <w:spacing w:before="0" w:after="120"/>
        <w:ind w:left="0" w:right="0" w:hanging="0"/>
        <w:jc w:val="left"/>
        <w:rPr>
          <w:rFonts w:ascii="Times New Roman;Times;serif" w:hAnsi="Times New Roman;Times;serif"/>
          <w:b/>
          <w:sz w:val="20"/>
        </w:rPr>
      </w:pPr>
      <w:bookmarkStart w:id="729" w:name="Item2UnregisteredSalesofEquitySecurities"/>
      <w:bookmarkStart w:id="730" w:name="_d246fb32_3f17_46f5_8ab9_b3e391db7b53"/>
      <w:bookmarkEnd w:id="729"/>
      <w:bookmarkEnd w:id="730"/>
      <w:r>
        <w:rPr>
          <w:rFonts w:ascii="Times New Roman;Times;serif" w:hAnsi="Times New Roman;Times;serif"/>
          <w:b/>
          <w:sz w:val="20"/>
        </w:rPr>
        <w:t>Item 2.   Unregistered Sales of Equity Securities and Use of Proceeds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under its existing stock repurchase program, an aggregate authorization for share repurchases since the initiation of the program of $2,045.0 million. The current expiration date on the repurchase authorization by our Board of Directors is March 1, 2025.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171,670 shares of common stock were repurchased by the Company. At March 31, 2024, there remains $242.5 million available under our share repurchase authorization.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2024:</w:t>
      </w:r>
    </w:p>
    <w:tbl>
      <w:tblPr>
        <w:tblW w:w="9666" w:type="dxa"/>
        <w:jc w:val="left"/>
        <w:tblInd w:w="0" w:type="dxa"/>
        <w:tblLayout w:type="fixed"/>
        <w:tblCellMar>
          <w:top w:w="0" w:type="dxa"/>
          <w:left w:w="0" w:type="dxa"/>
          <w:bottom w:w="0" w:type="dxa"/>
          <w:right w:w="0" w:type="dxa"/>
        </w:tblCellMar>
      </w:tblPr>
      <w:tblGrid>
        <w:gridCol w:w="3181"/>
        <w:gridCol w:w="326"/>
        <w:gridCol w:w="1381"/>
        <w:gridCol w:w="326"/>
        <w:gridCol w:w="211"/>
        <w:gridCol w:w="676"/>
        <w:gridCol w:w="326"/>
        <w:gridCol w:w="1576"/>
        <w:gridCol w:w="266"/>
        <w:gridCol w:w="211"/>
        <w:gridCol w:w="1186"/>
      </w:tblGrid>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76935" cy="175260"/>
                      <wp:effectExtent l="0" t="0" r="0" b="0"/>
                      <wp:wrapNone/>
                      <wp:docPr id="169" name="Frame169"/>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000760" cy="175260"/>
                      <wp:effectExtent l="0" t="0" r="0" b="0"/>
                      <wp:wrapNone/>
                      <wp:docPr id="174" name="Frame17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8910" cy="175260"/>
                      <wp:effectExtent l="0" t="0" r="0" b="0"/>
                      <wp:wrapNone/>
                      <wp:docPr id="175" name="Frame1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53110" cy="175260"/>
                      <wp:effectExtent l="0" t="0" r="0" b="0"/>
                      <wp:wrapNone/>
                      <wp:docPr id="177" name="Frame17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2024 – January 31,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126.15</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38,553</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260,200,000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2024 – February 29,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57,880</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252,600,000</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2024 – March 31,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133.94</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75,237</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242,500,000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171,670</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242,500,000</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2024 – January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2024 – February 29,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2024 –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731" w:name="Item3DefaultsUponSeniorSecurities_862648"/>
      <w:bookmarkStart w:id="732" w:name="_e798da47_1544_4819_abbf_94d5be9e301c"/>
      <w:bookmarkEnd w:id="731"/>
      <w:bookmarkEnd w:id="732"/>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733" w:name="Item4MineSafetyDisclosures_953586"/>
      <w:bookmarkStart w:id="734" w:name="_f60c11b5_a4b1_4e49_89d0_beb33367edf3"/>
      <w:bookmarkEnd w:id="733"/>
      <w:bookmarkEnd w:id="734"/>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735" w:name="Item5OtherInformation_422882"/>
      <w:bookmarkStart w:id="736" w:name="_0e20bb0a_e584_444f_aad8_cf7067ebca4e"/>
      <w:bookmarkEnd w:id="735"/>
      <w:bookmarkEnd w:id="736"/>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37" w:name="Item6Exhibits_355966"/>
      <w:bookmarkStart w:id="738" w:name="_043c2059_b6ed_4502_8e70_34306f2e8f87"/>
      <w:bookmarkEnd w:id="737"/>
      <w:bookmarkEnd w:id="738"/>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6048"/>
        <w:gridCol w:w="326"/>
        <w:gridCol w:w="2799"/>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604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79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w:anchor="lope-2024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w:anchor="lope-2024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w:anchor="lope-2024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hyperlink w:anchor="lope-2024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March 31, 2024,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March 31, 2024, formatted in Inline XBRL (included as Exhibit 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39" w:name="SIGNATURES_551969"/>
      <w:bookmarkStart w:id="740" w:name="_bc428183_c3bd_4a61_8ffe_4ed9bfc7845c"/>
      <w:bookmarkEnd w:id="739"/>
      <w:bookmarkEnd w:id="740"/>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367" w:type="dxa"/>
        <w:jc w:val="left"/>
        <w:tblInd w:w="0" w:type="dxa"/>
        <w:tblLayout w:type="fixed"/>
        <w:tblCellMar>
          <w:top w:w="0" w:type="dxa"/>
          <w:left w:w="0" w:type="dxa"/>
          <w:bottom w:w="0" w:type="dxa"/>
          <w:right w:w="0" w:type="dxa"/>
        </w:tblCellMar>
      </w:tblPr>
      <w:tblGrid>
        <w:gridCol w:w="1636"/>
        <w:gridCol w:w="326"/>
        <w:gridCol w:w="630"/>
        <w:gridCol w:w="2775"/>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2024</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right"/>
        <w:rPr>
          <w:rFonts w:ascii="Times New Roman;Times;serif" w:hAnsi="Times New Roman;Times;serif"/>
          <w:b/>
          <w:sz w:val="20"/>
        </w:rPr>
      </w:pPr>
      <w:bookmarkStart w:id="741" w:name="lope-20240331xex31d1.htm"/>
      <w:bookmarkStart w:id="742" w:name="kslope20240331xex31d1"/>
      <w:bookmarkEnd w:id="741"/>
      <w:bookmarkEnd w:id="74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2024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438" w:type="dxa"/>
        <w:jc w:val="center"/>
        <w:tblInd w:w="0" w:type="dxa"/>
        <w:tblLayout w:type="fixed"/>
        <w:tblCellMar>
          <w:top w:w="0" w:type="dxa"/>
          <w:left w:w="0" w:type="dxa"/>
          <w:bottom w:w="0" w:type="dxa"/>
          <w:right w:w="0" w:type="dxa"/>
        </w:tblCellMar>
      </w:tblPr>
      <w:tblGrid>
        <w:gridCol w:w="1636"/>
        <w:gridCol w:w="326"/>
        <w:gridCol w:w="2476"/>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2024</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43" w:name="lope-20240331xex31d2.htm"/>
      <w:bookmarkStart w:id="744" w:name="kslope20240331xex31d2"/>
      <w:bookmarkEnd w:id="743"/>
      <w:bookmarkEnd w:id="744"/>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2024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378" w:type="dxa"/>
        <w:jc w:val="center"/>
        <w:tblInd w:w="0" w:type="dxa"/>
        <w:tblLayout w:type="fixed"/>
        <w:tblCellMar>
          <w:top w:w="0" w:type="dxa"/>
          <w:left w:w="0" w:type="dxa"/>
          <w:bottom w:w="0" w:type="dxa"/>
          <w:right w:w="0" w:type="dxa"/>
        </w:tblCellMar>
      </w:tblPr>
      <w:tblGrid>
        <w:gridCol w:w="1636"/>
        <w:gridCol w:w="326"/>
        <w:gridCol w:w="2416"/>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2024</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45" w:name="lope-20240331xex32d1.htm"/>
      <w:bookmarkStart w:id="746" w:name="kslope20240331xex32d1"/>
      <w:bookmarkEnd w:id="745"/>
      <w:bookmarkEnd w:id="746"/>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2024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2024</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47" w:name="lope-20240331xex32d2.htm"/>
      <w:bookmarkStart w:id="748" w:name="kslope20240331xex32d2"/>
      <w:bookmarkEnd w:id="747"/>
      <w:bookmarkEnd w:id="748"/>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2024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2024</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15227</Words>
  <Characters>85367</Characters>
  <CharactersWithSpaces>101178</CharactersWithSpaces>
  <Paragraphs>2903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