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5 )*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Grand Canyon Education Inc</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38526M106</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Date of Event Which Requires Filing of this Statement: December 31, 2018</w:t>
      </w:r>
    </w:p>
    <w:p>
      <w:pPr>
        <w:spacing w:after="0" w:line="210"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30" w:right="37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CUSIP No.: 38526M106</w:t>
      </w:r>
    </w:p>
    <w:p>
      <w:pPr>
        <w:spacing w:after="0" w:line="398" w:lineRule="exact"/>
        <w:rPr>
          <w:sz w:val="20"/>
          <w:szCs w:val="20"/>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9" w:lineRule="exact"/>
        <w:rPr>
          <w:rFonts w:ascii="Arial" w:cs="Arial" w:eastAsia="Arial" w:hAnsi="Arial"/>
          <w:sz w:val="17"/>
          <w:szCs w:val="17"/>
          <w:color w:val="auto"/>
        </w:rPr>
      </w:pPr>
    </w:p>
    <w:p>
      <w:pPr>
        <w:ind w:left="620" w:hanging="515"/>
        <w:spacing w:after="0"/>
        <w:tabs>
          <w:tab w:leader="none" w:pos="620" w:val="left"/>
        </w:tabs>
        <w:numPr>
          <w:ilvl w:val="1"/>
          <w:numId w:val="3"/>
        </w:numPr>
        <w:rPr>
          <w:rFonts w:ascii="Arial" w:cs="Arial" w:eastAsia="Arial" w:hAnsi="Arial"/>
          <w:sz w:val="17"/>
          <w:szCs w:val="17"/>
          <w:color w:val="auto"/>
        </w:rPr>
      </w:pPr>
      <w:r>
        <w:rPr>
          <w:rFonts w:ascii="Arial" w:cs="Arial" w:eastAsia="Arial" w:hAnsi="Arial"/>
          <w:sz w:val="17"/>
          <w:szCs w:val="17"/>
          <w:color w:val="auto"/>
        </w:rPr>
        <w:t>B.</w:t>
      </w:r>
    </w:p>
    <w:p>
      <w:pPr>
        <w:spacing w:after="0" w:line="20" w:lineRule="exact"/>
        <w:rPr>
          <w:rFonts w:ascii="Arial" w:cs="Arial" w:eastAsia="Arial" w:hAnsi="Arial"/>
          <w:sz w:val="17"/>
          <w:szCs w:val="17"/>
          <w:color w:val="auto"/>
        </w:rPr>
      </w:pPr>
    </w:p>
    <w:p>
      <w:pPr>
        <w:ind w:left="620"/>
        <w:spacing w:after="0"/>
        <w:rPr>
          <w:rFonts w:ascii="Arial" w:cs="Arial" w:eastAsia="Arial" w:hAnsi="Arial"/>
          <w:sz w:val="17"/>
          <w:szCs w:val="17"/>
          <w:color w:val="auto"/>
        </w:rPr>
      </w:pPr>
      <w:r>
        <w:rPr>
          <w:rFonts w:ascii="Arial" w:cs="Arial" w:eastAsia="Arial" w:hAnsi="Arial"/>
          <w:sz w:val="17"/>
          <w:szCs w:val="17"/>
          <w:u w:val="single" w:color="auto"/>
          <w:color w:val="auto"/>
        </w:rPr>
        <w:t>X</w:t>
      </w:r>
    </w:p>
    <w:p>
      <w:pPr>
        <w:spacing w:after="0" w:line="195"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21" w:lineRule="exact"/>
        <w:rPr>
          <w:sz w:val="20"/>
          <w:szCs w:val="20"/>
          <w:color w:val="auto"/>
        </w:rPr>
      </w:pPr>
    </w:p>
    <w:p>
      <w:pPr>
        <w:ind w:left="100" w:right="823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26,006</w:t>
      </w:r>
    </w:p>
    <w:p>
      <w:pPr>
        <w:ind w:left="100" w:right="797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6,029</w:t>
      </w:r>
    </w:p>
    <w:p>
      <w:pPr>
        <w:ind w:left="100" w:right="785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4,217,149</w:t>
      </w:r>
    </w:p>
    <w:p>
      <w:pPr>
        <w:ind w:left="140" w:right="7599"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27,472</w:t>
      </w:r>
    </w:p>
    <w:p>
      <w:pPr>
        <w:ind w:left="100" w:right="3799"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4,244,621</w:t>
      </w:r>
    </w:p>
    <w:p>
      <w:pPr>
        <w:ind w:left="100" w:right="3199" w:hanging="92"/>
        <w:spacing w:after="0" w:line="497" w:lineRule="auto"/>
        <w:tabs>
          <w:tab w:leader="none" w:pos="314"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8.81%</w:t>
      </w:r>
    </w:p>
    <w:p>
      <w:pPr>
        <w:spacing w:after="0" w:line="210" w:lineRule="exact"/>
        <w:rPr>
          <w:sz w:val="20"/>
          <w:szCs w:val="20"/>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09"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Grand Canyon Education Inc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3300 W. Camelback Road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Phoenix, Arizona 85017</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38526M106</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4,244,621</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8.81%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3" w:name="page4"/>
    <w:bookmarkEnd w:id="3"/>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09"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26,006</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6,029</w:t>
      </w:r>
    </w:p>
    <w:p>
      <w:pPr>
        <w:spacing w:after="0" w:line="209" w:lineRule="exact"/>
        <w:rPr>
          <w:rFonts w:ascii="Arial" w:cs="Arial" w:eastAsia="Arial" w:hAnsi="Arial"/>
          <w:sz w:val="17"/>
          <w:szCs w:val="17"/>
          <w:color w:val="auto"/>
        </w:rPr>
      </w:pPr>
    </w:p>
    <w:p>
      <w:pPr>
        <w:ind w:left="100" w:right="6460"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4,217,149 (iv) shared power to dispose or to direct the disposition of: 27,472</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02/11/2019</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5" w:right="25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21,443 shares or .04% of the Common Stock outstanding of the Company as a result of its serving as investment manager of collective trust accounts.</w:t>
      </w:r>
    </w:p>
    <w:p>
      <w:pPr>
        <w:spacing w:after="0" w:line="161" w:lineRule="exact"/>
        <w:rPr>
          <w:sz w:val="20"/>
          <w:szCs w:val="20"/>
          <w:color w:val="auto"/>
        </w:rPr>
      </w:pPr>
    </w:p>
    <w:p>
      <w:pPr>
        <w:ind w:right="8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10,592 shares or .02% of the Common Stock outstanding of the Company as a result of its serving as investment manager of Australian investment offerings.</w:t>
      </w:r>
    </w:p>
    <w:sectPr>
      <w:pgSz w:w="11900" w:h="16838" w:orient="portrait"/>
      <w:cols w:equalWidth="0" w:num="1">
        <w:col w:w="11100"/>
      </w:cols>
      <w:pgMar w:left="240" w:top="365"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2019-12-20T01:07:08Z</dcterms:created>
  <dcterms:modified xsi:type="dcterms:W3CDTF">2019-12-20T01:07:08Z</dcterms:modified>
</cp:coreProperties>
</file>