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5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183515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1" w:lineRule="exact"/>
        <w:rPr>
          <w:sz w:val="24"/>
          <w:szCs w:val="24"/>
          <w:color w:val="auto"/>
        </w:rPr>
      </w:pPr>
    </w:p>
    <w:p>
      <w:pPr>
        <w:jc w:val="center"/>
        <w:ind w:right="-13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15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184785</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05" w:lineRule="exact"/>
        <w:rPr>
          <w:sz w:val="24"/>
          <w:szCs w:val="24"/>
          <w:color w:val="auto"/>
        </w:rPr>
      </w:pPr>
    </w:p>
    <w:p>
      <w:pPr>
        <w:jc w:val="center"/>
        <w:ind w:right="-159"/>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203835</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50" w:lineRule="exact"/>
        <w:rPr>
          <w:sz w:val="24"/>
          <w:szCs w:val="24"/>
          <w:color w:val="auto"/>
        </w:rPr>
      </w:pPr>
    </w:p>
    <w:p>
      <w:pPr>
        <w:jc w:val="center"/>
        <w:ind w:right="-139"/>
        <w:spacing w:after="0"/>
        <w:rPr>
          <w:sz w:val="20"/>
          <w:szCs w:val="20"/>
          <w:color w:val="auto"/>
        </w:rPr>
      </w:pPr>
      <w:r>
        <w:rPr>
          <w:rFonts w:ascii="Arial" w:cs="Arial" w:eastAsia="Arial" w:hAnsi="Arial"/>
          <w:sz w:val="22"/>
          <w:szCs w:val="22"/>
          <w:b w:val="1"/>
          <w:bCs w:val="1"/>
          <w:color w:val="auto"/>
        </w:rPr>
        <w:t>CURRENT REPORT</w:t>
      </w:r>
    </w:p>
    <w:p>
      <w:pPr>
        <w:spacing w:after="0" w:line="14" w:lineRule="exact"/>
        <w:rPr>
          <w:sz w:val="24"/>
          <w:szCs w:val="24"/>
          <w:color w:val="auto"/>
        </w:rPr>
      </w:pPr>
    </w:p>
    <w:p>
      <w:pPr>
        <w:jc w:val="center"/>
        <w:ind w:right="-159"/>
        <w:spacing w:after="0"/>
        <w:rPr>
          <w:sz w:val="20"/>
          <w:szCs w:val="20"/>
          <w:color w:val="auto"/>
        </w:rPr>
      </w:pPr>
      <w:r>
        <w:rPr>
          <w:rFonts w:ascii="Arial" w:cs="Arial" w:eastAsia="Arial" w:hAnsi="Arial"/>
          <w:sz w:val="22"/>
          <w:szCs w:val="22"/>
          <w:b w:val="1"/>
          <w:bCs w:val="1"/>
          <w:color w:val="auto"/>
        </w:rPr>
        <w:t>Pursuant to Section 13 or 15(d) of the Securities Exchange Act of 1934</w:t>
      </w:r>
    </w:p>
    <w:p>
      <w:pPr>
        <w:spacing w:after="0" w:line="128" w:lineRule="exact"/>
        <w:rPr>
          <w:sz w:val="24"/>
          <w:szCs w:val="24"/>
          <w:color w:val="auto"/>
        </w:rPr>
      </w:pPr>
    </w:p>
    <w:p>
      <w:pPr>
        <w:jc w:val="center"/>
        <w:ind w:right="-159"/>
        <w:spacing w:after="0"/>
        <w:rPr>
          <w:sz w:val="20"/>
          <w:szCs w:val="20"/>
          <w:color w:val="auto"/>
        </w:rPr>
      </w:pPr>
      <w:r>
        <w:rPr>
          <w:rFonts w:ascii="Arial" w:cs="Arial" w:eastAsia="Arial" w:hAnsi="Arial"/>
          <w:sz w:val="22"/>
          <w:szCs w:val="22"/>
          <w:b w:val="1"/>
          <w:bCs w:val="1"/>
          <w:color w:val="auto"/>
        </w:rPr>
        <w:t>Date of Report (Date of earliest event reported): August 1, 2017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191135</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13" w:lineRule="exact"/>
        <w:rPr>
          <w:sz w:val="24"/>
          <w:szCs w:val="24"/>
          <w:color w:val="auto"/>
        </w:rPr>
      </w:pPr>
    </w:p>
    <w:p>
      <w:pPr>
        <w:jc w:val="center"/>
        <w:ind w:right="-159"/>
        <w:spacing w:after="0"/>
        <w:rPr>
          <w:sz w:val="20"/>
          <w:szCs w:val="20"/>
          <w:color w:val="auto"/>
        </w:rPr>
      </w:pPr>
      <w:r>
        <w:rPr>
          <w:rFonts w:ascii="Arial" w:cs="Arial" w:eastAsia="Arial" w:hAnsi="Arial"/>
          <w:sz w:val="43"/>
          <w:szCs w:val="43"/>
          <w:b w:val="1"/>
          <w:bCs w:val="1"/>
          <w:color w:val="auto"/>
        </w:rPr>
        <w:t>Grand Canyon Education, Inc.</w:t>
      </w:r>
    </w:p>
    <w:p>
      <w:pPr>
        <w:spacing w:after="0" w:line="54" w:lineRule="exact"/>
        <w:rPr>
          <w:sz w:val="24"/>
          <w:szCs w:val="24"/>
          <w:color w:val="auto"/>
        </w:rPr>
      </w:pPr>
    </w:p>
    <w:p>
      <w:pPr>
        <w:jc w:val="center"/>
        <w:ind w:right="-15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191135</wp:posOffset>
            </wp:positionV>
            <wp:extent cx="151765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95" w:lineRule="exact"/>
        <w:rPr>
          <w:sz w:val="24"/>
          <w:szCs w:val="24"/>
          <w:color w:val="auto"/>
        </w:rPr>
      </w:pPr>
    </w:p>
    <w:tbl>
      <w:tblPr>
        <w:tblLayout w:type="fixed"/>
        <w:tblInd w:w="1160" w:type="dxa"/>
        <w:tblCellMar>
          <w:top w:w="0" w:type="dxa"/>
          <w:left w:w="0" w:type="dxa"/>
          <w:bottom w:w="0" w:type="dxa"/>
          <w:right w:w="0" w:type="dxa"/>
        </w:tblCellMar>
      </w:tblPr>
      <w:tr>
        <w:trPr>
          <w:trHeight w:val="207"/>
        </w:trPr>
        <w:tc>
          <w:tcPr>
            <w:tcW w:w="440" w:type="dxa"/>
            <w:vAlign w:val="bottom"/>
          </w:tcPr>
          <w:p>
            <w:pPr>
              <w:spacing w:after="0"/>
              <w:rPr>
                <w:sz w:val="17"/>
                <w:szCs w:val="17"/>
                <w:color w:val="auto"/>
              </w:rPr>
            </w:pPr>
          </w:p>
        </w:tc>
        <w:tc>
          <w:tcPr>
            <w:tcW w:w="2500" w:type="dxa"/>
            <w:vAlign w:val="bottom"/>
            <w:gridSpan w:val="2"/>
          </w:tcPr>
          <w:p>
            <w:pPr>
              <w:jc w:val="center"/>
              <w:ind w:right="1800"/>
              <w:spacing w:after="0"/>
              <w:rPr>
                <w:sz w:val="20"/>
                <w:szCs w:val="20"/>
                <w:color w:val="auto"/>
              </w:rPr>
            </w:pPr>
            <w:r>
              <w:rPr>
                <w:rFonts w:ascii="Arial" w:cs="Arial" w:eastAsia="Arial" w:hAnsi="Arial"/>
                <w:sz w:val="18"/>
                <w:szCs w:val="18"/>
                <w:b w:val="1"/>
                <w:bCs w:val="1"/>
                <w:color w:val="auto"/>
                <w:w w:val="88"/>
              </w:rPr>
              <w:t>Delaware</w:t>
            </w:r>
          </w:p>
        </w:tc>
        <w:tc>
          <w:tcPr>
            <w:tcW w:w="3540" w:type="dxa"/>
            <w:vAlign w:val="bottom"/>
            <w:gridSpan w:val="3"/>
          </w:tcPr>
          <w:p>
            <w:pPr>
              <w:ind w:left="1360"/>
              <w:spacing w:after="0"/>
              <w:rPr>
                <w:sz w:val="20"/>
                <w:szCs w:val="20"/>
                <w:color w:val="auto"/>
              </w:rPr>
            </w:pPr>
            <w:r>
              <w:rPr>
                <w:rFonts w:ascii="Arial" w:cs="Arial" w:eastAsia="Arial" w:hAnsi="Arial"/>
                <w:sz w:val="18"/>
                <w:szCs w:val="18"/>
                <w:b w:val="1"/>
                <w:bCs w:val="1"/>
                <w:color w:val="auto"/>
              </w:rPr>
              <w:t>001-34211</w:t>
            </w:r>
          </w:p>
        </w:tc>
        <w:tc>
          <w:tcPr>
            <w:tcW w:w="2480" w:type="dxa"/>
            <w:vAlign w:val="bottom"/>
            <w:gridSpan w:val="3"/>
          </w:tcPr>
          <w:p>
            <w:pPr>
              <w:jc w:val="center"/>
              <w:ind w:left="1366"/>
              <w:spacing w:after="0"/>
              <w:rPr>
                <w:sz w:val="20"/>
                <w:szCs w:val="20"/>
                <w:color w:val="auto"/>
              </w:rPr>
            </w:pPr>
            <w:r>
              <w:rPr>
                <w:rFonts w:ascii="Arial" w:cs="Arial" w:eastAsia="Arial" w:hAnsi="Arial"/>
                <w:sz w:val="18"/>
                <w:szCs w:val="18"/>
                <w:b w:val="1"/>
                <w:bCs w:val="1"/>
                <w:color w:val="auto"/>
                <w:w w:val="87"/>
              </w:rPr>
              <w:t>20-3356009</w:t>
            </w:r>
          </w:p>
        </w:tc>
      </w:tr>
      <w:tr>
        <w:trPr>
          <w:trHeight w:val="20"/>
        </w:trPr>
        <w:tc>
          <w:tcPr>
            <w:tcW w:w="440" w:type="dxa"/>
            <w:vAlign w:val="bottom"/>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80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56"/>
        </w:trPr>
        <w:tc>
          <w:tcPr>
            <w:tcW w:w="2940" w:type="dxa"/>
            <w:vAlign w:val="bottom"/>
            <w:gridSpan w:val="3"/>
          </w:tcPr>
          <w:p>
            <w:pPr>
              <w:jc w:val="center"/>
              <w:ind w:right="1380"/>
              <w:spacing w:after="0" w:line="156" w:lineRule="exact"/>
              <w:rPr>
                <w:sz w:val="20"/>
                <w:szCs w:val="20"/>
                <w:color w:val="auto"/>
              </w:rPr>
            </w:pPr>
            <w:r>
              <w:rPr>
                <w:rFonts w:ascii="Arial" w:cs="Arial" w:eastAsia="Arial" w:hAnsi="Arial"/>
                <w:sz w:val="14"/>
                <w:szCs w:val="14"/>
                <w:b w:val="1"/>
                <w:bCs w:val="1"/>
                <w:color w:val="auto"/>
                <w:w w:val="87"/>
              </w:rPr>
              <w:t>(State or other Jurisdiction</w:t>
            </w:r>
          </w:p>
        </w:tc>
        <w:tc>
          <w:tcPr>
            <w:tcW w:w="3540" w:type="dxa"/>
            <w:vAlign w:val="bottom"/>
            <w:gridSpan w:val="3"/>
          </w:tcPr>
          <w:p>
            <w:pPr>
              <w:ind w:left="1360"/>
              <w:spacing w:after="0" w:line="156" w:lineRule="exact"/>
              <w:rPr>
                <w:sz w:val="20"/>
                <w:szCs w:val="20"/>
                <w:color w:val="auto"/>
              </w:rPr>
            </w:pPr>
            <w:r>
              <w:rPr>
                <w:rFonts w:ascii="Arial" w:cs="Arial" w:eastAsia="Arial" w:hAnsi="Arial"/>
                <w:sz w:val="14"/>
                <w:szCs w:val="14"/>
                <w:b w:val="1"/>
                <w:bCs w:val="1"/>
                <w:color w:val="auto"/>
              </w:rPr>
              <w:t>(Commission</w:t>
            </w:r>
          </w:p>
        </w:tc>
        <w:tc>
          <w:tcPr>
            <w:tcW w:w="2480" w:type="dxa"/>
            <w:vAlign w:val="bottom"/>
            <w:gridSpan w:val="3"/>
          </w:tcPr>
          <w:p>
            <w:pPr>
              <w:jc w:val="center"/>
              <w:ind w:left="1366"/>
              <w:spacing w:after="0" w:line="156" w:lineRule="exact"/>
              <w:rPr>
                <w:sz w:val="20"/>
                <w:szCs w:val="20"/>
                <w:color w:val="auto"/>
              </w:rPr>
            </w:pPr>
            <w:r>
              <w:rPr>
                <w:rFonts w:ascii="Arial" w:cs="Arial" w:eastAsia="Arial" w:hAnsi="Arial"/>
                <w:sz w:val="14"/>
                <w:szCs w:val="14"/>
                <w:b w:val="1"/>
                <w:bCs w:val="1"/>
                <w:color w:val="auto"/>
                <w:w w:val="91"/>
              </w:rPr>
              <w:t>(IRS Employer</w:t>
            </w:r>
          </w:p>
        </w:tc>
      </w:tr>
      <w:tr>
        <w:trPr>
          <w:trHeight w:val="174"/>
        </w:trPr>
        <w:tc>
          <w:tcPr>
            <w:tcW w:w="2940" w:type="dxa"/>
            <w:vAlign w:val="bottom"/>
            <w:gridSpan w:val="3"/>
          </w:tcPr>
          <w:p>
            <w:pPr>
              <w:jc w:val="center"/>
              <w:ind w:right="1380"/>
              <w:spacing w:after="0"/>
              <w:rPr>
                <w:sz w:val="20"/>
                <w:szCs w:val="20"/>
                <w:color w:val="auto"/>
              </w:rPr>
            </w:pPr>
            <w:r>
              <w:rPr>
                <w:rFonts w:ascii="Arial" w:cs="Arial" w:eastAsia="Arial" w:hAnsi="Arial"/>
                <w:sz w:val="14"/>
                <w:szCs w:val="14"/>
                <w:b w:val="1"/>
                <w:bCs w:val="1"/>
                <w:color w:val="auto"/>
                <w:w w:val="89"/>
              </w:rPr>
              <w:t>of Incorporation)</w:t>
            </w:r>
          </w:p>
        </w:tc>
        <w:tc>
          <w:tcPr>
            <w:tcW w:w="3540" w:type="dxa"/>
            <w:vAlign w:val="bottom"/>
            <w:gridSpan w:val="3"/>
          </w:tcPr>
          <w:p>
            <w:pPr>
              <w:ind w:left="1360"/>
              <w:spacing w:after="0"/>
              <w:rPr>
                <w:sz w:val="20"/>
                <w:szCs w:val="20"/>
                <w:color w:val="auto"/>
              </w:rPr>
            </w:pPr>
            <w:r>
              <w:rPr>
                <w:rFonts w:ascii="Arial" w:cs="Arial" w:eastAsia="Arial" w:hAnsi="Arial"/>
                <w:sz w:val="14"/>
                <w:szCs w:val="14"/>
                <w:b w:val="1"/>
                <w:bCs w:val="1"/>
                <w:color w:val="auto"/>
              </w:rPr>
              <w:t>File Number)</w:t>
            </w:r>
          </w:p>
        </w:tc>
        <w:tc>
          <w:tcPr>
            <w:tcW w:w="2480" w:type="dxa"/>
            <w:vAlign w:val="bottom"/>
            <w:gridSpan w:val="3"/>
          </w:tcPr>
          <w:p>
            <w:pPr>
              <w:jc w:val="center"/>
              <w:ind w:left="1346"/>
              <w:spacing w:after="0"/>
              <w:rPr>
                <w:sz w:val="20"/>
                <w:szCs w:val="20"/>
                <w:color w:val="auto"/>
              </w:rPr>
            </w:pPr>
            <w:r>
              <w:rPr>
                <w:rFonts w:ascii="Arial" w:cs="Arial" w:eastAsia="Arial" w:hAnsi="Arial"/>
                <w:sz w:val="14"/>
                <w:szCs w:val="14"/>
                <w:b w:val="1"/>
                <w:bCs w:val="1"/>
                <w:color w:val="auto"/>
                <w:w w:val="89"/>
              </w:rPr>
              <w:t>Identification No.)</w:t>
            </w:r>
          </w:p>
        </w:tc>
      </w:tr>
    </w:tbl>
    <w:p>
      <w:pPr>
        <w:spacing w:after="0" w:line="189" w:lineRule="exact"/>
        <w:rPr>
          <w:sz w:val="24"/>
          <w:szCs w:val="24"/>
          <w:color w:val="auto"/>
        </w:rPr>
      </w:pPr>
    </w:p>
    <w:tbl>
      <w:tblPr>
        <w:tblLayout w:type="fixed"/>
        <w:tblInd w:w="1740" w:type="dxa"/>
        <w:tblCellMar>
          <w:top w:w="0" w:type="dxa"/>
          <w:left w:w="0" w:type="dxa"/>
          <w:bottom w:w="0" w:type="dxa"/>
          <w:right w:w="0" w:type="dxa"/>
        </w:tblCellMar>
      </w:tblPr>
      <w:tr>
        <w:trPr>
          <w:trHeight w:val="216"/>
        </w:trPr>
        <w:tc>
          <w:tcPr>
            <w:tcW w:w="4460" w:type="dxa"/>
            <w:vAlign w:val="bottom"/>
            <w:gridSpan w:val="3"/>
          </w:tcPr>
          <w:p>
            <w:pPr>
              <w:jc w:val="center"/>
              <w:ind w:right="2160"/>
              <w:spacing w:after="0"/>
              <w:rPr>
                <w:sz w:val="20"/>
                <w:szCs w:val="20"/>
                <w:color w:val="auto"/>
              </w:rPr>
            </w:pPr>
            <w:r>
              <w:rPr>
                <w:rFonts w:ascii="Arial" w:cs="Arial" w:eastAsia="Arial" w:hAnsi="Arial"/>
                <w:sz w:val="18"/>
                <w:szCs w:val="18"/>
                <w:b w:val="1"/>
                <w:bCs w:val="1"/>
                <w:color w:val="auto"/>
                <w:w w:val="89"/>
              </w:rPr>
              <w:t>3300 W. Camelback Road</w:t>
            </w:r>
          </w:p>
        </w:tc>
        <w:tc>
          <w:tcPr>
            <w:tcW w:w="22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190"/>
        </w:trPr>
        <w:tc>
          <w:tcPr>
            <w:tcW w:w="500" w:type="dxa"/>
            <w:vAlign w:val="bottom"/>
          </w:tcPr>
          <w:p>
            <w:pPr>
              <w:spacing w:after="0"/>
              <w:rPr>
                <w:sz w:val="16"/>
                <w:szCs w:val="16"/>
                <w:color w:val="auto"/>
              </w:rPr>
            </w:pPr>
          </w:p>
        </w:tc>
        <w:tc>
          <w:tcPr>
            <w:tcW w:w="3960" w:type="dxa"/>
            <w:vAlign w:val="bottom"/>
            <w:gridSpan w:val="2"/>
          </w:tcPr>
          <w:p>
            <w:pPr>
              <w:jc w:val="center"/>
              <w:ind w:right="2660"/>
              <w:spacing w:after="0" w:line="170" w:lineRule="exact"/>
              <w:rPr>
                <w:sz w:val="20"/>
                <w:szCs w:val="20"/>
                <w:color w:val="auto"/>
              </w:rPr>
            </w:pPr>
            <w:r>
              <w:rPr>
                <w:rFonts w:ascii="Arial" w:cs="Arial" w:eastAsia="Arial" w:hAnsi="Arial"/>
                <w:sz w:val="18"/>
                <w:szCs w:val="18"/>
                <w:b w:val="1"/>
                <w:bCs w:val="1"/>
                <w:color w:val="auto"/>
                <w:w w:val="88"/>
              </w:rPr>
              <w:t>Phoenix, Arizona</w:t>
            </w:r>
          </w:p>
        </w:tc>
        <w:tc>
          <w:tcPr>
            <w:tcW w:w="2680" w:type="dxa"/>
            <w:vAlign w:val="bottom"/>
            <w:gridSpan w:val="2"/>
          </w:tcPr>
          <w:p>
            <w:pPr>
              <w:jc w:val="right"/>
              <w:spacing w:after="0" w:line="170" w:lineRule="exact"/>
              <w:rPr>
                <w:sz w:val="20"/>
                <w:szCs w:val="20"/>
                <w:color w:val="auto"/>
              </w:rPr>
            </w:pPr>
            <w:r>
              <w:rPr>
                <w:rFonts w:ascii="Arial" w:cs="Arial" w:eastAsia="Arial" w:hAnsi="Arial"/>
                <w:sz w:val="18"/>
                <w:szCs w:val="18"/>
                <w:b w:val="1"/>
                <w:bCs w:val="1"/>
                <w:color w:val="auto"/>
              </w:rPr>
              <w:t>85017</w:t>
            </w:r>
          </w:p>
        </w:tc>
        <w:tc>
          <w:tcPr>
            <w:tcW w:w="80" w:type="dxa"/>
            <w:vAlign w:val="bottom"/>
          </w:tcPr>
          <w:p>
            <w:pPr>
              <w:spacing w:after="0"/>
              <w:rPr>
                <w:sz w:val="16"/>
                <w:szCs w:val="16"/>
                <w:color w:val="auto"/>
              </w:rPr>
            </w:pPr>
          </w:p>
        </w:tc>
      </w:tr>
      <w:tr>
        <w:trPr>
          <w:trHeight w:val="27"/>
        </w:trPr>
        <w:tc>
          <w:tcPr>
            <w:tcW w:w="4460" w:type="dxa"/>
            <w:vAlign w:val="bottom"/>
            <w:gridSpan w:val="3"/>
          </w:tcPr>
          <w:p>
            <w:pPr>
              <w:spacing w:after="0"/>
              <w:rPr>
                <w:sz w:val="2"/>
                <w:szCs w:val="2"/>
                <w:color w:val="auto"/>
              </w:rPr>
            </w:pPr>
          </w:p>
        </w:tc>
        <w:tc>
          <w:tcPr>
            <w:tcW w:w="2240" w:type="dxa"/>
            <w:vAlign w:val="bottom"/>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r>
      <w:tr>
        <w:trPr>
          <w:trHeight w:val="189"/>
        </w:trPr>
        <w:tc>
          <w:tcPr>
            <w:tcW w:w="4460" w:type="dxa"/>
            <w:vAlign w:val="bottom"/>
            <w:gridSpan w:val="3"/>
          </w:tcPr>
          <w:p>
            <w:pPr>
              <w:jc w:val="center"/>
              <w:ind w:right="2160"/>
              <w:spacing w:after="0"/>
              <w:rPr>
                <w:sz w:val="20"/>
                <w:szCs w:val="20"/>
                <w:color w:val="auto"/>
              </w:rPr>
            </w:pPr>
            <w:r>
              <w:rPr>
                <w:rFonts w:ascii="Arial" w:cs="Arial" w:eastAsia="Arial" w:hAnsi="Arial"/>
                <w:sz w:val="14"/>
                <w:szCs w:val="14"/>
                <w:b w:val="1"/>
                <w:bCs w:val="1"/>
                <w:color w:val="auto"/>
                <w:w w:val="86"/>
              </w:rPr>
              <w:t>(Address of Principal Executive Offices)</w:t>
            </w:r>
          </w:p>
        </w:tc>
        <w:tc>
          <w:tcPr>
            <w:tcW w:w="2760" w:type="dxa"/>
            <w:vAlign w:val="bottom"/>
            <w:gridSpan w:val="3"/>
          </w:tcPr>
          <w:p>
            <w:pPr>
              <w:jc w:val="center"/>
              <w:ind w:left="2062"/>
              <w:spacing w:after="0"/>
              <w:rPr>
                <w:sz w:val="20"/>
                <w:szCs w:val="20"/>
                <w:color w:val="auto"/>
              </w:rPr>
            </w:pPr>
            <w:r>
              <w:rPr>
                <w:rFonts w:ascii="Arial" w:cs="Arial" w:eastAsia="Arial" w:hAnsi="Arial"/>
                <w:sz w:val="14"/>
                <w:szCs w:val="14"/>
                <w:b w:val="1"/>
                <w:bCs w:val="1"/>
                <w:color w:val="auto"/>
                <w:w w:val="89"/>
              </w:rPr>
              <w:t>(Zip Code)</w:t>
            </w:r>
          </w:p>
        </w:tc>
      </w:tr>
    </w:tbl>
    <w:p>
      <w:pPr>
        <w:spacing w:after="0" w:line="135" w:lineRule="exact"/>
        <w:rPr>
          <w:sz w:val="24"/>
          <w:szCs w:val="24"/>
          <w:color w:val="auto"/>
        </w:rPr>
      </w:pPr>
    </w:p>
    <w:p>
      <w:pPr>
        <w:jc w:val="center"/>
        <w:ind w:right="-159"/>
        <w:spacing w:after="0"/>
        <w:rPr>
          <w:sz w:val="20"/>
          <w:szCs w:val="20"/>
          <w:color w:val="auto"/>
        </w:rPr>
      </w:pPr>
      <w:r>
        <w:rPr>
          <w:rFonts w:ascii="Arial" w:cs="Arial" w:eastAsia="Arial" w:hAnsi="Arial"/>
          <w:sz w:val="18"/>
          <w:szCs w:val="18"/>
          <w:b w:val="1"/>
          <w:bCs w:val="1"/>
          <w:color w:val="auto"/>
        </w:rPr>
        <w:t>Registrant’s telephone number, including area code: (602) 639-7500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1891665</wp:posOffset>
            </wp:positionH>
            <wp:positionV relativeFrom="paragraph">
              <wp:posOffset>212090</wp:posOffset>
            </wp:positionV>
            <wp:extent cx="347345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473450" cy="8890"/>
                    </a:xfrm>
                    <a:prstGeom prst="rect">
                      <a:avLst/>
                    </a:prstGeom>
                    <a:noFill/>
                  </pic:spPr>
                </pic:pic>
              </a:graphicData>
            </a:graphic>
          </wp:anchor>
        </w:drawing>
      </w:r>
    </w:p>
    <w:p>
      <w:pPr>
        <w:spacing w:after="0" w:line="342" w:lineRule="exact"/>
        <w:rPr>
          <w:sz w:val="24"/>
          <w:szCs w:val="24"/>
          <w:color w:val="auto"/>
        </w:rPr>
      </w:pPr>
    </w:p>
    <w:p>
      <w:pPr>
        <w:jc w:val="center"/>
        <w:ind w:right="-159"/>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180340</wp:posOffset>
            </wp:positionV>
            <wp:extent cx="151765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31" w:lineRule="exact"/>
        <w:rPr>
          <w:sz w:val="24"/>
          <w:szCs w:val="24"/>
          <w:color w:val="auto"/>
        </w:rPr>
      </w:pPr>
    </w:p>
    <w:p>
      <w:pPr>
        <w:ind w:right="260"/>
        <w:spacing w:after="0" w:line="268"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51"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9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9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9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171" w:lineRule="exact"/>
        <w:rPr>
          <w:sz w:val="24"/>
          <w:szCs w:val="24"/>
          <w:color w:val="auto"/>
        </w:rPr>
      </w:pPr>
    </w:p>
    <w:p>
      <w:pPr>
        <w:spacing w:after="0" w:line="268"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8"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Emerginggrowth company </w:t>
      </w:r>
      <w:r>
        <w:rPr>
          <w:rFonts w:ascii="MS PGothic" w:cs="MS PGothic" w:eastAsia="MS PGothic" w:hAnsi="MS PGothic"/>
          <w:sz w:val="18"/>
          <w:szCs w:val="18"/>
          <w:color w:val="auto"/>
        </w:rPr>
        <w:t>☐</w:t>
      </w:r>
    </w:p>
    <w:p>
      <w:pPr>
        <w:spacing w:after="0" w:line="123" w:lineRule="exact"/>
        <w:rPr>
          <w:sz w:val="24"/>
          <w:szCs w:val="24"/>
          <w:color w:val="auto"/>
        </w:rPr>
      </w:pPr>
    </w:p>
    <w:p>
      <w:pPr>
        <w:ind w:right="280"/>
        <w:spacing w:after="0" w:line="229"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83820</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118110</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280"/>
          </w:cols>
          <w:pgMar w:left="240" w:top="314" w:right="37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Item 2.02. </w:t>
      </w:r>
      <w:r>
        <w:rPr>
          <w:rFonts w:ascii="Arial" w:cs="Arial" w:eastAsia="Arial" w:hAnsi="Arial"/>
          <w:sz w:val="18"/>
          <w:szCs w:val="18"/>
          <w:b w:val="1"/>
          <w:bCs w:val="1"/>
          <w:u w:val="single" w:color="auto"/>
          <w:color w:val="auto"/>
        </w:rPr>
        <w:t>Results of Operations and Financial Condition</w:t>
      </w:r>
      <w:r>
        <w:rPr>
          <w:rFonts w:ascii="Arial" w:cs="Arial" w:eastAsia="Arial" w:hAnsi="Arial"/>
          <w:sz w:val="18"/>
          <w:szCs w:val="18"/>
          <w:b w:val="1"/>
          <w:bCs w:val="1"/>
          <w:color w:val="auto"/>
        </w:rPr>
        <w:t>.</w:t>
      </w:r>
    </w:p>
    <w:p>
      <w:pPr>
        <w:spacing w:after="0" w:line="121"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On August 1, 2017, Grand Canyon Education, Inc. (the “University”) reported its results for the second quarter of 2017. The press release dated August 1, 2017 is furnished as Exhibit 99.1 to this report.</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9.01. </w:t>
      </w:r>
      <w:r>
        <w:rPr>
          <w:rFonts w:ascii="Arial" w:cs="Arial" w:eastAsia="Arial" w:hAnsi="Arial"/>
          <w:sz w:val="18"/>
          <w:szCs w:val="18"/>
          <w:b w:val="1"/>
          <w:bCs w:val="1"/>
          <w:u w:val="single" w:color="auto"/>
          <w:color w:val="auto"/>
        </w:rPr>
        <w:t>Consolidated Financial Statements and Exhibits</w:t>
      </w:r>
      <w:r>
        <w:rPr>
          <w:rFonts w:ascii="Arial" w:cs="Arial" w:eastAsia="Arial" w:hAnsi="Arial"/>
          <w:sz w:val="18"/>
          <w:szCs w:val="18"/>
          <w:b w:val="1"/>
          <w:bCs w:val="1"/>
          <w:color w:val="auto"/>
        </w:rPr>
        <w:t>.</w:t>
      </w:r>
    </w:p>
    <w:p>
      <w:pPr>
        <w:spacing w:after="0" w:line="256" w:lineRule="exact"/>
        <w:rPr>
          <w:sz w:val="20"/>
          <w:szCs w:val="20"/>
          <w:color w:val="auto"/>
        </w:rPr>
      </w:pPr>
    </w:p>
    <w:p>
      <w:pPr>
        <w:spacing w:after="0"/>
        <w:tabs>
          <w:tab w:leader="none" w:pos="680" w:val="left"/>
        </w:tabs>
        <w:rPr>
          <w:sz w:val="20"/>
          <w:szCs w:val="20"/>
          <w:color w:val="auto"/>
        </w:rPr>
      </w:pPr>
      <w:r>
        <w:rPr>
          <w:rFonts w:ascii="Arial" w:cs="Arial" w:eastAsia="Arial" w:hAnsi="Arial"/>
          <w:sz w:val="18"/>
          <w:szCs w:val="18"/>
          <w:color w:val="auto"/>
        </w:rPr>
        <w:t>99.1</w:t>
      </w:r>
      <w:r>
        <w:rPr>
          <w:sz w:val="20"/>
          <w:szCs w:val="20"/>
          <w:color w:val="auto"/>
        </w:rPr>
        <w:tab/>
      </w:r>
      <w:r>
        <w:rPr>
          <w:rFonts w:ascii="Arial" w:cs="Arial" w:eastAsia="Arial" w:hAnsi="Arial"/>
          <w:sz w:val="15"/>
          <w:szCs w:val="15"/>
          <w:color w:val="auto"/>
        </w:rPr>
        <w:t>Press Release dated August 1, 2017</w:t>
      </w:r>
    </w:p>
    <w:p>
      <w:pPr>
        <w:sectPr>
          <w:pgSz w:w="11900" w:h="16838" w:orient="portrait"/>
          <w:cols w:equalWidth="0" w:num="1">
            <w:col w:w="10820"/>
          </w:cols>
          <w:pgMar w:left="240" w:top="270" w:right="83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SIGNATURES</w:t>
      </w:r>
    </w:p>
    <w:p>
      <w:pPr>
        <w:spacing w:after="0" w:line="225" w:lineRule="exact"/>
        <w:rPr>
          <w:sz w:val="20"/>
          <w:szCs w:val="20"/>
          <w:color w:val="auto"/>
        </w:rPr>
      </w:pPr>
    </w:p>
    <w:p>
      <w:pPr>
        <w:ind w:right="620" w:firstLine="456"/>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520" w:type="dxa"/>
            <w:vAlign w:val="bottom"/>
          </w:tcPr>
          <w:p>
            <w:pPr>
              <w:spacing w:after="0"/>
              <w:rPr>
                <w:sz w:val="20"/>
                <w:szCs w:val="20"/>
                <w:color w:val="auto"/>
              </w:rPr>
            </w:pPr>
          </w:p>
        </w:tc>
        <w:tc>
          <w:tcPr>
            <w:tcW w:w="7900" w:type="dxa"/>
            <w:vAlign w:val="bottom"/>
            <w:gridSpan w:val="2"/>
          </w:tcPr>
          <w:p>
            <w:pPr>
              <w:ind w:left="1980"/>
              <w:spacing w:after="0"/>
              <w:rPr>
                <w:sz w:val="20"/>
                <w:szCs w:val="20"/>
                <w:color w:val="auto"/>
              </w:rPr>
            </w:pPr>
            <w:r>
              <w:rPr>
                <w:rFonts w:ascii="Arial" w:cs="Arial" w:eastAsia="Arial" w:hAnsi="Arial"/>
                <w:sz w:val="18"/>
                <w:szCs w:val="18"/>
                <w:color w:val="auto"/>
              </w:rPr>
              <w:t>GRAND CANYON EDUCATION, INC.</w:t>
            </w:r>
          </w:p>
        </w:tc>
      </w:tr>
      <w:tr>
        <w:trPr>
          <w:trHeight w:val="432"/>
        </w:trPr>
        <w:tc>
          <w:tcPr>
            <w:tcW w:w="3520" w:type="dxa"/>
            <w:vAlign w:val="bottom"/>
          </w:tcPr>
          <w:p>
            <w:pPr>
              <w:spacing w:after="0"/>
              <w:rPr>
                <w:sz w:val="20"/>
                <w:szCs w:val="20"/>
                <w:color w:val="auto"/>
              </w:rPr>
            </w:pPr>
            <w:r>
              <w:rPr>
                <w:rFonts w:ascii="Arial" w:cs="Arial" w:eastAsia="Arial" w:hAnsi="Arial"/>
                <w:sz w:val="18"/>
                <w:szCs w:val="18"/>
                <w:color w:val="auto"/>
              </w:rPr>
              <w:t>Date: August 1, 2017</w:t>
            </w:r>
          </w:p>
        </w:tc>
        <w:tc>
          <w:tcPr>
            <w:tcW w:w="7900" w:type="dxa"/>
            <w:vAlign w:val="bottom"/>
            <w:gridSpan w:val="2"/>
          </w:tcPr>
          <w:p>
            <w:pPr>
              <w:ind w:left="1980"/>
              <w:spacing w:after="0"/>
              <w:rPr>
                <w:sz w:val="20"/>
                <w:szCs w:val="20"/>
                <w:color w:val="auto"/>
              </w:rPr>
            </w:pPr>
            <w:r>
              <w:rPr>
                <w:rFonts w:ascii="Arial" w:cs="Arial" w:eastAsia="Arial" w:hAnsi="Arial"/>
                <w:sz w:val="18"/>
                <w:szCs w:val="18"/>
                <w:color w:val="auto"/>
              </w:rPr>
              <w:t>By:  /s/ Daniel E. Bachus</w:t>
            </w:r>
          </w:p>
        </w:tc>
      </w:tr>
      <w:tr>
        <w:trPr>
          <w:trHeight w:val="195"/>
        </w:trPr>
        <w:tc>
          <w:tcPr>
            <w:tcW w:w="3520" w:type="dxa"/>
            <w:vAlign w:val="bottom"/>
          </w:tcPr>
          <w:p>
            <w:pPr>
              <w:spacing w:after="0"/>
              <w:rPr>
                <w:sz w:val="16"/>
                <w:szCs w:val="16"/>
                <w:color w:val="auto"/>
              </w:rPr>
            </w:pPr>
          </w:p>
        </w:tc>
        <w:tc>
          <w:tcPr>
            <w:tcW w:w="2320" w:type="dxa"/>
            <w:vAlign w:val="bottom"/>
          </w:tcPr>
          <w:p>
            <w:pPr>
              <w:spacing w:after="0"/>
              <w:rPr>
                <w:sz w:val="16"/>
                <w:szCs w:val="16"/>
                <w:color w:val="auto"/>
              </w:rPr>
            </w:pPr>
          </w:p>
        </w:tc>
        <w:tc>
          <w:tcPr>
            <w:tcW w:w="5580" w:type="dxa"/>
            <w:vAlign w:val="bottom"/>
            <w:tcBorders>
              <w:top w:val="single" w:sz="8" w:color="auto"/>
            </w:tcBorders>
          </w:tcPr>
          <w:p>
            <w:pPr>
              <w:ind w:left="120"/>
              <w:spacing w:after="0" w:line="195" w:lineRule="exact"/>
              <w:rPr>
                <w:sz w:val="20"/>
                <w:szCs w:val="20"/>
                <w:color w:val="auto"/>
              </w:rPr>
            </w:pPr>
            <w:r>
              <w:rPr>
                <w:rFonts w:ascii="Arial" w:cs="Arial" w:eastAsia="Arial" w:hAnsi="Arial"/>
                <w:sz w:val="18"/>
                <w:szCs w:val="18"/>
                <w:color w:val="auto"/>
              </w:rPr>
              <w:t>Daniel E. Bachus</w:t>
            </w:r>
          </w:p>
        </w:tc>
      </w:tr>
      <w:tr>
        <w:trPr>
          <w:trHeight w:val="216"/>
        </w:trPr>
        <w:tc>
          <w:tcPr>
            <w:tcW w:w="3520" w:type="dxa"/>
            <w:vAlign w:val="bottom"/>
          </w:tcPr>
          <w:p>
            <w:pPr>
              <w:spacing w:after="0"/>
              <w:rPr>
                <w:sz w:val="18"/>
                <w:szCs w:val="18"/>
                <w:color w:val="auto"/>
              </w:rPr>
            </w:pPr>
          </w:p>
        </w:tc>
        <w:tc>
          <w:tcPr>
            <w:tcW w:w="2320" w:type="dxa"/>
            <w:vAlign w:val="bottom"/>
          </w:tcPr>
          <w:p>
            <w:pPr>
              <w:spacing w:after="0"/>
              <w:rPr>
                <w:sz w:val="18"/>
                <w:szCs w:val="18"/>
                <w:color w:val="auto"/>
              </w:rPr>
            </w:pPr>
          </w:p>
        </w:tc>
        <w:tc>
          <w:tcPr>
            <w:tcW w:w="5580" w:type="dxa"/>
            <w:vAlign w:val="bottom"/>
          </w:tcPr>
          <w:p>
            <w:pPr>
              <w:ind w:left="120"/>
              <w:spacing w:after="0"/>
              <w:rPr>
                <w:sz w:val="20"/>
                <w:szCs w:val="20"/>
                <w:color w:val="auto"/>
              </w:rPr>
            </w:pPr>
            <w:r>
              <w:rPr>
                <w:rFonts w:ascii="Arial" w:cs="Arial" w:eastAsia="Arial" w:hAnsi="Arial"/>
                <w:sz w:val="18"/>
                <w:szCs w:val="18"/>
                <w:color w:val="auto"/>
              </w:rPr>
              <w:t>Chief Financial Officer</w:t>
            </w:r>
          </w:p>
        </w:tc>
      </w:tr>
      <w:tr>
        <w:trPr>
          <w:trHeight w:val="230"/>
        </w:trPr>
        <w:tc>
          <w:tcPr>
            <w:tcW w:w="3520" w:type="dxa"/>
            <w:vAlign w:val="bottom"/>
          </w:tcPr>
          <w:p>
            <w:pPr>
              <w:spacing w:after="0"/>
              <w:rPr>
                <w:sz w:val="20"/>
                <w:szCs w:val="20"/>
                <w:color w:val="auto"/>
              </w:rPr>
            </w:pPr>
          </w:p>
        </w:tc>
        <w:tc>
          <w:tcPr>
            <w:tcW w:w="2320" w:type="dxa"/>
            <w:vAlign w:val="bottom"/>
          </w:tcPr>
          <w:p>
            <w:pPr>
              <w:spacing w:after="0"/>
              <w:rPr>
                <w:sz w:val="20"/>
                <w:szCs w:val="20"/>
                <w:color w:val="auto"/>
              </w:rPr>
            </w:pPr>
          </w:p>
        </w:tc>
        <w:tc>
          <w:tcPr>
            <w:tcW w:w="5580" w:type="dxa"/>
            <w:vAlign w:val="bottom"/>
          </w:tcPr>
          <w:p>
            <w:pPr>
              <w:ind w:left="120"/>
              <w:spacing w:after="0"/>
              <w:rPr>
                <w:sz w:val="20"/>
                <w:szCs w:val="20"/>
                <w:color w:val="auto"/>
              </w:rPr>
            </w:pPr>
            <w:r>
              <w:rPr>
                <w:rFonts w:ascii="Arial" w:cs="Arial" w:eastAsia="Arial" w:hAnsi="Arial"/>
                <w:sz w:val="18"/>
                <w:szCs w:val="18"/>
                <w:color w:val="auto"/>
              </w:rPr>
              <w:t>(Principal Financial and Principal Accounting Officer)</w:t>
            </w:r>
          </w:p>
        </w:tc>
      </w:tr>
    </w:tbl>
    <w:p>
      <w:pPr>
        <w:sectPr>
          <w:pgSz w:w="11900" w:h="16838" w:orient="portrait"/>
          <w:cols w:equalWidth="0" w:num="1">
            <w:col w:w="11420"/>
          </w:cols>
          <w:pgMar w:left="240" w:top="274" w:right="239" w:bottom="1440" w:gutter="0" w:footer="0" w:header="0"/>
        </w:sectPr>
      </w:pPr>
    </w:p>
    <w:bookmarkStart w:id="3" w:name="page4"/>
    <w:bookmarkEnd w:id="3"/>
    <w:p>
      <w:pPr>
        <w:jc w:val="right"/>
        <w:ind w:right="3839"/>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EXHIBIT INDEX</w:t>
      </w:r>
    </w:p>
    <w:p>
      <w:pPr>
        <w:spacing w:after="0" w:line="244"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Exhibit</w:t>
      </w:r>
    </w:p>
    <w:p>
      <w:pPr>
        <w:ind w:left="140"/>
        <w:spacing w:after="0" w:line="180" w:lineRule="auto"/>
        <w:tabs>
          <w:tab w:leader="none" w:pos="1000" w:val="left"/>
        </w:tabs>
        <w:rPr>
          <w:sz w:val="20"/>
          <w:szCs w:val="20"/>
          <w:color w:val="auto"/>
        </w:rPr>
      </w:pPr>
      <w:r>
        <w:rPr>
          <w:rFonts w:ascii="Arial" w:cs="Arial" w:eastAsia="Arial" w:hAnsi="Arial"/>
          <w:sz w:val="22"/>
          <w:szCs w:val="22"/>
          <w:b w:val="1"/>
          <w:bCs w:val="1"/>
          <w:color w:val="auto"/>
          <w:vertAlign w:val="superscript"/>
        </w:rPr>
        <w:t>No.</w:t>
      </w:r>
      <w:r>
        <w:rPr>
          <w:sz w:val="20"/>
          <w:szCs w:val="20"/>
          <w:color w:val="auto"/>
        </w:rPr>
        <w:tab/>
      </w:r>
      <w:r>
        <w:rPr>
          <w:rFonts w:ascii="Arial" w:cs="Arial" w:eastAsia="Arial" w:hAnsi="Arial"/>
          <w:sz w:val="12"/>
          <w:szCs w:val="12"/>
          <w:b w:val="1"/>
          <w:bCs w:val="1"/>
          <w:u w:val="single" w:color="auto"/>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-19050</wp:posOffset>
            </wp:positionV>
            <wp:extent cx="291465"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291465" cy="8890"/>
                    </a:xfrm>
                    <a:prstGeom prst="rect">
                      <a:avLst/>
                    </a:prstGeom>
                    <a:noFill/>
                  </pic:spPr>
                </pic:pic>
              </a:graphicData>
            </a:graphic>
          </wp:anchor>
        </w:drawing>
      </w:r>
    </w:p>
    <w:p>
      <w:pPr>
        <w:spacing w:after="0" w:line="99" w:lineRule="exact"/>
        <w:rPr>
          <w:sz w:val="20"/>
          <w:szCs w:val="20"/>
          <w:color w:val="auto"/>
        </w:rPr>
      </w:pPr>
    </w:p>
    <w:p>
      <w:pPr>
        <w:spacing w:after="0"/>
        <w:tabs>
          <w:tab w:leader="none" w:pos="1000" w:val="left"/>
        </w:tabs>
        <w:rPr>
          <w:sz w:val="20"/>
          <w:szCs w:val="20"/>
          <w:color w:val="auto"/>
        </w:rPr>
      </w:pPr>
      <w:r>
        <w:rPr>
          <w:rFonts w:ascii="Arial" w:cs="Arial" w:eastAsia="Arial" w:hAnsi="Arial"/>
          <w:sz w:val="18"/>
          <w:szCs w:val="18"/>
          <w:color w:val="auto"/>
        </w:rPr>
        <w:t>99.1</w:t>
      </w:r>
      <w:r>
        <w:rPr>
          <w:sz w:val="20"/>
          <w:szCs w:val="20"/>
          <w:color w:val="auto"/>
        </w:rPr>
        <w:tab/>
      </w:r>
      <w:r>
        <w:rPr>
          <w:rFonts w:ascii="Arial" w:cs="Arial" w:eastAsia="Arial" w:hAnsi="Arial"/>
          <w:sz w:val="15"/>
          <w:szCs w:val="15"/>
          <w:color w:val="auto"/>
        </w:rPr>
        <w:t>Press Release dated August 1, 2017</w:t>
      </w:r>
    </w:p>
    <w:p>
      <w:pPr>
        <w:sectPr>
          <w:pgSz w:w="11900" w:h="16838" w:orient="portrait"/>
          <w:cols w:equalWidth="0" w:num="1">
            <w:col w:w="10219"/>
          </w:cols>
          <w:pgMar w:left="240" w:top="274" w:right="1440" w:bottom="1440" w:gutter="0" w:footer="0" w:header="0"/>
        </w:sectPr>
      </w:pPr>
    </w:p>
    <w:bookmarkStart w:id="4" w:name="page5"/>
    <w:bookmarkEnd w:id="4"/>
    <w:p>
      <w:pPr>
        <w:jc w:val="right"/>
        <w:spacing w:after="0"/>
        <w:rPr>
          <w:sz w:val="20"/>
          <w:szCs w:val="20"/>
          <w:color w:val="auto"/>
        </w:rPr>
      </w:pPr>
      <w:r>
        <w:rPr>
          <w:rFonts w:ascii="Arial" w:cs="Arial" w:eastAsia="Arial" w:hAnsi="Arial"/>
          <w:sz w:val="18"/>
          <w:szCs w:val="18"/>
          <w:b w:val="1"/>
          <w:bCs w:val="1"/>
          <w:color w:val="auto"/>
        </w:rPr>
        <w:t>Exhibit 99.1</w:t>
      </w:r>
    </w:p>
    <w:p>
      <w:pPr>
        <w:spacing w:after="0" w:line="225"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NEWS RELEASE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 IMMEDIATE RELEASE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Investor Relations Contact:</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Dan Bachus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Grand Canyon Education,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602-639-6648</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Dan.bachus@gcu.edu</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Media Contact:</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Bob Romantic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Grand Canyon Education,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602-639-7611</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Bob.romantic@gcu.edu</w:t>
      </w: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 REPORTS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SECOND QUARTER 2017 RESULTS</w:t>
      </w:r>
    </w:p>
    <w:p>
      <w:pPr>
        <w:spacing w:after="0" w:line="207" w:lineRule="exact"/>
        <w:rPr>
          <w:sz w:val="20"/>
          <w:szCs w:val="20"/>
          <w:color w:val="auto"/>
        </w:rPr>
      </w:pPr>
    </w:p>
    <w:p>
      <w:pPr>
        <w:ind w:right="180"/>
        <w:spacing w:after="0" w:line="266" w:lineRule="auto"/>
        <w:rPr>
          <w:sz w:val="20"/>
          <w:szCs w:val="20"/>
          <w:color w:val="auto"/>
        </w:rPr>
      </w:pPr>
      <w:r>
        <w:rPr>
          <w:rFonts w:ascii="Arial" w:cs="Arial" w:eastAsia="Arial" w:hAnsi="Arial"/>
          <w:sz w:val="18"/>
          <w:szCs w:val="18"/>
          <w:b w:val="1"/>
          <w:bCs w:val="1"/>
          <w:color w:val="auto"/>
        </w:rPr>
        <w:t>PHOENIX, AZ., August 1, 2017</w:t>
      </w:r>
      <w:r>
        <w:rPr>
          <w:rFonts w:ascii="Arial" w:cs="Arial" w:eastAsia="Arial" w:hAnsi="Arial"/>
          <w:sz w:val="18"/>
          <w:szCs w:val="18"/>
          <w:color w:val="auto"/>
        </w:rPr>
        <w:t>—</w:t>
      </w:r>
      <w:r>
        <w:rPr>
          <w:rFonts w:ascii="Arial" w:cs="Arial" w:eastAsia="Arial" w:hAnsi="Arial"/>
          <w:sz w:val="18"/>
          <w:szCs w:val="18"/>
          <w:b w:val="1"/>
          <w:bCs w:val="1"/>
          <w:u w:val="single" w:color="auto"/>
          <w:color w:val="auto"/>
        </w:rPr>
        <w:t>Grand Canyon Education, Inc.</w:t>
      </w:r>
      <w:r>
        <w:rPr>
          <w:rFonts w:ascii="Arial" w:cs="Arial" w:eastAsia="Arial" w:hAnsi="Arial"/>
          <w:sz w:val="18"/>
          <w:szCs w:val="18"/>
          <w:b w:val="1"/>
          <w:bCs w:val="1"/>
          <w:color w:val="auto"/>
        </w:rPr>
        <w:t xml:space="preserve"> </w:t>
      </w:r>
      <w:r>
        <w:rPr>
          <w:rFonts w:ascii="Arial" w:cs="Arial" w:eastAsia="Arial" w:hAnsi="Arial"/>
          <w:sz w:val="18"/>
          <w:szCs w:val="18"/>
          <w:color w:val="auto"/>
        </w:rPr>
        <w:t>(NASDAQ: LOPE), a comprehensive regionally accredited university that offers over</w:t>
      </w:r>
      <w:r>
        <w:rPr>
          <w:rFonts w:ascii="Arial" w:cs="Arial" w:eastAsia="Arial" w:hAnsi="Arial"/>
          <w:sz w:val="18"/>
          <w:szCs w:val="18"/>
          <w:b w:val="1"/>
          <w:bCs w:val="1"/>
          <w:color w:val="auto"/>
        </w:rPr>
        <w:t xml:space="preserve"> </w:t>
      </w:r>
      <w:r>
        <w:rPr>
          <w:rFonts w:ascii="Arial" w:cs="Arial" w:eastAsia="Arial" w:hAnsi="Arial"/>
          <w:sz w:val="18"/>
          <w:szCs w:val="18"/>
          <w:color w:val="auto"/>
        </w:rPr>
        <w:t>220 graduate and undergraduate degree programs and certificates across nine colleges both online and on ground at its over 270 acre campus in Phoenix, Arizona, today announced financial results for the quarter ended June 30, 2017.</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(more)</w:t>
      </w:r>
    </w:p>
    <w:p>
      <w:pPr>
        <w:sectPr>
          <w:pgSz w:w="11900" w:h="16838" w:orient="portrait"/>
          <w:cols w:equalWidth="0" w:num="1">
            <w:col w:w="11420"/>
          </w:cols>
          <w:pgMar w:left="240" w:top="121" w:right="239" w:bottom="1440" w:gutter="0" w:footer="0" w:header="0"/>
        </w:sectPr>
      </w:pPr>
    </w:p>
    <w:bookmarkStart w:id="5" w:name="page6"/>
    <w:bookmarkEnd w:id="5"/>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Grand Canyon Education, Inc. Reports Second Quarter 2017 Results</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color w:val="auto"/>
        </w:rPr>
        <w:t>For the three months ended June 30, 2017:</w:t>
      </w:r>
    </w:p>
    <w:p>
      <w:pPr>
        <w:spacing w:after="0" w:line="131" w:lineRule="exact"/>
        <w:rPr>
          <w:sz w:val="20"/>
          <w:szCs w:val="20"/>
          <w:color w:val="auto"/>
        </w:rPr>
      </w:pPr>
    </w:p>
    <w:p>
      <w:pPr>
        <w:ind w:left="440" w:hanging="324"/>
        <w:spacing w:after="0"/>
        <w:tabs>
          <w:tab w:leader="none" w:pos="440" w:val="left"/>
        </w:tabs>
        <w:numPr>
          <w:ilvl w:val="0"/>
          <w:numId w:val="2"/>
        </w:numPr>
        <w:rPr>
          <w:rFonts w:ascii="Arial" w:cs="Arial" w:eastAsia="Arial" w:hAnsi="Arial"/>
          <w:sz w:val="18"/>
          <w:szCs w:val="18"/>
          <w:color w:val="auto"/>
        </w:rPr>
      </w:pPr>
      <w:r>
        <w:rPr>
          <w:rFonts w:ascii="Arial" w:cs="Arial" w:eastAsia="Arial" w:hAnsi="Arial"/>
          <w:sz w:val="18"/>
          <w:szCs w:val="18"/>
          <w:color w:val="auto"/>
        </w:rPr>
        <w:t>Net revenue increased 14.1% to $218.3 million for the second quarter of 2017, compared to $191.3 million for the second quarter of 2016.</w:t>
      </w:r>
    </w:p>
    <w:p>
      <w:pPr>
        <w:spacing w:after="0" w:line="130" w:lineRule="exact"/>
        <w:rPr>
          <w:rFonts w:ascii="Arial" w:cs="Arial" w:eastAsia="Arial" w:hAnsi="Arial"/>
          <w:sz w:val="18"/>
          <w:szCs w:val="18"/>
          <w:color w:val="auto"/>
        </w:rPr>
      </w:pPr>
    </w:p>
    <w:p>
      <w:pPr>
        <w:ind w:left="440" w:right="20" w:hanging="324"/>
        <w:spacing w:after="0" w:line="257" w:lineRule="auto"/>
        <w:tabs>
          <w:tab w:leader="none" w:pos="440" w:val="left"/>
        </w:tabs>
        <w:numPr>
          <w:ilvl w:val="0"/>
          <w:numId w:val="2"/>
        </w:numPr>
        <w:rPr>
          <w:rFonts w:ascii="Arial" w:cs="Arial" w:eastAsia="Arial" w:hAnsi="Arial"/>
          <w:sz w:val="18"/>
          <w:szCs w:val="18"/>
          <w:color w:val="auto"/>
        </w:rPr>
      </w:pPr>
      <w:r>
        <w:rPr>
          <w:rFonts w:ascii="Arial" w:cs="Arial" w:eastAsia="Arial" w:hAnsi="Arial"/>
          <w:sz w:val="18"/>
          <w:szCs w:val="18"/>
          <w:color w:val="auto"/>
        </w:rPr>
        <w:t>End-of-period enrollment increased 10.5% to 74,485 at June 30, 2017, from 67,424 at June 30, 2016, as ground enrollment increased 10.8% to 6,015 at June 30, 2017, from 5,430 at June 30, 2016 and online enrollment increased 10.4% to 68,470 at June 30, 2017, from 61,994 at June 30, 2016. Ground enrollment at June 30, 2017 includes traditional-aged students that are taking Summer school classes which is a small percentage of our traditional-aged student body. As of March 31, 2017 ground enrollment had increased 12.0% over the prior year. The Spring semester ends near the end of April each year.</w:t>
      </w:r>
    </w:p>
    <w:p>
      <w:pPr>
        <w:spacing w:after="0" w:line="93" w:lineRule="exact"/>
        <w:rPr>
          <w:rFonts w:ascii="Arial" w:cs="Arial" w:eastAsia="Arial" w:hAnsi="Arial"/>
          <w:sz w:val="18"/>
          <w:szCs w:val="18"/>
          <w:color w:val="auto"/>
        </w:rPr>
      </w:pPr>
    </w:p>
    <w:p>
      <w:pPr>
        <w:ind w:left="440" w:hanging="324"/>
        <w:spacing w:after="0" w:line="255" w:lineRule="auto"/>
        <w:tabs>
          <w:tab w:leader="none" w:pos="440" w:val="left"/>
        </w:tabs>
        <w:numPr>
          <w:ilvl w:val="0"/>
          <w:numId w:val="2"/>
        </w:numPr>
        <w:rPr>
          <w:rFonts w:ascii="Arial" w:cs="Arial" w:eastAsia="Arial" w:hAnsi="Arial"/>
          <w:sz w:val="18"/>
          <w:szCs w:val="18"/>
          <w:color w:val="auto"/>
        </w:rPr>
      </w:pPr>
      <w:r>
        <w:rPr>
          <w:rFonts w:ascii="Arial" w:cs="Arial" w:eastAsia="Arial" w:hAnsi="Arial"/>
          <w:sz w:val="18"/>
          <w:szCs w:val="18"/>
          <w:color w:val="auto"/>
        </w:rPr>
        <w:t>Operating income for the three months ended June 30, 2017 was $55.1 million, an increase of 23.1% as compared to $44.7 million for the same period in 2016. The operating margin for the three months ended June 30, 2017 was 25.2%, compared to 23.4% for the same period in 2016. The majority of our traditional ground students do not attend courses during the summer months (May through August), which affects our results for our second and third fiscal quarters. Since a significant amount of our campus costs are fixed, the lower revenue resulting from the decreased ground student enrollment has historically contributed to lower operating margins during those periods. We expect quarterly fluctuations in operating results to continue as a result of these seasonal patterns.</w:t>
      </w:r>
    </w:p>
    <w:p>
      <w:pPr>
        <w:spacing w:after="0" w:line="98" w:lineRule="exact"/>
        <w:rPr>
          <w:rFonts w:ascii="Arial" w:cs="Arial" w:eastAsia="Arial" w:hAnsi="Arial"/>
          <w:sz w:val="18"/>
          <w:szCs w:val="18"/>
          <w:color w:val="auto"/>
        </w:rPr>
      </w:pPr>
    </w:p>
    <w:p>
      <w:pPr>
        <w:ind w:left="440" w:right="20" w:hanging="324"/>
        <w:spacing w:after="0" w:line="291" w:lineRule="auto"/>
        <w:tabs>
          <w:tab w:leader="none" w:pos="440" w:val="left"/>
        </w:tabs>
        <w:numPr>
          <w:ilvl w:val="0"/>
          <w:numId w:val="2"/>
        </w:numPr>
        <w:rPr>
          <w:rFonts w:ascii="Arial" w:cs="Arial" w:eastAsia="Arial" w:hAnsi="Arial"/>
          <w:sz w:val="16"/>
          <w:szCs w:val="16"/>
          <w:color w:val="auto"/>
        </w:rPr>
      </w:pPr>
      <w:r>
        <w:rPr>
          <w:rFonts w:ascii="Arial" w:cs="Arial" w:eastAsia="Arial" w:hAnsi="Arial"/>
          <w:sz w:val="16"/>
          <w:szCs w:val="16"/>
          <w:color w:val="auto"/>
        </w:rPr>
        <w:t>The tax rate in the three months ended June 30, 2017 was 28.0% compared to 38.4% in the same period in 2016. The lower effective tax rate year over year is due to our adoption of the share-based compensation standard, which resulted in the recognition of excess tax benefits from share-based compensation awards that vested or settled in 2017 in the consolidated income statement. The inclusion of excess tax benefits and deficiencies as a component of our income tax expense will increase volatility within our provision for income taxes as the amount of excess tax benefits or deficiencies from share-based compensation awards are dependent on our stock price at the date the restricted awards vest, our stock price on the date an option is exercised, and the quantity of options exercised. The tax rate would have been 37.4% for the three months ended June 30, 2017, excluding the impact of the recognition of excess tax benefits from share-based compensation awards that vested or settled in 2017.</w:t>
      </w:r>
    </w:p>
    <w:p>
      <w:pPr>
        <w:spacing w:after="0" w:line="72" w:lineRule="exact"/>
        <w:rPr>
          <w:rFonts w:ascii="Arial" w:cs="Arial" w:eastAsia="Arial" w:hAnsi="Arial"/>
          <w:sz w:val="16"/>
          <w:szCs w:val="16"/>
          <w:color w:val="auto"/>
        </w:rPr>
      </w:pPr>
    </w:p>
    <w:p>
      <w:pPr>
        <w:ind w:left="440" w:hanging="324"/>
        <w:spacing w:after="0"/>
        <w:tabs>
          <w:tab w:leader="none" w:pos="440" w:val="left"/>
        </w:tabs>
        <w:numPr>
          <w:ilvl w:val="0"/>
          <w:numId w:val="2"/>
        </w:numPr>
        <w:rPr>
          <w:rFonts w:ascii="Arial" w:cs="Arial" w:eastAsia="Arial" w:hAnsi="Arial"/>
          <w:sz w:val="18"/>
          <w:szCs w:val="18"/>
          <w:color w:val="auto"/>
        </w:rPr>
      </w:pPr>
      <w:r>
        <w:rPr>
          <w:rFonts w:ascii="Arial" w:cs="Arial" w:eastAsia="Arial" w:hAnsi="Arial"/>
          <w:sz w:val="18"/>
          <w:szCs w:val="18"/>
          <w:color w:val="auto"/>
        </w:rPr>
        <w:t>Net income increased 44.2% to $39.8 million for the second quarter of 2017, compared to $27.6 million for the same period in 2016.</w:t>
      </w:r>
    </w:p>
    <w:p>
      <w:pPr>
        <w:spacing w:after="0" w:line="130" w:lineRule="exact"/>
        <w:rPr>
          <w:rFonts w:ascii="Arial" w:cs="Arial" w:eastAsia="Arial" w:hAnsi="Arial"/>
          <w:sz w:val="18"/>
          <w:szCs w:val="18"/>
          <w:color w:val="auto"/>
        </w:rPr>
      </w:pPr>
    </w:p>
    <w:p>
      <w:pPr>
        <w:ind w:left="440" w:hanging="324"/>
        <w:spacing w:after="0"/>
        <w:tabs>
          <w:tab w:leader="none" w:pos="440" w:val="left"/>
        </w:tabs>
        <w:numPr>
          <w:ilvl w:val="0"/>
          <w:numId w:val="2"/>
        </w:numPr>
        <w:rPr>
          <w:rFonts w:ascii="Arial" w:cs="Arial" w:eastAsia="Arial" w:hAnsi="Arial"/>
          <w:sz w:val="18"/>
          <w:szCs w:val="18"/>
          <w:color w:val="auto"/>
        </w:rPr>
      </w:pPr>
      <w:r>
        <w:rPr>
          <w:rFonts w:ascii="Arial" w:cs="Arial" w:eastAsia="Arial" w:hAnsi="Arial"/>
          <w:sz w:val="18"/>
          <w:szCs w:val="18"/>
          <w:color w:val="auto"/>
        </w:rPr>
        <w:t>Diluted net income per share was $0.83 for the second quarter of 2017, compared to $0.59 for the same period in 2016.</w:t>
      </w:r>
    </w:p>
    <w:p>
      <w:pPr>
        <w:spacing w:after="0" w:line="130" w:lineRule="exact"/>
        <w:rPr>
          <w:rFonts w:ascii="Arial" w:cs="Arial" w:eastAsia="Arial" w:hAnsi="Arial"/>
          <w:sz w:val="18"/>
          <w:szCs w:val="18"/>
          <w:color w:val="auto"/>
        </w:rPr>
      </w:pPr>
    </w:p>
    <w:p>
      <w:pPr>
        <w:ind w:left="440" w:hanging="324"/>
        <w:spacing w:after="0"/>
        <w:tabs>
          <w:tab w:leader="none" w:pos="440" w:val="left"/>
        </w:tabs>
        <w:numPr>
          <w:ilvl w:val="0"/>
          <w:numId w:val="2"/>
        </w:numPr>
        <w:rPr>
          <w:rFonts w:ascii="Arial" w:cs="Arial" w:eastAsia="Arial" w:hAnsi="Arial"/>
          <w:sz w:val="18"/>
          <w:szCs w:val="18"/>
          <w:color w:val="auto"/>
        </w:rPr>
      </w:pPr>
      <w:r>
        <w:rPr>
          <w:rFonts w:ascii="Arial" w:cs="Arial" w:eastAsia="Arial" w:hAnsi="Arial"/>
          <w:sz w:val="18"/>
          <w:szCs w:val="18"/>
          <w:color w:val="auto"/>
        </w:rPr>
        <w:t>Adjusted EBITDA increased 23.3% to $72.1 million for the second quarter of 2017, compared to $58.4 million for the same period in 2016.</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For the six months ended June 30, 2017:</w:t>
      </w:r>
    </w:p>
    <w:p>
      <w:pPr>
        <w:spacing w:after="0" w:line="131" w:lineRule="exact"/>
        <w:rPr>
          <w:sz w:val="20"/>
          <w:szCs w:val="20"/>
          <w:color w:val="auto"/>
        </w:rPr>
      </w:pPr>
    </w:p>
    <w:p>
      <w:pPr>
        <w:ind w:left="440" w:hanging="324"/>
        <w:spacing w:after="0"/>
        <w:tabs>
          <w:tab w:leader="none" w:pos="440" w:val="left"/>
        </w:tabs>
        <w:numPr>
          <w:ilvl w:val="0"/>
          <w:numId w:val="3"/>
        </w:numPr>
        <w:rPr>
          <w:rFonts w:ascii="Arial" w:cs="Arial" w:eastAsia="Arial" w:hAnsi="Arial"/>
          <w:sz w:val="17"/>
          <w:szCs w:val="17"/>
          <w:color w:val="auto"/>
        </w:rPr>
      </w:pPr>
      <w:r>
        <w:rPr>
          <w:rFonts w:ascii="Arial" w:cs="Arial" w:eastAsia="Arial" w:hAnsi="Arial"/>
          <w:sz w:val="17"/>
          <w:szCs w:val="17"/>
          <w:color w:val="auto"/>
        </w:rPr>
        <w:t>Net revenue increased 11.5% to $466.5 million for the six months ended June 30, 2017, compared to $418.2 million for the same period in 2016.</w:t>
      </w:r>
    </w:p>
    <w:p>
      <w:pPr>
        <w:spacing w:after="0" w:line="142" w:lineRule="exact"/>
        <w:rPr>
          <w:rFonts w:ascii="Arial" w:cs="Arial" w:eastAsia="Arial" w:hAnsi="Arial"/>
          <w:sz w:val="17"/>
          <w:szCs w:val="17"/>
          <w:color w:val="auto"/>
        </w:rPr>
      </w:pPr>
    </w:p>
    <w:p>
      <w:pPr>
        <w:ind w:left="440" w:right="100" w:hanging="324"/>
        <w:spacing w:after="0" w:line="259" w:lineRule="auto"/>
        <w:tabs>
          <w:tab w:leader="none" w:pos="440" w:val="left"/>
        </w:tabs>
        <w:numPr>
          <w:ilvl w:val="0"/>
          <w:numId w:val="3"/>
        </w:numPr>
        <w:rPr>
          <w:rFonts w:ascii="Arial" w:cs="Arial" w:eastAsia="Arial" w:hAnsi="Arial"/>
          <w:sz w:val="18"/>
          <w:szCs w:val="18"/>
          <w:color w:val="auto"/>
        </w:rPr>
      </w:pPr>
      <w:r>
        <w:rPr>
          <w:rFonts w:ascii="Arial" w:cs="Arial" w:eastAsia="Arial" w:hAnsi="Arial"/>
          <w:sz w:val="18"/>
          <w:szCs w:val="18"/>
          <w:color w:val="auto"/>
        </w:rPr>
        <w:t>Operating income for the six months ended June 30, 2017 was $131.7 million, an increase of 16.1% as compared to $113.4 million for the same period in 2016. The operating margin for the six months ended June 30, 2017 was 28.2%, compared to 27.1% for the same period in 2016. Operating income and the operating margin for the six months ended June 30, 2016, excluding legal and other professional fees incurred related to the proposed conversion back to a not for profit status, was $114.6 million and 27.4%, respectively.</w:t>
      </w:r>
    </w:p>
    <w:p>
      <w:pPr>
        <w:spacing w:after="0" w:line="92" w:lineRule="exact"/>
        <w:rPr>
          <w:rFonts w:ascii="Arial" w:cs="Arial" w:eastAsia="Arial" w:hAnsi="Arial"/>
          <w:sz w:val="18"/>
          <w:szCs w:val="18"/>
          <w:color w:val="auto"/>
        </w:rPr>
      </w:pPr>
    </w:p>
    <w:p>
      <w:pPr>
        <w:ind w:left="440" w:right="460" w:hanging="324"/>
        <w:spacing w:after="0" w:line="277" w:lineRule="auto"/>
        <w:tabs>
          <w:tab w:leader="none" w:pos="44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University recognized $1.8 million in interest and other income during the six months ended June 30, 2016 on its proportional share of equity interest income related to our ownership interest in LoudCloud.</w:t>
      </w:r>
    </w:p>
    <w:p>
      <w:pPr>
        <w:spacing w:after="0" w:line="75" w:lineRule="exact"/>
        <w:rPr>
          <w:rFonts w:ascii="Arial" w:cs="Arial" w:eastAsia="Arial" w:hAnsi="Arial"/>
          <w:sz w:val="18"/>
          <w:szCs w:val="18"/>
          <w:color w:val="auto"/>
        </w:rPr>
      </w:pPr>
    </w:p>
    <w:p>
      <w:pPr>
        <w:ind w:left="440" w:right="80" w:hanging="324"/>
        <w:spacing w:after="0" w:line="271" w:lineRule="auto"/>
        <w:tabs>
          <w:tab w:leader="none" w:pos="440" w:val="left"/>
        </w:tabs>
        <w:numPr>
          <w:ilvl w:val="0"/>
          <w:numId w:val="3"/>
        </w:numPr>
        <w:rPr>
          <w:rFonts w:ascii="Arial" w:cs="Arial" w:eastAsia="Arial" w:hAnsi="Arial"/>
          <w:sz w:val="17"/>
          <w:szCs w:val="17"/>
          <w:color w:val="auto"/>
        </w:rPr>
      </w:pPr>
      <w:r>
        <w:rPr>
          <w:rFonts w:ascii="Arial" w:cs="Arial" w:eastAsia="Arial" w:hAnsi="Arial"/>
          <w:sz w:val="17"/>
          <w:szCs w:val="17"/>
          <w:color w:val="auto"/>
        </w:rPr>
        <w:t>The tax rate for the six months ended June 30, 2017 was 27.1% compared to 38.2% in the same period in 2016. The lower effective tax rate year over year is due to our adoption of the share-based compensation standard, which resulted in the recognition of excess tax benefits from share-based compensation awards that vested or settled in 2017 in the consolidated income statement. The inclusion of excess tax benefits and deficiencies as a component of our income tax expense will increase volatility within our provision for income taxes as the amount of excess tax benefits or deficiencies from share-based compensation awards are dependent on our stock price at the date the restricted awards vest, our stock price on the date an option is exercised, and the quantity of options exercised. Our restricted stock vests in March each year so the favorable benefit is greatest in the first quarter each year. The tax rate would have been 37.6% for the six months ended June 30, 2017, excluding the impact of the recognition of excess tax benefits from share-based compensation awards that vested or settled in 2017.</w:t>
      </w:r>
    </w:p>
    <w:p>
      <w:pPr>
        <w:spacing w:after="0" w:line="84" w:lineRule="exact"/>
        <w:rPr>
          <w:rFonts w:ascii="Arial" w:cs="Arial" w:eastAsia="Arial" w:hAnsi="Arial"/>
          <w:sz w:val="17"/>
          <w:szCs w:val="17"/>
          <w:color w:val="auto"/>
        </w:rPr>
      </w:pPr>
    </w:p>
    <w:p>
      <w:pPr>
        <w:ind w:left="440" w:hanging="324"/>
        <w:spacing w:after="0"/>
        <w:tabs>
          <w:tab w:leader="none" w:pos="440" w:val="left"/>
        </w:tabs>
        <w:numPr>
          <w:ilvl w:val="0"/>
          <w:numId w:val="3"/>
        </w:numPr>
        <w:rPr>
          <w:rFonts w:ascii="Arial" w:cs="Arial" w:eastAsia="Arial" w:hAnsi="Arial"/>
          <w:sz w:val="17"/>
          <w:szCs w:val="17"/>
          <w:color w:val="auto"/>
        </w:rPr>
      </w:pPr>
      <w:r>
        <w:rPr>
          <w:rFonts w:ascii="Arial" w:cs="Arial" w:eastAsia="Arial" w:hAnsi="Arial"/>
          <w:sz w:val="17"/>
          <w:szCs w:val="17"/>
          <w:color w:val="auto"/>
        </w:rPr>
        <w:t>Net income increased 34.3% to $95.8 million for the six months ended June 30, 2017, compared to $71.3 million for the same period in 2016.</w:t>
      </w:r>
    </w:p>
    <w:p>
      <w:pPr>
        <w:sectPr>
          <w:pgSz w:w="11900" w:h="16838" w:orient="portrait"/>
          <w:cols w:equalWidth="0" w:num="1">
            <w:col w:w="11420"/>
          </w:cols>
          <w:pgMar w:left="240" w:top="270" w:right="239" w:bottom="1440" w:gutter="0" w:footer="0" w:header="0"/>
        </w:sectPr>
      </w:pPr>
    </w:p>
    <w:bookmarkStart w:id="6" w:name="page7"/>
    <w:bookmarkEnd w:id="6"/>
    <w:p>
      <w:pPr>
        <w:ind w:left="440" w:hanging="324"/>
        <w:spacing w:after="0"/>
        <w:tabs>
          <w:tab w:leader="none" w:pos="440" w:val="left"/>
        </w:tabs>
        <w:numPr>
          <w:ilvl w:val="0"/>
          <w:numId w:val="4"/>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Diluted net income per share was $1.99 for the six months ended June 30, 2017, compared to $1.52 for the same period in 2016.</w:t>
      </w:r>
    </w:p>
    <w:p>
      <w:pPr>
        <w:spacing w:after="0" w:line="130" w:lineRule="exact"/>
        <w:rPr>
          <w:rFonts w:ascii="Arial" w:cs="Arial" w:eastAsia="Arial" w:hAnsi="Arial"/>
          <w:sz w:val="18"/>
          <w:szCs w:val="18"/>
          <w:color w:val="auto"/>
        </w:rPr>
      </w:pPr>
    </w:p>
    <w:p>
      <w:pPr>
        <w:ind w:left="440" w:hanging="324"/>
        <w:spacing w:after="0"/>
        <w:tabs>
          <w:tab w:leader="none" w:pos="440" w:val="left"/>
        </w:tabs>
        <w:numPr>
          <w:ilvl w:val="0"/>
          <w:numId w:val="4"/>
        </w:numPr>
        <w:rPr>
          <w:rFonts w:ascii="Arial" w:cs="Arial" w:eastAsia="Arial" w:hAnsi="Arial"/>
          <w:sz w:val="16"/>
          <w:szCs w:val="16"/>
          <w:color w:val="auto"/>
        </w:rPr>
      </w:pPr>
      <w:r>
        <w:rPr>
          <w:rFonts w:ascii="Arial" w:cs="Arial" w:eastAsia="Arial" w:hAnsi="Arial"/>
          <w:sz w:val="16"/>
          <w:szCs w:val="16"/>
          <w:color w:val="auto"/>
        </w:rPr>
        <w:t>Adjusted EBITDA increased 16.4% to $165.0 million for the six months ended June 30, 2017, compared to $141.7 million for the same period in 2016.</w:t>
      </w:r>
    </w:p>
    <w:p>
      <w:pPr>
        <w:spacing w:after="0" w:line="2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Balance Sheet and Cash Flow</w:t>
      </w:r>
    </w:p>
    <w:p>
      <w:pPr>
        <w:spacing w:after="0" w:line="229" w:lineRule="exact"/>
        <w:rPr>
          <w:sz w:val="20"/>
          <w:szCs w:val="20"/>
          <w:color w:val="auto"/>
        </w:rPr>
      </w:pPr>
    </w:p>
    <w:p>
      <w:pPr>
        <w:ind w:right="120" w:firstLine="456"/>
        <w:spacing w:after="0" w:line="272" w:lineRule="auto"/>
        <w:rPr>
          <w:sz w:val="20"/>
          <w:szCs w:val="20"/>
          <w:color w:val="auto"/>
        </w:rPr>
      </w:pPr>
      <w:r>
        <w:rPr>
          <w:rFonts w:ascii="Arial" w:cs="Arial" w:eastAsia="Arial" w:hAnsi="Arial"/>
          <w:sz w:val="17"/>
          <w:szCs w:val="17"/>
          <w:color w:val="auto"/>
        </w:rPr>
        <w:t>The University financed its operating activities and capital expenditures during the six months ended June 30, 2017 and 2016 primarily through cash provided by operating activities. Our unrestricted cash and cash equivalents and investments were $155.7 million and $108.6 million at June 30, 2017 and December 31, 2016, respectively. Our restricted cash and cash equivalents at June 30, 2017 and December 31, 2016 were $79.4 million and $84.9 million, respectively. In December 2012, we entered into a new credit agreement, which increased our term loan to $100 million with a maturity date of December 2019. Additionally, this facility, as amended in January 2016, provides a revolving line of credit in the amount of $150 million through December 2017 to be utilized for working capital, capital expenditures and other general corporate purposes. Indebtedness under the credit facility is secured by our assets and is guaranteed by certain of our subsidiaries. No amounts were drawn on the revolver as of June 30, 2017.</w:t>
      </w:r>
    </w:p>
    <w:p>
      <w:pPr>
        <w:spacing w:after="0" w:line="178" w:lineRule="exact"/>
        <w:rPr>
          <w:sz w:val="20"/>
          <w:szCs w:val="20"/>
          <w:color w:val="auto"/>
        </w:rPr>
      </w:pPr>
    </w:p>
    <w:p>
      <w:pPr>
        <w:ind w:right="40" w:firstLine="456"/>
        <w:spacing w:after="0" w:line="259" w:lineRule="auto"/>
        <w:rPr>
          <w:sz w:val="20"/>
          <w:szCs w:val="20"/>
          <w:color w:val="auto"/>
        </w:rPr>
      </w:pPr>
      <w:r>
        <w:rPr>
          <w:rFonts w:ascii="Arial" w:cs="Arial" w:eastAsia="Arial" w:hAnsi="Arial"/>
          <w:sz w:val="18"/>
          <w:szCs w:val="18"/>
          <w:color w:val="auto"/>
        </w:rPr>
        <w:t>Net cash provided by operating activities for the three months ended June 30, 2017 was $133.7 million as compared to $112.5 million for the six months ended June 30, 2016. The increase in cash generated from operating activities between the six months ended June 30, 2016 and the six months ended June 30, 2017 is primarily due to increased net income and non-cash charges such as depreciation expense as well as changes in other working capital such as accrued liabilities and deferred revenue.</w:t>
      </w:r>
    </w:p>
    <w:p>
      <w:pPr>
        <w:spacing w:after="0" w:line="187" w:lineRule="exact"/>
        <w:rPr>
          <w:sz w:val="20"/>
          <w:szCs w:val="20"/>
          <w:color w:val="auto"/>
        </w:rPr>
      </w:pPr>
    </w:p>
    <w:p>
      <w:pPr>
        <w:ind w:firstLine="456"/>
        <w:spacing w:after="0" w:line="268" w:lineRule="auto"/>
        <w:rPr>
          <w:sz w:val="20"/>
          <w:szCs w:val="20"/>
          <w:color w:val="auto"/>
        </w:rPr>
      </w:pPr>
      <w:r>
        <w:rPr>
          <w:rFonts w:ascii="Arial" w:cs="Arial" w:eastAsia="Arial" w:hAnsi="Arial"/>
          <w:sz w:val="17"/>
          <w:szCs w:val="17"/>
          <w:color w:val="auto"/>
        </w:rPr>
        <w:t>Net cash used in investing activities was $86.7 million and $104.2 million for the six months ended June 30, 2017 and 2016, respectively. Our cash used in investing activities was primarily related to the purchase of short-term investments and capital expenditures. Purchases of short-term investments net of proceeds of these investments was $26.8 million for the six months ended June 30, 2017. Proceeds from investment, net of purchases of short term investments was $33.9 million for the six months ended June 30, 2016. Capital expenditures were $50.5 million and $115.6 million for the six months ended June 30, 2017 and 2016, respectively. During the six-month period for 2017, capital expenditures primarily consisted of ground campus building projects such as the construction of an additional dormitory to support our growing traditional student enrollment, land acquisitions adjacent to our campus, and purchases of computer equipment, other internal use software projects and furniture and equipment to support our increasing employee headcount. Included in off-site development for 2017 is $9.4 million we spent to finish the building and parking garage in close proximity to our ground traditional campus. Employees that work in two leased office buildings in the Phoenix area were relocated to this new building by the end of 2016. During the six-month period for 2016, capital expenditures primarily consisted of ground campus building projects that started in late 2015 such as three more apartment style residence halls, a 170,000 square foot classroom building for our College of Science, Engineering and Technology, a student service center, and a fourth parking structure, as well as land purchases adjacent to or near our Phoenix campus, and purchases of computer equipment, other internal use software projects and furniture and equipment to support our increasing employee headcount. Included in off-site development during 2016 is $24.8 million related to the off-site office building and parking garage. In addition, during the first six months of 2016, we received a $1.8 million distribution related to our ownership interest in LoudCloud upon its sale to a third party.</w:t>
      </w:r>
    </w:p>
    <w:p>
      <w:pPr>
        <w:spacing w:after="0" w:line="183" w:lineRule="exact"/>
        <w:rPr>
          <w:sz w:val="20"/>
          <w:szCs w:val="20"/>
          <w:color w:val="auto"/>
        </w:rPr>
      </w:pPr>
    </w:p>
    <w:p>
      <w:pPr>
        <w:ind w:left="460"/>
        <w:spacing w:after="0"/>
        <w:rPr>
          <w:sz w:val="20"/>
          <w:szCs w:val="20"/>
          <w:color w:val="auto"/>
        </w:rPr>
      </w:pPr>
      <w:r>
        <w:rPr>
          <w:rFonts w:ascii="Arial" w:cs="Arial" w:eastAsia="Arial" w:hAnsi="Arial"/>
          <w:sz w:val="17"/>
          <w:szCs w:val="17"/>
          <w:color w:val="auto"/>
        </w:rPr>
        <w:t>Net cash used in financing activities was $32.2 million for the six months ended June 30, 2017. Net cash provided by financing activities was</w:t>
      </w:r>
    </w:p>
    <w:p>
      <w:pPr>
        <w:spacing w:after="0" w:line="35" w:lineRule="exact"/>
        <w:rPr>
          <w:sz w:val="20"/>
          <w:szCs w:val="20"/>
          <w:color w:val="auto"/>
        </w:rPr>
      </w:pPr>
    </w:p>
    <w:p>
      <w:pPr>
        <w:spacing w:after="0"/>
        <w:rPr>
          <w:sz w:val="20"/>
          <w:szCs w:val="20"/>
          <w:color w:val="auto"/>
        </w:rPr>
      </w:pPr>
      <w:r>
        <w:rPr>
          <w:rFonts w:ascii="Arial" w:cs="Arial" w:eastAsia="Arial" w:hAnsi="Arial"/>
          <w:sz w:val="17"/>
          <w:szCs w:val="17"/>
          <w:color w:val="auto"/>
        </w:rPr>
        <w:t>$8.7 million for the six months ended June 30, 2016. During the six-month period for 2017, $25.0 million was used to repay the revolving line of credit,</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$9.7 million was used to purchase common shares withheld in lieu of income taxes resulting from restricted share awards and principal payments on notes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payable and capital leases totaled $3.4 million, which amounts were partially offset by proceeds from the exercise of stock options of $5.9 million. During the</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six-month period for 2016, net cash provided by financing activities consisted of proceeds received from the revolving line of credit of $25.0 million and</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proceeds from the exercise of stock options of $7.0 million, partially offset by $14.6 million was used to purchase treasury stock in accordance with the</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University’s share repurchase program and $4.6 million was used to purchase common shares withheld in lieu of income taxes resulting from restricted share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awards while principal payments on notes payable and capital leases totaled $3.8 million and debt issuance costs for the increase in our revolving line of</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credit totaled $0.2 million.</w:t>
      </w: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(more)</w:t>
      </w:r>
    </w:p>
    <w:p>
      <w:pPr>
        <w:sectPr>
          <w:pgSz w:w="11900" w:h="16838" w:orient="portrait"/>
          <w:cols w:equalWidth="0" w:num="1">
            <w:col w:w="11420"/>
          </w:cols>
          <w:pgMar w:left="240" w:top="274" w:right="239" w:bottom="1440" w:gutter="0" w:footer="0" w:header="0"/>
        </w:sectPr>
      </w:pPr>
    </w:p>
    <w:bookmarkStart w:id="7" w:name="page8"/>
    <w:bookmarkEnd w:id="7"/>
    <w:p>
      <w:pPr>
        <w:spacing w:after="0" w:line="218" w:lineRule="auto"/>
        <w:framePr w:w="9800" w:h="376" w:wrap="auto" w:vAnchor="page" w:hAnchor="page" w:x="1820" w:y="992"/>
        <w:rPr>
          <w:rFonts w:ascii="Arial" w:cs="Arial" w:eastAsia="Arial" w:hAnsi="Arial"/>
          <w:sz w:val="18"/>
          <w:szCs w:val="18"/>
          <w:color w:val="auto"/>
        </w:rPr>
      </w:pPr>
      <w:r>
        <w:rPr>
          <w:rFonts w:ascii="Arial" w:cs="Arial" w:eastAsia="Arial" w:hAnsi="Arial"/>
          <w:sz w:val="18"/>
          <w:szCs w:val="18"/>
          <w:color w:val="auto"/>
        </w:rPr>
        <w:t>Net revenue of $231.0 million; Target Operating Margin 24.0%; Diluted EPS of $0.75 using 48.5 million diluted shares; student counts of 90,200</w:t>
      </w:r>
    </w:p>
    <w:p>
      <w:pPr>
        <w:spacing w:after="0" w:line="218" w:lineRule="auto"/>
        <w:framePr w:w="9800" w:h="376" w:wrap="auto" w:vAnchor="page" w:hAnchor="page" w:x="1820" w:y="1425"/>
        <w:rPr>
          <w:rFonts w:ascii="Arial" w:cs="Arial" w:eastAsia="Arial" w:hAnsi="Arial"/>
          <w:sz w:val="18"/>
          <w:szCs w:val="18"/>
          <w:color w:val="auto"/>
        </w:rPr>
      </w:pPr>
      <w:r>
        <w:rPr>
          <w:rFonts w:ascii="Arial" w:cs="Arial" w:eastAsia="Arial" w:hAnsi="Arial"/>
          <w:sz w:val="18"/>
          <w:szCs w:val="18"/>
          <w:color w:val="auto"/>
        </w:rPr>
        <w:t>Net revenue of $266.9 million; Target Operating Margin 31.7%; Diluted EPS of $1.08 using 48.8 million diluted shares; student counts of 88,900</w:t>
      </w:r>
    </w:p>
    <w:p>
      <w:pPr>
        <w:spacing w:after="0" w:line="209" w:lineRule="auto"/>
        <w:framePr w:w="8680" w:h="160" w:wrap="auto" w:vAnchor="page" w:hAnchor="page" w:x="1820" w:y="1857"/>
        <w:rPr>
          <w:rFonts w:ascii="Arial" w:cs="Arial" w:eastAsia="Arial" w:hAnsi="Arial"/>
          <w:sz w:val="16"/>
          <w:szCs w:val="16"/>
          <w:color w:val="auto"/>
        </w:rPr>
      </w:pPr>
      <w:r>
        <w:rPr>
          <w:rFonts w:ascii="Arial" w:cs="Arial" w:eastAsia="Arial" w:hAnsi="Arial"/>
          <w:sz w:val="16"/>
          <w:szCs w:val="16"/>
          <w:color w:val="auto"/>
        </w:rPr>
        <w:t>Net revenue of $964.4 million; Target Operating Margin 28.2%; Diluted EPS of $3.82 using 48.4 million diluted shares</w:t>
      </w:r>
    </w:p>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Grand Canyon Education, Inc. Reports Second Quarter 2017 Results</w:t>
      </w:r>
    </w:p>
    <w:p>
      <w:pPr>
        <w:spacing w:after="0" w:line="158" w:lineRule="exact"/>
        <w:rPr>
          <w:rFonts w:ascii="Arial" w:cs="Arial" w:eastAsia="Arial" w:hAnsi="Arial"/>
          <w:sz w:val="16"/>
          <w:szCs w:val="16"/>
          <w:color w:val="auto"/>
        </w:rPr>
      </w:pPr>
    </w:p>
    <w:p>
      <w:pPr>
        <w:spacing w:after="0"/>
        <w:rPr>
          <w:sz w:val="20"/>
          <w:szCs w:val="20"/>
          <w:color w:val="auto"/>
        </w:rPr>
      </w:pPr>
      <w:r>
        <w:rPr>
          <w:rFonts w:ascii="Arial" w:cs="Arial" w:eastAsia="Arial" w:hAnsi="Arial"/>
          <w:sz w:val="18"/>
          <w:szCs w:val="18"/>
          <w:b w:val="1"/>
          <w:bCs w:val="1"/>
          <w:color w:val="auto"/>
        </w:rPr>
        <w:t>2017 Outlook by Quarter</w:t>
      </w:r>
    </w:p>
    <w:p>
      <w:pPr>
        <w:spacing w:after="0" w:line="131" w:lineRule="exact"/>
        <w:rPr>
          <w:rFonts w:ascii="Arial" w:cs="Arial" w:eastAsia="Arial" w:hAnsi="Arial"/>
          <w:sz w:val="16"/>
          <w:szCs w:val="16"/>
          <w:color w:val="auto"/>
        </w:rPr>
      </w:pPr>
    </w:p>
    <w:p>
      <w:pPr>
        <w:spacing w:after="0"/>
        <w:rPr>
          <w:sz w:val="20"/>
          <w:szCs w:val="20"/>
          <w:color w:val="auto"/>
        </w:rPr>
      </w:pPr>
      <w:r>
        <w:rPr>
          <w:rFonts w:ascii="Arial" w:cs="Arial" w:eastAsia="Arial" w:hAnsi="Arial"/>
          <w:sz w:val="18"/>
          <w:szCs w:val="18"/>
          <w:b w:val="1"/>
          <w:bCs w:val="1"/>
          <w:color w:val="auto"/>
        </w:rPr>
        <w:t>Q3 2017:</w:t>
      </w:r>
    </w:p>
    <w:p>
      <w:pPr>
        <w:spacing w:after="0" w:line="36" w:lineRule="exact"/>
        <w:rPr>
          <w:rFonts w:ascii="Arial" w:cs="Arial" w:eastAsia="Arial" w:hAnsi="Arial"/>
          <w:sz w:val="16"/>
          <w:szCs w:val="16"/>
          <w:color w:val="auto"/>
        </w:rPr>
      </w:pPr>
    </w:p>
    <w:p>
      <w:pPr>
        <w:spacing w:after="0"/>
        <w:rPr>
          <w:sz w:val="20"/>
          <w:szCs w:val="20"/>
          <w:color w:val="auto"/>
        </w:rPr>
      </w:pPr>
      <w:r>
        <w:rPr>
          <w:rFonts w:ascii="Arial" w:cs="Arial" w:eastAsia="Arial" w:hAnsi="Arial"/>
          <w:sz w:val="18"/>
          <w:szCs w:val="18"/>
          <w:b w:val="1"/>
          <w:bCs w:val="1"/>
          <w:color w:val="auto"/>
        </w:rPr>
        <w:t>Q4 2017:</w:t>
      </w:r>
    </w:p>
    <w:p>
      <w:pPr>
        <w:spacing w:after="0" w:line="36" w:lineRule="exact"/>
        <w:rPr>
          <w:rFonts w:ascii="Arial" w:cs="Arial" w:eastAsia="Arial" w:hAnsi="Arial"/>
          <w:sz w:val="16"/>
          <w:szCs w:val="16"/>
          <w:color w:val="auto"/>
        </w:rPr>
      </w:pPr>
    </w:p>
    <w:p>
      <w:pPr>
        <w:spacing w:after="0"/>
        <w:rPr>
          <w:sz w:val="20"/>
          <w:szCs w:val="20"/>
          <w:color w:val="auto"/>
        </w:rPr>
      </w:pPr>
      <w:r>
        <w:rPr>
          <w:rFonts w:ascii="Arial" w:cs="Arial" w:eastAsia="Arial" w:hAnsi="Arial"/>
          <w:sz w:val="18"/>
          <w:szCs w:val="18"/>
          <w:b w:val="1"/>
          <w:bCs w:val="1"/>
          <w:color w:val="auto"/>
        </w:rPr>
        <w:t>Full Year 2017:</w:t>
      </w:r>
    </w:p>
    <w:p>
      <w:pPr>
        <w:spacing w:after="0" w:line="333" w:lineRule="exact"/>
        <w:rPr>
          <w:rFonts w:ascii="Arial" w:cs="Arial" w:eastAsia="Arial" w:hAnsi="Arial"/>
          <w:sz w:val="16"/>
          <w:szCs w:val="16"/>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121" w:lineRule="exact"/>
        <w:rPr>
          <w:rFonts w:ascii="Arial" w:cs="Arial" w:eastAsia="Arial" w:hAnsi="Arial"/>
          <w:sz w:val="16"/>
          <w:szCs w:val="16"/>
          <w:color w:val="auto"/>
        </w:rPr>
      </w:pPr>
    </w:p>
    <w:p>
      <w:pPr>
        <w:spacing w:after="0" w:line="273" w:lineRule="auto"/>
        <w:rPr>
          <w:sz w:val="20"/>
          <w:szCs w:val="20"/>
          <w:color w:val="auto"/>
        </w:rPr>
      </w:pPr>
      <w:r>
        <w:rPr>
          <w:rFonts w:ascii="Arial" w:cs="Arial" w:eastAsia="Arial" w:hAnsi="Arial"/>
          <w:sz w:val="17"/>
          <w:szCs w:val="17"/>
          <w:color w:val="auto"/>
        </w:rPr>
        <w:t>This news release contains “forward-looking statements” which include information relating to future events, future financial performance, strategies expectations, competitive environment, regulation, and availability of resources. These forward-looking statements include, without limitation, statements regarding: projections, predictions, expectations, estimates, and forecasts as to our business, financial and operating results, and future economic performance, as well as; and statements of management’s goals and objectives and other similar expressions concerning matters that are not historical facts. Words such as “may,” “should,” “could,” “would,” “predicts,” “potential,” “continue,” “expects,” “anticipates,” “future,” “intends,” “plans,” “believes,” “estimates” and similar expressions, as well as statements in future tense, identify forward-looking statements.</w:t>
      </w:r>
    </w:p>
    <w:p>
      <w:pPr>
        <w:spacing w:after="0" w:line="178" w:lineRule="exact"/>
        <w:rPr>
          <w:rFonts w:ascii="Arial" w:cs="Arial" w:eastAsia="Arial" w:hAnsi="Arial"/>
          <w:sz w:val="16"/>
          <w:szCs w:val="16"/>
          <w:color w:val="auto"/>
        </w:rPr>
      </w:pPr>
    </w:p>
    <w:p>
      <w:pPr>
        <w:ind w:right="20"/>
        <w:spacing w:after="0" w:line="285" w:lineRule="auto"/>
        <w:rPr>
          <w:sz w:val="20"/>
          <w:szCs w:val="20"/>
          <w:color w:val="auto"/>
        </w:rPr>
      </w:pPr>
      <w:r>
        <w:rPr>
          <w:rFonts w:ascii="Arial" w:cs="Arial" w:eastAsia="Arial" w:hAnsi="Arial"/>
          <w:sz w:val="16"/>
          <w:szCs w:val="16"/>
          <w:color w:val="auto"/>
        </w:rPr>
        <w:t>Forward-looking statements should not be read as a guarantee of future performance or results, and will not necessarily be accurate indications of the times at, or by, which such performance or results will be achieved. Forward-looking statements are based on information available at the time those statements are made or management’s good faith belief as of that time with respect to future events, and are subject to risks and uncertainties that could cause actual performance or results to differ materially from those expressed in or suggested by the forward-looking statements. Important factors that could cause such differences include, but are not limited to: our failure to comply with the extensive regulatory framework applicable to our industry, including Title IV of the Higher Education Act and the regulations thereunder, state laws and regulatory requirements, and accrediting commission requirements; the ability of our students to obtain federal Title IV funds, state financial aid, and private financing; potential damage to our reputation or other adverse effects as a result of negative publicity in the media, in the industry or in connection with governmental reports or investigations or otherwise, affecting us or other companies in the for-profit postsecondary education sector; risks associated with changes in applicable federal and state laws and regulations and accrediting commission standards, including pending rulemaking by the Department of Education; competition from other universities in our geographic region and market sector, including competition for students, qualified executives and other personnel; our ability to properly manage risks and challenges associated with strategic initiatives, including the expansion of our campus, potential acquisitions of, or investments in, new businesses, acquisitions of new properties, or the development of new campuses; our ability to hire and train new, and develop and train existing, faculty and employees; the pace of growth of our enrollment; our ability to convert prospective students to enrolled students and to retain active students; our success in updating and expanding the content of existing programs and developing new programs in a cost-effective manner or on a timely basis; industry competition, including competition for qualified executives and other personnel; risks associated with the competitive environment for marketing our programs; failure on our part to keep up with advances in technology that could enhance the online experience for our students; the extent to which obligations under our loan agreement, including the need to comply with restrictive and financial covenants and to pay principal and interest payments, limits our ability to conduct our operations or seek new business opportunities; our ability to manage future growth effectively; general adverse economic conditions or other developments that affect job prospects of our students; and other factors discussed in reports on file with the Securities and Exchange Commission.</w:t>
      </w:r>
    </w:p>
    <w:p>
      <w:pPr>
        <w:spacing w:after="0" w:line="168" w:lineRule="exact"/>
        <w:rPr>
          <w:rFonts w:ascii="Arial" w:cs="Arial" w:eastAsia="Arial" w:hAnsi="Arial"/>
          <w:sz w:val="16"/>
          <w:szCs w:val="16"/>
          <w:color w:val="auto"/>
        </w:rPr>
      </w:pPr>
    </w:p>
    <w:p>
      <w:pPr>
        <w:ind w:right="60"/>
        <w:spacing w:after="0" w:line="279" w:lineRule="auto"/>
        <w:rPr>
          <w:sz w:val="20"/>
          <w:szCs w:val="20"/>
          <w:color w:val="auto"/>
        </w:rPr>
      </w:pPr>
      <w:r>
        <w:rPr>
          <w:rFonts w:ascii="Arial" w:cs="Arial" w:eastAsia="Arial" w:hAnsi="Arial"/>
          <w:sz w:val="17"/>
          <w:szCs w:val="17"/>
          <w:color w:val="auto"/>
        </w:rPr>
        <w:t>Forward-looking statements speak only as of the date the statements are made. You should not put undue reliance on any forward-looking statements. We assume no obligation to update forward-looking statements to reflect actual results, changes in assumptions, or changes in other factors affecting forward-looking information, except to the extent required by applicable securities laws. If we do update one or more forward-looking statements, no inference should be drawn that we will make additional updates with respect to those or other forward-looking statements.</w:t>
      </w:r>
    </w:p>
    <w:p>
      <w:pPr>
        <w:spacing w:after="0" w:line="104" w:lineRule="exact"/>
        <w:rPr>
          <w:rFonts w:ascii="Arial" w:cs="Arial" w:eastAsia="Arial" w:hAnsi="Arial"/>
          <w:sz w:val="16"/>
          <w:szCs w:val="16"/>
          <w:color w:val="auto"/>
        </w:rPr>
      </w:pPr>
    </w:p>
    <w:p>
      <w:pPr>
        <w:jc w:val="center"/>
        <w:spacing w:after="0"/>
        <w:rPr>
          <w:sz w:val="20"/>
          <w:szCs w:val="20"/>
          <w:color w:val="auto"/>
        </w:rPr>
      </w:pPr>
      <w:r>
        <w:rPr>
          <w:rFonts w:ascii="Arial" w:cs="Arial" w:eastAsia="Arial" w:hAnsi="Arial"/>
          <w:sz w:val="18"/>
          <w:szCs w:val="18"/>
          <w:color w:val="auto"/>
        </w:rPr>
        <w:t>(more)</w:t>
      </w:r>
    </w:p>
    <w:p>
      <w:pPr>
        <w:sectPr>
          <w:pgSz w:w="11900" w:h="16838" w:orient="portrait"/>
          <w:cols w:equalWidth="0" w:num="1">
            <w:col w:w="11420"/>
          </w:cols>
          <w:pgMar w:left="240" w:top="270" w:right="239" w:bottom="1440" w:gutter="0" w:footer="0" w:header="0"/>
        </w:sectPr>
      </w:pPr>
    </w:p>
    <w:bookmarkStart w:id="8" w:name="page9"/>
    <w:bookmarkEnd w:id="8"/>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Grand Canyon Education, Inc. Reports Second Quarter 2017 Results</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Conference Call</w:t>
      </w:r>
    </w:p>
    <w:p>
      <w:pPr>
        <w:spacing w:after="0" w:line="121" w:lineRule="exact"/>
        <w:rPr>
          <w:sz w:val="20"/>
          <w:szCs w:val="20"/>
          <w:color w:val="auto"/>
        </w:rPr>
      </w:pPr>
    </w:p>
    <w:p>
      <w:pPr>
        <w:ind w:right="160"/>
        <w:spacing w:after="0" w:line="286" w:lineRule="auto"/>
        <w:rPr>
          <w:sz w:val="20"/>
          <w:szCs w:val="20"/>
          <w:color w:val="auto"/>
        </w:rPr>
      </w:pPr>
      <w:r>
        <w:rPr>
          <w:rFonts w:ascii="Arial" w:cs="Arial" w:eastAsia="Arial" w:hAnsi="Arial"/>
          <w:sz w:val="17"/>
          <w:szCs w:val="17"/>
          <w:color w:val="auto"/>
        </w:rPr>
        <w:t xml:space="preserve">Grand Canyon Education, Inc. will discuss its second quarter 2017 results and 2017 outlook during a conference call scheduled for today, August 1, 2017 at 4:30 p.m. Eastern time (ET). To participate in the live call, investors should dial 877-577-1769 (domestic and Canada) or 706-679-7806 (international), passcode 56996869 at 4:25 p.m. (ET). The Webcast will be available on the Grand Canyon Education, Inc. Web site at </w:t>
      </w:r>
      <w:r>
        <w:rPr>
          <w:rFonts w:ascii="Arial" w:cs="Arial" w:eastAsia="Arial" w:hAnsi="Arial"/>
          <w:sz w:val="17"/>
          <w:szCs w:val="17"/>
          <w:u w:val="single" w:color="auto"/>
          <w:color w:val="auto"/>
        </w:rPr>
        <w:t>www.gcu.edu</w:t>
      </w:r>
      <w:r>
        <w:rPr>
          <w:rFonts w:ascii="Arial" w:cs="Arial" w:eastAsia="Arial" w:hAnsi="Arial"/>
          <w:sz w:val="17"/>
          <w:szCs w:val="17"/>
          <w:color w:val="auto"/>
        </w:rPr>
        <w:t>.</w:t>
      </w:r>
    </w:p>
    <w:p>
      <w:pPr>
        <w:spacing w:after="0" w:line="166" w:lineRule="exact"/>
        <w:rPr>
          <w:sz w:val="20"/>
          <w:szCs w:val="20"/>
          <w:color w:val="auto"/>
        </w:rPr>
      </w:pPr>
    </w:p>
    <w:p>
      <w:pPr>
        <w:ind w:right="960"/>
        <w:spacing w:after="0" w:line="308" w:lineRule="auto"/>
        <w:rPr>
          <w:sz w:val="20"/>
          <w:szCs w:val="20"/>
          <w:color w:val="auto"/>
        </w:rPr>
      </w:pPr>
      <w:r>
        <w:rPr>
          <w:rFonts w:ascii="Arial" w:cs="Arial" w:eastAsia="Arial" w:hAnsi="Arial"/>
          <w:sz w:val="17"/>
          <w:szCs w:val="17"/>
          <w:color w:val="auto"/>
        </w:rPr>
        <w:t xml:space="preserve">A replay of the call will be available approximately two hours following the conclusion of the call, at 855-859-2056 (domestic) or 404-537-3406 (international), passcode 56996869. It will also be archived at </w:t>
      </w:r>
      <w:r>
        <w:rPr>
          <w:rFonts w:ascii="Arial" w:cs="Arial" w:eastAsia="Arial" w:hAnsi="Arial"/>
          <w:sz w:val="17"/>
          <w:szCs w:val="17"/>
          <w:u w:val="single" w:color="auto"/>
          <w:color w:val="auto"/>
        </w:rPr>
        <w:t>www.gcu.edu</w:t>
      </w:r>
      <w:r>
        <w:rPr>
          <w:rFonts w:ascii="Arial" w:cs="Arial" w:eastAsia="Arial" w:hAnsi="Arial"/>
          <w:sz w:val="17"/>
          <w:szCs w:val="17"/>
          <w:color w:val="auto"/>
        </w:rPr>
        <w:t xml:space="preserve"> in the </w:t>
      </w:r>
      <w:r>
        <w:rPr>
          <w:rFonts w:ascii="Arial" w:cs="Arial" w:eastAsia="Arial" w:hAnsi="Arial"/>
          <w:sz w:val="17"/>
          <w:szCs w:val="17"/>
          <w:u w:val="single" w:color="auto"/>
          <w:color w:val="auto"/>
        </w:rPr>
        <w:t>investor relations</w:t>
      </w:r>
      <w:r>
        <w:rPr>
          <w:rFonts w:ascii="Arial" w:cs="Arial" w:eastAsia="Arial" w:hAnsi="Arial"/>
          <w:sz w:val="17"/>
          <w:szCs w:val="17"/>
          <w:color w:val="auto"/>
        </w:rPr>
        <w:t xml:space="preserve"> section for 60 days.</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Grand Canyon Education, Inc.</w:t>
      </w:r>
    </w:p>
    <w:p>
      <w:pPr>
        <w:spacing w:after="0" w:line="121" w:lineRule="exact"/>
        <w:rPr>
          <w:sz w:val="20"/>
          <w:szCs w:val="20"/>
          <w:color w:val="auto"/>
        </w:rPr>
      </w:pPr>
    </w:p>
    <w:p>
      <w:pPr>
        <w:spacing w:after="0" w:line="290" w:lineRule="auto"/>
        <w:rPr>
          <w:sz w:val="20"/>
          <w:szCs w:val="20"/>
          <w:color w:val="auto"/>
        </w:rPr>
      </w:pPr>
      <w:r>
        <w:rPr>
          <w:rFonts w:ascii="Arial" w:cs="Arial" w:eastAsia="Arial" w:hAnsi="Arial"/>
          <w:sz w:val="16"/>
          <w:szCs w:val="16"/>
          <w:color w:val="auto"/>
        </w:rPr>
        <w:t xml:space="preserve">Grand Canyon Education, Inc. is a comprehensive regionally accredited university that offers over 220 graduate and undergraduate degree programs and certificates across nine colleges both online and on ground at our over 270 acre campus in Phoenix, Arizona, at leased facilities and at facilities owned by third party employers of our students. We are committed to providing an academically rigorous educational experience with a focus on professionally relevant programs that meet the objectives of our students. Our undergraduate programs are designed to be innovative and meet the future needs of employers while providing students with the needed critical thinking and effective communication skills developed through a Christian-oriented, liberal arts foundation. We offer master and doctoral degrees in contemporary fields that are designed to provide students with the capacity for transformational leadership in their chosen industry, emphasizing the immediate relevance of theory, application, and evaluation to promote personal and organizational change. Approximately 74,500 students were enrolled as of June 30, 2017. For more information about Grand Canyon Education, Inc., please visit </w:t>
      </w:r>
      <w:r>
        <w:rPr>
          <w:rFonts w:ascii="Arial" w:cs="Arial" w:eastAsia="Arial" w:hAnsi="Arial"/>
          <w:sz w:val="16"/>
          <w:szCs w:val="16"/>
          <w:u w:val="single" w:color="auto"/>
          <w:color w:val="auto"/>
        </w:rPr>
        <w:t>http://www.gcu.edu</w:t>
      </w:r>
      <w:r>
        <w:rPr>
          <w:rFonts w:ascii="Arial" w:cs="Arial" w:eastAsia="Arial" w:hAnsi="Arial"/>
          <w:sz w:val="16"/>
          <w:szCs w:val="16"/>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2898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295" w:lineRule="exact"/>
        <w:rPr>
          <w:sz w:val="20"/>
          <w:szCs w:val="20"/>
          <w:color w:val="auto"/>
        </w:rPr>
      </w:pPr>
    </w:p>
    <w:p>
      <w:pPr>
        <w:ind w:left="460" w:right="320"/>
        <w:spacing w:after="0" w:line="277" w:lineRule="auto"/>
        <w:rPr>
          <w:sz w:val="20"/>
          <w:szCs w:val="20"/>
          <w:color w:val="auto"/>
        </w:rPr>
      </w:pPr>
      <w:r>
        <w:rPr>
          <w:rFonts w:ascii="Arial" w:cs="Arial" w:eastAsia="Arial" w:hAnsi="Arial"/>
          <w:sz w:val="18"/>
          <w:szCs w:val="18"/>
          <w:color w:val="auto"/>
        </w:rPr>
        <w:t xml:space="preserve">Grand Canyon Education, Inc. is regionally accredited by The Higher Learning Commission, Grand Canyon University, 3300 W. Camelback Road, Phoenix, AZ 85017, </w:t>
      </w:r>
      <w:r>
        <w:rPr>
          <w:rFonts w:ascii="Arial" w:cs="Arial" w:eastAsia="Arial" w:hAnsi="Arial"/>
          <w:sz w:val="18"/>
          <w:szCs w:val="18"/>
          <w:b w:val="1"/>
          <w:bCs w:val="1"/>
          <w:u w:val="single" w:color="auto"/>
          <w:color w:val="auto"/>
        </w:rPr>
        <w:t>www.gcu.edu</w:t>
      </w:r>
      <w:r>
        <w:rPr>
          <w:rFonts w:ascii="Arial" w:cs="Arial" w:eastAsia="Arial" w:hAnsi="Arial"/>
          <w:sz w:val="18"/>
          <w:szCs w:val="18"/>
          <w:color w:val="auto"/>
        </w:rPr>
        <w:t>.</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w:t>
      </w:r>
    </w:p>
    <w:p>
      <w:pPr>
        <w:sectPr>
          <w:pgSz w:w="11900" w:h="16838" w:orient="portrait"/>
          <w:cols w:equalWidth="0" w:num="1">
            <w:col w:w="11400"/>
          </w:cols>
          <w:pgMar w:left="240" w:top="270" w:right="259" w:bottom="1440" w:gutter="0" w:footer="0" w:header="0"/>
        </w:sectPr>
      </w:pPr>
    </w:p>
    <w:bookmarkStart w:id="9" w:name="page10"/>
    <w:bookmarkEnd w:id="9"/>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Grand Canyon Education, Inc. Reports Second Quarter 2017 Results</w:t>
      </w:r>
    </w:p>
    <w:p>
      <w:pPr>
        <w:spacing w:after="0" w:line="158" w:lineRule="exact"/>
        <w:rPr>
          <w:sz w:val="20"/>
          <w:szCs w:val="20"/>
          <w:color w:val="auto"/>
        </w:rPr>
      </w:pPr>
    </w:p>
    <w:p>
      <w:pPr>
        <w:ind w:left="4160"/>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Income Statements</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(Unaudited)</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840" w:type="dxa"/>
            <w:vAlign w:val="bottom"/>
          </w:tcPr>
          <w:p>
            <w:pPr>
              <w:spacing w:after="0"/>
              <w:rPr>
                <w:sz w:val="14"/>
                <w:szCs w:val="14"/>
                <w:color w:val="auto"/>
              </w:rPr>
            </w:pPr>
          </w:p>
        </w:tc>
        <w:tc>
          <w:tcPr>
            <w:tcW w:w="2840" w:type="dxa"/>
            <w:vAlign w:val="bottom"/>
          </w:tcPr>
          <w:p>
            <w:pPr>
              <w:spacing w:after="0"/>
              <w:rPr>
                <w:sz w:val="14"/>
                <w:szCs w:val="14"/>
                <w:color w:val="auto"/>
              </w:rPr>
            </w:pPr>
          </w:p>
        </w:tc>
        <w:tc>
          <w:tcPr>
            <w:tcW w:w="18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0" w:type="dxa"/>
            <w:vAlign w:val="bottom"/>
            <w:gridSpan w:val="6"/>
          </w:tcPr>
          <w:p>
            <w:pPr>
              <w:jc w:val="right"/>
              <w:ind w:right="400"/>
              <w:spacing w:after="0"/>
              <w:rPr>
                <w:sz w:val="20"/>
                <w:szCs w:val="20"/>
                <w:color w:val="auto"/>
              </w:rPr>
            </w:pPr>
            <w:r>
              <w:rPr>
                <w:rFonts w:ascii="Arial" w:cs="Arial" w:eastAsia="Arial" w:hAnsi="Arial"/>
                <w:sz w:val="14"/>
                <w:szCs w:val="14"/>
                <w:b w:val="1"/>
                <w:bCs w:val="1"/>
                <w:color w:val="auto"/>
                <w:w w:val="99"/>
              </w:rPr>
              <w:t>Three Months Ended</w:t>
            </w: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720" w:type="dxa"/>
            <w:vAlign w:val="bottom"/>
            <w:gridSpan w:val="5"/>
          </w:tcPr>
          <w:p>
            <w:pPr>
              <w:jc w:val="right"/>
              <w:ind w:right="400"/>
              <w:spacing w:after="0"/>
              <w:rPr>
                <w:sz w:val="20"/>
                <w:szCs w:val="20"/>
                <w:color w:val="auto"/>
              </w:rPr>
            </w:pPr>
            <w:r>
              <w:rPr>
                <w:rFonts w:ascii="Arial" w:cs="Arial" w:eastAsia="Arial" w:hAnsi="Arial"/>
                <w:sz w:val="14"/>
                <w:szCs w:val="14"/>
                <w:b w:val="1"/>
                <w:bCs w:val="1"/>
                <w:color w:val="auto"/>
              </w:rPr>
              <w:t>Six Months Ended</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840" w:type="dxa"/>
            <w:vAlign w:val="bottom"/>
          </w:tcPr>
          <w:p>
            <w:pPr>
              <w:spacing w:after="0"/>
              <w:rPr>
                <w:sz w:val="14"/>
                <w:szCs w:val="14"/>
                <w:color w:val="auto"/>
              </w:rPr>
            </w:pPr>
          </w:p>
        </w:tc>
        <w:tc>
          <w:tcPr>
            <w:tcW w:w="2840" w:type="dxa"/>
            <w:vAlign w:val="bottom"/>
          </w:tcPr>
          <w:p>
            <w:pPr>
              <w:spacing w:after="0"/>
              <w:rPr>
                <w:sz w:val="14"/>
                <w:szCs w:val="14"/>
                <w:color w:val="auto"/>
              </w:rPr>
            </w:pPr>
          </w:p>
        </w:tc>
        <w:tc>
          <w:tcPr>
            <w:tcW w:w="18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June 30,</w:t>
            </w:r>
          </w:p>
        </w:tc>
        <w:tc>
          <w:tcPr>
            <w:tcW w:w="58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June 30,</w:t>
            </w:r>
          </w:p>
        </w:tc>
        <w:tc>
          <w:tcPr>
            <w:tcW w:w="60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840" w:type="dxa"/>
            <w:vAlign w:val="bottom"/>
            <w:tcBorders>
              <w:bottom w:val="single" w:sz="8" w:color="CCEEFF"/>
            </w:tcBorders>
          </w:tcPr>
          <w:p>
            <w:pPr>
              <w:spacing w:after="0"/>
              <w:rPr>
                <w:sz w:val="12"/>
                <w:szCs w:val="12"/>
                <w:color w:val="auto"/>
              </w:rPr>
            </w:pPr>
          </w:p>
        </w:tc>
        <w:tc>
          <w:tcPr>
            <w:tcW w:w="2840" w:type="dxa"/>
            <w:vAlign w:val="bottom"/>
            <w:tcBorders>
              <w:bottom w:val="single" w:sz="8" w:color="CCEEFF"/>
            </w:tcBorders>
          </w:tcPr>
          <w:p>
            <w:pPr>
              <w:spacing w:after="0"/>
              <w:rPr>
                <w:sz w:val="12"/>
                <w:szCs w:val="12"/>
                <w:color w:val="auto"/>
              </w:rPr>
            </w:pPr>
          </w:p>
        </w:tc>
        <w:tc>
          <w:tcPr>
            <w:tcW w:w="188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jc w:val="right"/>
              <w:ind w:right="113"/>
              <w:spacing w:after="0" w:line="142" w:lineRule="exact"/>
              <w:rPr>
                <w:sz w:val="20"/>
                <w:szCs w:val="20"/>
                <w:color w:val="auto"/>
              </w:rPr>
            </w:pPr>
            <w:r>
              <w:rPr>
                <w:rFonts w:ascii="Arial" w:cs="Arial" w:eastAsia="Arial" w:hAnsi="Arial"/>
                <w:sz w:val="14"/>
                <w:szCs w:val="14"/>
                <w:b w:val="1"/>
                <w:bCs w:val="1"/>
                <w:color w:val="auto"/>
              </w:rPr>
              <w:t>2017</w:t>
            </w:r>
          </w:p>
        </w:tc>
        <w:tc>
          <w:tcPr>
            <w:tcW w:w="20" w:type="dxa"/>
            <w:vAlign w:val="bottom"/>
            <w:tcBorders>
              <w:bottom w:val="single" w:sz="8" w:color="CCEEFF"/>
            </w:tcBorders>
          </w:tcPr>
          <w:p>
            <w:pPr>
              <w:spacing w:after="0"/>
              <w:rPr>
                <w:sz w:val="12"/>
                <w:szCs w:val="12"/>
                <w:color w:val="auto"/>
              </w:rPr>
            </w:pPr>
          </w:p>
        </w:tc>
        <w:tc>
          <w:tcPr>
            <w:tcW w:w="30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tcPr>
          <w:p>
            <w:pPr>
              <w:jc w:val="right"/>
              <w:ind w:right="111"/>
              <w:spacing w:after="0" w:line="142" w:lineRule="exact"/>
              <w:rPr>
                <w:sz w:val="20"/>
                <w:szCs w:val="20"/>
                <w:color w:val="auto"/>
              </w:rPr>
            </w:pPr>
            <w:r>
              <w:rPr>
                <w:rFonts w:ascii="Arial" w:cs="Arial" w:eastAsia="Arial" w:hAnsi="Arial"/>
                <w:sz w:val="14"/>
                <w:szCs w:val="14"/>
                <w:b w:val="1"/>
                <w:bCs w:val="1"/>
                <w:color w:val="auto"/>
              </w:rPr>
              <w:t>2016</w:t>
            </w:r>
          </w:p>
        </w:tc>
        <w:tc>
          <w:tcPr>
            <w:tcW w:w="200" w:type="dxa"/>
            <w:vAlign w:val="bottom"/>
            <w:tcBorders>
              <w:bottom w:val="single" w:sz="8" w:color="CCEEFF"/>
            </w:tcBorders>
          </w:tcPr>
          <w:p>
            <w:pPr>
              <w:spacing w:after="0"/>
              <w:rPr>
                <w:sz w:val="12"/>
                <w:szCs w:val="12"/>
                <w:color w:val="auto"/>
              </w:rPr>
            </w:pPr>
          </w:p>
        </w:tc>
        <w:tc>
          <w:tcPr>
            <w:tcW w:w="140" w:type="dxa"/>
            <w:vAlign w:val="bottom"/>
            <w:tcBorders>
              <w:bottom w:val="single" w:sz="8" w:color="CCEEFF"/>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jc w:val="right"/>
              <w:ind w:right="113"/>
              <w:spacing w:after="0" w:line="142" w:lineRule="exact"/>
              <w:rPr>
                <w:sz w:val="20"/>
                <w:szCs w:val="20"/>
                <w:color w:val="auto"/>
              </w:rPr>
            </w:pPr>
            <w:r>
              <w:rPr>
                <w:rFonts w:ascii="Arial" w:cs="Arial" w:eastAsia="Arial" w:hAnsi="Arial"/>
                <w:sz w:val="14"/>
                <w:szCs w:val="14"/>
                <w:b w:val="1"/>
                <w:bCs w:val="1"/>
                <w:color w:val="auto"/>
              </w:rPr>
              <w:t>2017</w:t>
            </w:r>
          </w:p>
        </w:tc>
        <w:tc>
          <w:tcPr>
            <w:tcW w:w="32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jc w:val="right"/>
              <w:ind w:right="111"/>
              <w:spacing w:after="0" w:line="142" w:lineRule="exact"/>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840" w:type="dxa"/>
            <w:vAlign w:val="bottom"/>
            <w:tcBorders>
              <w:bottom w:val="single" w:sz="8" w:color="auto"/>
            </w:tcBorders>
            <w:shd w:val="clear" w:color="auto" w:fill="CCEEFF"/>
          </w:tcPr>
          <w:p>
            <w:pPr>
              <w:spacing w:after="0" w:line="156" w:lineRule="exact"/>
              <w:rPr>
                <w:sz w:val="20"/>
                <w:szCs w:val="20"/>
                <w:color w:val="auto"/>
              </w:rPr>
            </w:pPr>
            <w:r>
              <w:rPr>
                <w:rFonts w:ascii="Arial" w:cs="Arial" w:eastAsia="Arial" w:hAnsi="Arial"/>
                <w:sz w:val="18"/>
                <w:szCs w:val="18"/>
                <w:b w:val="1"/>
                <w:bCs w:val="1"/>
                <w:color w:val="auto"/>
                <w:w w:val="88"/>
              </w:rPr>
              <w:t>(In thousands, except per share data)</w:t>
            </w:r>
          </w:p>
        </w:tc>
        <w:tc>
          <w:tcPr>
            <w:tcW w:w="2840" w:type="dxa"/>
            <w:vAlign w:val="bottom"/>
            <w:tcBorders>
              <w:bottom w:val="single" w:sz="8" w:color="CCEEFF"/>
            </w:tcBorders>
            <w:shd w:val="clear" w:color="auto" w:fill="CCEEFF"/>
          </w:tcPr>
          <w:p>
            <w:pPr>
              <w:spacing w:after="0"/>
              <w:rPr>
                <w:sz w:val="15"/>
                <w:szCs w:val="15"/>
                <w:color w:val="auto"/>
              </w:rPr>
            </w:pPr>
          </w:p>
        </w:tc>
        <w:tc>
          <w:tcPr>
            <w:tcW w:w="188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600" w:type="dxa"/>
            <w:vAlign w:val="bottom"/>
            <w:tcBorders>
              <w:bottom w:val="single" w:sz="8" w:color="CCEEFF"/>
            </w:tcBorders>
            <w:shd w:val="clear" w:color="auto" w:fill="CCEEFF"/>
          </w:tcPr>
          <w:p>
            <w:pPr>
              <w:spacing w:after="0"/>
              <w:rPr>
                <w:sz w:val="15"/>
                <w:szCs w:val="15"/>
                <w:color w:val="auto"/>
              </w:rPr>
            </w:pPr>
          </w:p>
        </w:tc>
        <w:tc>
          <w:tcPr>
            <w:tcW w:w="20" w:type="dxa"/>
            <w:vAlign w:val="bottom"/>
            <w:tcBorders>
              <w:bottom w:val="single" w:sz="8" w:color="CCEEFF"/>
            </w:tcBorders>
            <w:shd w:val="clear" w:color="auto" w:fill="CCEEFF"/>
          </w:tcPr>
          <w:p>
            <w:pPr>
              <w:spacing w:after="0"/>
              <w:rPr>
                <w:sz w:val="15"/>
                <w:szCs w:val="15"/>
                <w:color w:val="auto"/>
              </w:rPr>
            </w:pPr>
          </w:p>
        </w:tc>
        <w:tc>
          <w:tcPr>
            <w:tcW w:w="30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580" w:type="dxa"/>
            <w:vAlign w:val="bottom"/>
            <w:tcBorders>
              <w:bottom w:val="single" w:sz="8" w:color="CCEEFF"/>
            </w:tcBorders>
            <w:shd w:val="clear" w:color="auto" w:fill="CCEEFF"/>
          </w:tcPr>
          <w:p>
            <w:pPr>
              <w:spacing w:after="0"/>
              <w:rPr>
                <w:sz w:val="15"/>
                <w:szCs w:val="15"/>
                <w:color w:val="auto"/>
              </w:rPr>
            </w:pPr>
          </w:p>
        </w:tc>
        <w:tc>
          <w:tcPr>
            <w:tcW w:w="200" w:type="dxa"/>
            <w:vAlign w:val="bottom"/>
            <w:tcBorders>
              <w:bottom w:val="single" w:sz="8" w:color="CCEEFF"/>
            </w:tcBorders>
            <w:shd w:val="clear" w:color="auto" w:fill="CCEEFF"/>
          </w:tcPr>
          <w:p>
            <w:pPr>
              <w:spacing w:after="0"/>
              <w:rPr>
                <w:sz w:val="15"/>
                <w:szCs w:val="15"/>
                <w:color w:val="auto"/>
              </w:rPr>
            </w:pPr>
          </w:p>
        </w:tc>
        <w:tc>
          <w:tcPr>
            <w:tcW w:w="140" w:type="dxa"/>
            <w:vAlign w:val="bottom"/>
            <w:tcBorders>
              <w:bottom w:val="single" w:sz="8" w:color="CCEEFF"/>
            </w:tcBorders>
            <w:shd w:val="clear" w:color="auto" w:fill="CCEEFF"/>
          </w:tcPr>
          <w:p>
            <w:pPr>
              <w:spacing w:after="0"/>
              <w:rPr>
                <w:sz w:val="15"/>
                <w:szCs w:val="15"/>
                <w:color w:val="auto"/>
              </w:rPr>
            </w:pPr>
          </w:p>
        </w:tc>
        <w:tc>
          <w:tcPr>
            <w:tcW w:w="80" w:type="dxa"/>
            <w:vAlign w:val="bottom"/>
            <w:tcBorders>
              <w:bottom w:val="single" w:sz="8" w:color="CCEEFF"/>
            </w:tcBorders>
            <w:shd w:val="clear" w:color="auto" w:fill="CCEEFF"/>
          </w:tcPr>
          <w:p>
            <w:pPr>
              <w:spacing w:after="0"/>
              <w:rPr>
                <w:sz w:val="15"/>
                <w:szCs w:val="15"/>
                <w:color w:val="auto"/>
              </w:rPr>
            </w:pPr>
          </w:p>
        </w:tc>
        <w:tc>
          <w:tcPr>
            <w:tcW w:w="600" w:type="dxa"/>
            <w:vAlign w:val="bottom"/>
            <w:tcBorders>
              <w:bottom w:val="single" w:sz="8" w:color="CCEEFF"/>
            </w:tcBorders>
            <w:shd w:val="clear" w:color="auto" w:fill="CCEEFF"/>
          </w:tcPr>
          <w:p>
            <w:pPr>
              <w:spacing w:after="0"/>
              <w:rPr>
                <w:sz w:val="15"/>
                <w:szCs w:val="15"/>
                <w:color w:val="auto"/>
              </w:rPr>
            </w:pPr>
          </w:p>
        </w:tc>
        <w:tc>
          <w:tcPr>
            <w:tcW w:w="32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60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tcPr>
          <w:p>
            <w:pPr>
              <w:spacing w:after="0"/>
              <w:rPr>
                <w:sz w:val="20"/>
                <w:szCs w:val="20"/>
                <w:color w:val="auto"/>
              </w:rPr>
            </w:pPr>
            <w:r>
              <w:rPr>
                <w:rFonts w:ascii="Arial" w:cs="Arial" w:eastAsia="Arial" w:hAnsi="Arial"/>
                <w:sz w:val="18"/>
                <w:szCs w:val="18"/>
                <w:b w:val="1"/>
                <w:bCs w:val="1"/>
                <w:color w:val="auto"/>
              </w:rPr>
              <w:t>Net revenue</w:t>
            </w:r>
          </w:p>
        </w:tc>
        <w:tc>
          <w:tcPr>
            <w:tcW w:w="19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w w:val="89"/>
              </w:rPr>
              <w:t>218,301</w:t>
            </w:r>
          </w:p>
        </w:tc>
        <w:tc>
          <w:tcPr>
            <w:tcW w:w="30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w w:val="86"/>
              </w:rPr>
              <w:t>191,279</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w w:val="89"/>
              </w:rPr>
              <w:t>466,507</w:t>
            </w:r>
          </w:p>
        </w:tc>
        <w:tc>
          <w:tcPr>
            <w:tcW w:w="32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w w:val="89"/>
              </w:rPr>
              <w:t>418,237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Costs and expenses:</w:t>
            </w:r>
          </w:p>
        </w:tc>
        <w:tc>
          <w:tcPr>
            <w:tcW w:w="1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tcPr>
          <w:p>
            <w:pPr>
              <w:ind w:left="340"/>
              <w:spacing w:after="0"/>
              <w:rPr>
                <w:sz w:val="20"/>
                <w:szCs w:val="20"/>
                <w:color w:val="auto"/>
              </w:rPr>
            </w:pPr>
            <w:r>
              <w:rPr>
                <w:rFonts w:ascii="Arial" w:cs="Arial" w:eastAsia="Arial" w:hAnsi="Arial"/>
                <w:sz w:val="18"/>
                <w:szCs w:val="18"/>
                <w:color w:val="auto"/>
              </w:rPr>
              <w:t>Instructional costs and services</w:t>
            </w:r>
          </w:p>
        </w:tc>
        <w:tc>
          <w:tcPr>
            <w:tcW w:w="1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rPr>
              <w:t>95,030</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rPr>
              <w:t>84,599</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89"/>
              </w:rPr>
              <w:t>197,604</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w w:val="89"/>
              </w:rPr>
              <w:t>179,253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Admissions advisory and related</w:t>
            </w:r>
          </w:p>
        </w:tc>
        <w:tc>
          <w:tcPr>
            <w:tcW w:w="1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31,085</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28,866</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63,057</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58,410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tcPr>
          <w:p>
            <w:pPr>
              <w:ind w:left="340"/>
              <w:spacing w:after="0"/>
              <w:rPr>
                <w:sz w:val="20"/>
                <w:szCs w:val="20"/>
                <w:color w:val="auto"/>
              </w:rPr>
            </w:pPr>
            <w:r>
              <w:rPr>
                <w:rFonts w:ascii="Arial" w:cs="Arial" w:eastAsia="Arial" w:hAnsi="Arial"/>
                <w:sz w:val="18"/>
                <w:szCs w:val="18"/>
                <w:color w:val="auto"/>
              </w:rPr>
              <w:t>Advertising</w:t>
            </w:r>
          </w:p>
        </w:tc>
        <w:tc>
          <w:tcPr>
            <w:tcW w:w="1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rPr>
              <w:t>24,776</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rPr>
              <w:t>22,149</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jc w:val="right"/>
              <w:ind w:right="320"/>
              <w:spacing w:after="0"/>
              <w:rPr>
                <w:sz w:val="20"/>
                <w:szCs w:val="20"/>
                <w:color w:val="auto"/>
              </w:rPr>
            </w:pPr>
            <w:r>
              <w:rPr>
                <w:rFonts w:ascii="Arial" w:cs="Arial" w:eastAsia="Arial" w:hAnsi="Arial"/>
                <w:sz w:val="18"/>
                <w:szCs w:val="18"/>
                <w:color w:val="auto"/>
              </w:rPr>
              <w:t>49,407</w:t>
            </w: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43,256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Marketing and promotional</w:t>
            </w:r>
          </w:p>
        </w:tc>
        <w:tc>
          <w:tcPr>
            <w:tcW w:w="1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2,264</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2,108</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4,724</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4,350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tcPr>
          <w:p>
            <w:pPr>
              <w:ind w:left="340"/>
              <w:spacing w:after="0"/>
              <w:rPr>
                <w:sz w:val="20"/>
                <w:szCs w:val="20"/>
                <w:color w:val="auto"/>
              </w:rPr>
            </w:pPr>
            <w:r>
              <w:rPr>
                <w:rFonts w:ascii="Arial" w:cs="Arial" w:eastAsia="Arial" w:hAnsi="Arial"/>
                <w:sz w:val="18"/>
                <w:szCs w:val="18"/>
                <w:color w:val="auto"/>
              </w:rPr>
              <w:t>General and administrative</w:t>
            </w:r>
          </w:p>
        </w:tc>
        <w:tc>
          <w:tcPr>
            <w:tcW w:w="1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10,058</w:t>
            </w: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rPr>
              <w:t>8,809</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jc w:val="right"/>
              <w:ind w:right="320"/>
              <w:spacing w:after="0"/>
              <w:rPr>
                <w:sz w:val="20"/>
                <w:szCs w:val="20"/>
                <w:color w:val="auto"/>
              </w:rPr>
            </w:pPr>
            <w:r>
              <w:rPr>
                <w:rFonts w:ascii="Arial" w:cs="Arial" w:eastAsia="Arial" w:hAnsi="Arial"/>
                <w:sz w:val="18"/>
                <w:szCs w:val="18"/>
                <w:color w:val="auto"/>
              </w:rPr>
              <w:t>19,999</w:t>
            </w: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19,529</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840" w:type="dxa"/>
            <w:vAlign w:val="bottom"/>
          </w:tcPr>
          <w:p>
            <w:pPr>
              <w:spacing w:after="0"/>
              <w:rPr>
                <w:sz w:val="2"/>
                <w:szCs w:val="2"/>
                <w:color w:val="auto"/>
              </w:rPr>
            </w:pPr>
          </w:p>
        </w:tc>
        <w:tc>
          <w:tcPr>
            <w:tcW w:w="2840" w:type="dxa"/>
            <w:vAlign w:val="bottom"/>
          </w:tcPr>
          <w:p>
            <w:pPr>
              <w:spacing w:after="0"/>
              <w:rPr>
                <w:sz w:val="2"/>
                <w:szCs w:val="2"/>
                <w:color w:val="auto"/>
              </w:rPr>
            </w:pPr>
          </w:p>
        </w:tc>
        <w:tc>
          <w:tcPr>
            <w:tcW w:w="18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Total costs and expenses</w:t>
            </w:r>
          </w:p>
        </w:tc>
        <w:tc>
          <w:tcPr>
            <w:tcW w:w="1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163,213</w:t>
            </w:r>
          </w:p>
        </w:tc>
        <w:tc>
          <w:tcPr>
            <w:tcW w:w="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6"/>
              </w:rPr>
              <w:t>146,531</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334,791</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9"/>
              </w:rPr>
              <w:t>304,798</w:t>
            </w:r>
          </w:p>
        </w:tc>
        <w:tc>
          <w:tcPr>
            <w:tcW w:w="0" w:type="dxa"/>
            <w:vAlign w:val="bottom"/>
          </w:tcPr>
          <w:p>
            <w:pPr>
              <w:spacing w:after="0"/>
              <w:rPr>
                <w:sz w:val="1"/>
                <w:szCs w:val="1"/>
                <w:color w:val="auto"/>
              </w:rPr>
            </w:pPr>
          </w:p>
        </w:tc>
      </w:tr>
      <w:tr>
        <w:trPr>
          <w:trHeight w:val="223"/>
        </w:trPr>
        <w:tc>
          <w:tcPr>
            <w:tcW w:w="5700" w:type="dxa"/>
            <w:vAlign w:val="bottom"/>
            <w:gridSpan w:val="3"/>
          </w:tcPr>
          <w:p>
            <w:pPr>
              <w:spacing w:after="0"/>
              <w:rPr>
                <w:sz w:val="20"/>
                <w:szCs w:val="20"/>
                <w:color w:val="auto"/>
              </w:rPr>
            </w:pPr>
            <w:r>
              <w:rPr>
                <w:rFonts w:ascii="Arial" w:cs="Arial" w:eastAsia="Arial" w:hAnsi="Arial"/>
                <w:sz w:val="18"/>
                <w:szCs w:val="18"/>
                <w:b w:val="1"/>
                <w:bCs w:val="1"/>
                <w:color w:val="auto"/>
              </w:rPr>
              <w:t>Operating income</w:t>
            </w:r>
          </w:p>
        </w:tc>
        <w:tc>
          <w:tcPr>
            <w:tcW w:w="188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55,088</w:t>
            </w:r>
          </w:p>
        </w:tc>
        <w:tc>
          <w:tcPr>
            <w:tcW w:w="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44,748</w:t>
            </w:r>
          </w:p>
        </w:tc>
        <w:tc>
          <w:tcPr>
            <w:tcW w:w="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9"/>
              </w:rPr>
              <w:t>131,716</w:t>
            </w:r>
          </w:p>
        </w:tc>
        <w:tc>
          <w:tcPr>
            <w:tcW w:w="3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9"/>
              </w:rPr>
              <w:t>113,439</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Interest expense</w:t>
            </w:r>
          </w:p>
        </w:tc>
        <w:tc>
          <w:tcPr>
            <w:tcW w:w="1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(495)</w:t>
            </w: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(158)</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(1,075)</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(487)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tcPr>
          <w:p>
            <w:pPr>
              <w:ind w:left="340"/>
              <w:spacing w:after="0"/>
              <w:rPr>
                <w:sz w:val="20"/>
                <w:szCs w:val="20"/>
                <w:color w:val="auto"/>
              </w:rPr>
            </w:pPr>
            <w:r>
              <w:rPr>
                <w:rFonts w:ascii="Arial" w:cs="Arial" w:eastAsia="Arial" w:hAnsi="Arial"/>
                <w:sz w:val="18"/>
                <w:szCs w:val="18"/>
                <w:color w:val="auto"/>
              </w:rPr>
              <w:t>Interest and other income</w:t>
            </w:r>
          </w:p>
        </w:tc>
        <w:tc>
          <w:tcPr>
            <w:tcW w:w="1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739</w:t>
            </w: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rPr>
              <w:t>293</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jc w:val="right"/>
              <w:ind w:right="320"/>
              <w:spacing w:after="0"/>
              <w:rPr>
                <w:sz w:val="20"/>
                <w:szCs w:val="20"/>
                <w:color w:val="auto"/>
              </w:rPr>
            </w:pPr>
            <w:r>
              <w:rPr>
                <w:rFonts w:ascii="Arial" w:cs="Arial" w:eastAsia="Arial" w:hAnsi="Arial"/>
                <w:sz w:val="18"/>
                <w:szCs w:val="18"/>
                <w:color w:val="auto"/>
              </w:rPr>
              <w:t>741</w:t>
            </w: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2,341</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840" w:type="dxa"/>
            <w:vAlign w:val="bottom"/>
          </w:tcPr>
          <w:p>
            <w:pPr>
              <w:spacing w:after="0"/>
              <w:rPr>
                <w:sz w:val="2"/>
                <w:szCs w:val="2"/>
                <w:color w:val="auto"/>
              </w:rPr>
            </w:pPr>
          </w:p>
        </w:tc>
        <w:tc>
          <w:tcPr>
            <w:tcW w:w="2840" w:type="dxa"/>
            <w:vAlign w:val="bottom"/>
          </w:tcPr>
          <w:p>
            <w:pPr>
              <w:spacing w:after="0"/>
              <w:rPr>
                <w:sz w:val="2"/>
                <w:szCs w:val="2"/>
                <w:color w:val="auto"/>
              </w:rPr>
            </w:pPr>
          </w:p>
        </w:tc>
        <w:tc>
          <w:tcPr>
            <w:tcW w:w="18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Income before income taxes</w:t>
            </w:r>
          </w:p>
        </w:tc>
        <w:tc>
          <w:tcPr>
            <w:tcW w:w="1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55,332</w:t>
            </w:r>
          </w:p>
        </w:tc>
        <w:tc>
          <w:tcPr>
            <w:tcW w:w="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44,883</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131,382</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9"/>
              </w:rPr>
              <w:t>115,293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tcPr>
          <w:p>
            <w:pPr>
              <w:spacing w:after="0"/>
              <w:rPr>
                <w:sz w:val="20"/>
                <w:szCs w:val="20"/>
                <w:color w:val="auto"/>
              </w:rPr>
            </w:pPr>
            <w:r>
              <w:rPr>
                <w:rFonts w:ascii="Arial" w:cs="Arial" w:eastAsia="Arial" w:hAnsi="Arial"/>
                <w:sz w:val="18"/>
                <w:szCs w:val="18"/>
                <w:color w:val="auto"/>
              </w:rPr>
              <w:t>Income tax expense</w:t>
            </w:r>
          </w:p>
        </w:tc>
        <w:tc>
          <w:tcPr>
            <w:tcW w:w="1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15,485</w:t>
            </w: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rPr>
              <w:t>17,257</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jc w:val="right"/>
              <w:ind w:right="320"/>
              <w:spacing w:after="0"/>
              <w:rPr>
                <w:sz w:val="20"/>
                <w:szCs w:val="20"/>
                <w:color w:val="auto"/>
              </w:rPr>
            </w:pPr>
            <w:r>
              <w:rPr>
                <w:rFonts w:ascii="Arial" w:cs="Arial" w:eastAsia="Arial" w:hAnsi="Arial"/>
                <w:sz w:val="18"/>
                <w:szCs w:val="18"/>
                <w:color w:val="auto"/>
              </w:rPr>
              <w:t>35,623</w:t>
            </w: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44,002</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840" w:type="dxa"/>
            <w:vAlign w:val="bottom"/>
          </w:tcPr>
          <w:p>
            <w:pPr>
              <w:spacing w:after="0"/>
              <w:rPr>
                <w:sz w:val="2"/>
                <w:szCs w:val="2"/>
                <w:color w:val="auto"/>
              </w:rPr>
            </w:pPr>
          </w:p>
        </w:tc>
        <w:tc>
          <w:tcPr>
            <w:tcW w:w="2840" w:type="dxa"/>
            <w:vAlign w:val="bottom"/>
          </w:tcPr>
          <w:p>
            <w:pPr>
              <w:spacing w:after="0"/>
              <w:rPr>
                <w:sz w:val="2"/>
                <w:szCs w:val="2"/>
                <w:color w:val="auto"/>
              </w:rPr>
            </w:pPr>
          </w:p>
        </w:tc>
        <w:tc>
          <w:tcPr>
            <w:tcW w:w="18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Net income</w:t>
            </w:r>
          </w:p>
        </w:tc>
        <w:tc>
          <w:tcPr>
            <w:tcW w:w="188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39,847</w:t>
            </w:r>
          </w:p>
        </w:tc>
        <w:tc>
          <w:tcPr>
            <w:tcW w:w="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27,626</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95,759</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71,291</w:t>
            </w:r>
          </w:p>
        </w:tc>
        <w:tc>
          <w:tcPr>
            <w:tcW w:w="0" w:type="dxa"/>
            <w:vAlign w:val="bottom"/>
          </w:tcPr>
          <w:p>
            <w:pPr>
              <w:spacing w:after="0"/>
              <w:rPr>
                <w:sz w:val="1"/>
                <w:szCs w:val="1"/>
                <w:color w:val="auto"/>
              </w:rPr>
            </w:pPr>
          </w:p>
        </w:tc>
      </w:tr>
      <w:tr>
        <w:trPr>
          <w:trHeight w:val="20"/>
        </w:trPr>
        <w:tc>
          <w:tcPr>
            <w:tcW w:w="5700" w:type="dxa"/>
            <w:vAlign w:val="bottom"/>
            <w:gridSpan w:val="3"/>
            <w:vMerge w:val="restart"/>
          </w:tcPr>
          <w:p>
            <w:pPr>
              <w:spacing w:after="0"/>
              <w:rPr>
                <w:sz w:val="20"/>
                <w:szCs w:val="20"/>
                <w:color w:val="auto"/>
              </w:rPr>
            </w:pPr>
            <w:r>
              <w:rPr>
                <w:rFonts w:ascii="Arial" w:cs="Arial" w:eastAsia="Arial" w:hAnsi="Arial"/>
                <w:sz w:val="18"/>
                <w:szCs w:val="18"/>
                <w:b w:val="1"/>
                <w:bCs w:val="1"/>
                <w:color w:val="auto"/>
              </w:rPr>
              <w:t>Earnings per share:</w:t>
            </w:r>
          </w:p>
        </w:tc>
        <w:tc>
          <w:tcPr>
            <w:tcW w:w="18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700" w:type="dxa"/>
            <w:vAlign w:val="bottom"/>
            <w:gridSpan w:val="3"/>
            <w:vMerge w:val="continue"/>
          </w:tcPr>
          <w:p>
            <w:pPr>
              <w:spacing w:after="0"/>
              <w:rPr>
                <w:sz w:val="18"/>
                <w:szCs w:val="18"/>
                <w:color w:val="auto"/>
              </w:rPr>
            </w:pPr>
          </w:p>
        </w:tc>
        <w:tc>
          <w:tcPr>
            <w:tcW w:w="1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shd w:val="clear" w:color="auto" w:fill="CCEEFF"/>
          </w:tcPr>
          <w:p>
            <w:pPr>
              <w:ind w:left="340"/>
              <w:spacing w:after="0"/>
              <w:rPr>
                <w:sz w:val="20"/>
                <w:szCs w:val="20"/>
                <w:color w:val="auto"/>
              </w:rPr>
            </w:pPr>
            <w:r>
              <w:rPr>
                <w:rFonts w:ascii="Arial" w:cs="Arial" w:eastAsia="Arial" w:hAnsi="Arial"/>
                <w:sz w:val="18"/>
                <w:szCs w:val="18"/>
                <w:b w:val="1"/>
                <w:bCs w:val="1"/>
                <w:color w:val="auto"/>
              </w:rPr>
              <w:t>Basic income per share</w:t>
            </w:r>
          </w:p>
        </w:tc>
        <w:tc>
          <w:tcPr>
            <w:tcW w:w="188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0.85</w:t>
            </w:r>
          </w:p>
        </w:tc>
        <w:tc>
          <w:tcPr>
            <w:tcW w:w="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0.60</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2.04</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680" w:type="dxa"/>
            <w:vAlign w:val="bottom"/>
            <w:gridSpan w:val="2"/>
            <w:vMerge w:val="restart"/>
          </w:tcPr>
          <w:p>
            <w:pPr>
              <w:ind w:left="340"/>
              <w:spacing w:after="0"/>
              <w:rPr>
                <w:sz w:val="20"/>
                <w:szCs w:val="20"/>
                <w:color w:val="auto"/>
              </w:rPr>
            </w:pPr>
            <w:r>
              <w:rPr>
                <w:rFonts w:ascii="Arial" w:cs="Arial" w:eastAsia="Arial" w:hAnsi="Arial"/>
                <w:sz w:val="18"/>
                <w:szCs w:val="18"/>
                <w:b w:val="1"/>
                <w:bCs w:val="1"/>
                <w:color w:val="auto"/>
              </w:rPr>
              <w:t>Diluted income per share</w:t>
            </w:r>
          </w:p>
        </w:tc>
        <w:tc>
          <w:tcPr>
            <w:tcW w:w="18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5680" w:type="dxa"/>
            <w:vAlign w:val="bottom"/>
            <w:gridSpan w:val="2"/>
            <w:vMerge w:val="continue"/>
          </w:tcPr>
          <w:p>
            <w:pPr>
              <w:spacing w:after="0"/>
              <w:rPr>
                <w:sz w:val="18"/>
                <w:szCs w:val="18"/>
                <w:color w:val="auto"/>
              </w:rPr>
            </w:pPr>
          </w:p>
        </w:tc>
        <w:tc>
          <w:tcPr>
            <w:tcW w:w="1880" w:type="dxa"/>
            <w:vAlign w:val="bottom"/>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0.83</w:t>
            </w: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0.59</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1.99</w:t>
            </w:r>
          </w:p>
        </w:tc>
        <w:tc>
          <w:tcPr>
            <w:tcW w:w="320" w:type="dxa"/>
            <w:vAlign w:val="bottom"/>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1.52</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840" w:type="dxa"/>
            <w:vAlign w:val="bottom"/>
          </w:tcPr>
          <w:p>
            <w:pPr>
              <w:spacing w:after="0" w:line="20" w:lineRule="exact"/>
              <w:rPr>
                <w:sz w:val="1"/>
                <w:szCs w:val="1"/>
                <w:color w:val="auto"/>
              </w:rPr>
            </w:pPr>
          </w:p>
        </w:tc>
        <w:tc>
          <w:tcPr>
            <w:tcW w:w="284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5680" w:type="dxa"/>
            <w:vAlign w:val="bottom"/>
            <w:gridSpan w:val="2"/>
            <w:shd w:val="clear" w:color="auto" w:fill="CCEEFF"/>
          </w:tcPr>
          <w:p>
            <w:pPr>
              <w:ind w:left="340"/>
              <w:spacing w:after="0"/>
              <w:rPr>
                <w:sz w:val="20"/>
                <w:szCs w:val="20"/>
                <w:color w:val="auto"/>
              </w:rPr>
            </w:pPr>
            <w:r>
              <w:rPr>
                <w:rFonts w:ascii="Arial" w:cs="Arial" w:eastAsia="Arial" w:hAnsi="Arial"/>
                <w:sz w:val="18"/>
                <w:szCs w:val="18"/>
                <w:b w:val="1"/>
                <w:bCs w:val="1"/>
                <w:color w:val="auto"/>
              </w:rPr>
              <w:t>Basic weighted average shares outstanding</w:t>
            </w:r>
          </w:p>
        </w:tc>
        <w:tc>
          <w:tcPr>
            <w:tcW w:w="1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47,151</w:t>
            </w:r>
          </w:p>
        </w:tc>
        <w:tc>
          <w:tcPr>
            <w:tcW w:w="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46,004</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46,949</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45,813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680" w:type="dxa"/>
            <w:vAlign w:val="bottom"/>
            <w:gridSpan w:val="2"/>
            <w:vMerge w:val="restart"/>
          </w:tcPr>
          <w:p>
            <w:pPr>
              <w:ind w:left="340"/>
              <w:spacing w:after="0"/>
              <w:rPr>
                <w:sz w:val="20"/>
                <w:szCs w:val="20"/>
                <w:color w:val="auto"/>
              </w:rPr>
            </w:pPr>
            <w:r>
              <w:rPr>
                <w:rFonts w:ascii="Arial" w:cs="Arial" w:eastAsia="Arial" w:hAnsi="Arial"/>
                <w:sz w:val="18"/>
                <w:szCs w:val="18"/>
                <w:b w:val="1"/>
                <w:bCs w:val="1"/>
                <w:color w:val="auto"/>
              </w:rPr>
              <w:t>Diluted weighted average shares outstanding</w:t>
            </w:r>
          </w:p>
        </w:tc>
        <w:tc>
          <w:tcPr>
            <w:tcW w:w="18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5680" w:type="dxa"/>
            <w:vAlign w:val="bottom"/>
            <w:gridSpan w:val="2"/>
            <w:vMerge w:val="continue"/>
          </w:tcPr>
          <w:p>
            <w:pPr>
              <w:spacing w:after="0"/>
              <w:rPr>
                <w:sz w:val="18"/>
                <w:szCs w:val="18"/>
                <w:color w:val="auto"/>
              </w:rPr>
            </w:pPr>
          </w:p>
        </w:tc>
        <w:tc>
          <w:tcPr>
            <w:tcW w:w="188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48,192</w:t>
            </w:r>
          </w:p>
        </w:tc>
        <w:tc>
          <w:tcPr>
            <w:tcW w:w="20" w:type="dxa"/>
            <w:vAlign w:val="bottom"/>
            <w:tcBorders>
              <w:bottom w:val="single" w:sz="8" w:color="auto"/>
            </w:tcBorders>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46,990</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48,131</w:t>
            </w:r>
          </w:p>
        </w:tc>
        <w:tc>
          <w:tcPr>
            <w:tcW w:w="32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46,925</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840" w:type="dxa"/>
            <w:vAlign w:val="bottom"/>
          </w:tcPr>
          <w:p>
            <w:pPr>
              <w:spacing w:after="0" w:line="20" w:lineRule="exact"/>
              <w:rPr>
                <w:sz w:val="1"/>
                <w:szCs w:val="1"/>
                <w:color w:val="auto"/>
              </w:rPr>
            </w:pPr>
          </w:p>
        </w:tc>
        <w:tc>
          <w:tcPr>
            <w:tcW w:w="284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420"/>
          </w:cols>
          <w:pgMar w:left="240" w:top="270" w:right="239" w:bottom="1440" w:gutter="0" w:footer="0" w:header="0"/>
        </w:sectPr>
      </w:pPr>
    </w:p>
    <w:bookmarkStart w:id="10" w:name="page11"/>
    <w:bookmarkEnd w:id="10"/>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Grand Canyon Education, Inc. Reports Second Quarter 2017 Results</w:t>
      </w:r>
    </w:p>
    <w:p>
      <w:pPr>
        <w:spacing w:after="0" w:line="158" w:lineRule="exact"/>
        <w:rPr>
          <w:sz w:val="20"/>
          <w:szCs w:val="20"/>
          <w:color w:val="auto"/>
        </w:rPr>
      </w:pPr>
    </w:p>
    <w:p>
      <w:pPr>
        <w:ind w:left="4160"/>
        <w:spacing w:after="0"/>
        <w:rPr>
          <w:sz w:val="20"/>
          <w:szCs w:val="20"/>
          <w:color w:val="auto"/>
        </w:rPr>
      </w:pPr>
      <w:r>
        <w:rPr>
          <w:rFonts w:ascii="Arial" w:cs="Arial" w:eastAsia="Arial" w:hAnsi="Arial"/>
          <w:sz w:val="18"/>
          <w:szCs w:val="18"/>
          <w:b w:val="1"/>
          <w:bCs w:val="1"/>
          <w:color w:val="auto"/>
        </w:rPr>
        <w:t>GRAND CANYON EDUCATION, INC.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Adjusted EBITDA</w:t>
      </w:r>
    </w:p>
    <w:p>
      <w:pPr>
        <w:spacing w:after="0" w:line="121" w:lineRule="exact"/>
        <w:rPr>
          <w:sz w:val="20"/>
          <w:szCs w:val="20"/>
          <w:color w:val="auto"/>
        </w:rPr>
      </w:pPr>
    </w:p>
    <w:p>
      <w:pPr>
        <w:ind w:right="240"/>
        <w:spacing w:after="0" w:line="288" w:lineRule="auto"/>
        <w:rPr>
          <w:sz w:val="20"/>
          <w:szCs w:val="20"/>
          <w:color w:val="auto"/>
        </w:rPr>
      </w:pPr>
      <w:r>
        <w:rPr>
          <w:rFonts w:ascii="Arial" w:cs="Arial" w:eastAsia="Arial" w:hAnsi="Arial"/>
          <w:sz w:val="16"/>
          <w:szCs w:val="16"/>
          <w:color w:val="auto"/>
        </w:rPr>
        <w:t>Adjusted EBITDA is defined as net income plus interest expense, less interest income and other gain (loss) recognized on investments, plus income tax expense, and plus depreciation and amortization (EBITDA), as adjusted for (i) the amortization of prepaid royalty payments recorded in conjunction with a settlement of a dispute with our former owner; (ii) contributions to Arizona school tuition organizations in lieu of the payment of state income taxes;</w:t>
      </w:r>
    </w:p>
    <w:p>
      <w:pPr>
        <w:ind w:firstLine="8"/>
        <w:spacing w:after="0" w:line="268" w:lineRule="auto"/>
        <w:tabs>
          <w:tab w:leader="none" w:pos="315" w:val="left"/>
        </w:tabs>
        <w:numPr>
          <w:ilvl w:val="0"/>
          <w:numId w:val="5"/>
        </w:numPr>
        <w:rPr>
          <w:rFonts w:ascii="Arial" w:cs="Arial" w:eastAsia="Arial" w:hAnsi="Arial"/>
          <w:sz w:val="17"/>
          <w:szCs w:val="17"/>
          <w:color w:val="auto"/>
        </w:rPr>
      </w:pPr>
      <w:r>
        <w:rPr>
          <w:rFonts w:ascii="Arial" w:cs="Arial" w:eastAsia="Arial" w:hAnsi="Arial"/>
          <w:sz w:val="17"/>
          <w:szCs w:val="17"/>
          <w:color w:val="auto"/>
        </w:rPr>
        <w:t>share-based compensation and (iv) one-time, unusual charges or gains, such as litigation and regulatory reserves, impairment charges and asset write-offs, and exit or lease termination costs. We present Adjusted EBITDA because we consider it to be an important supplemental measure of our operating performance. We also make certain compensation decisions based, in part, on our operating performance, as measured by Adjusted EBITDA, and our loan agreement requires us to comply with covenants that include performance metrics substantially similar to Adjusted EBITDA. All of the adjustments made in our calculation of Adjusted EBITDA are adjustments to items that management does not consider to be reflective of our core operating performance. Management considers our core operating performance to be that which can be affected by our managers in any particular period through their management of the resources that affect our underlying revenue and profit generating operations during that period and does not consider the items for which we make adjustments (as listed above) to be reflective of our core performance.</w:t>
      </w:r>
    </w:p>
    <w:p>
      <w:pPr>
        <w:spacing w:after="0" w:line="184" w:lineRule="exact"/>
        <w:rPr>
          <w:sz w:val="20"/>
          <w:szCs w:val="20"/>
          <w:color w:val="auto"/>
        </w:rPr>
      </w:pPr>
    </w:p>
    <w:p>
      <w:pPr>
        <w:ind w:right="180" w:firstLine="456"/>
        <w:spacing w:after="0" w:line="293" w:lineRule="auto"/>
        <w:rPr>
          <w:sz w:val="20"/>
          <w:szCs w:val="20"/>
          <w:color w:val="auto"/>
        </w:rPr>
      </w:pPr>
      <w:r>
        <w:rPr>
          <w:rFonts w:ascii="Arial" w:cs="Arial" w:eastAsia="Arial" w:hAnsi="Arial"/>
          <w:sz w:val="16"/>
          <w:szCs w:val="16"/>
          <w:color w:val="auto"/>
        </w:rPr>
        <w:t>We believe Adjusted EBITDA allows us to compare our current operating results with corresponding historical periods and with the operational performance of other companies in our industry because it does not give effect to potential differences caused by variations in capital structures (affecting relative interest expense, including the impact of write-offs of deferred financing costs when companies refinance their indebtedness), tax positions (such as the impact on periods or companies of changes in effective tax rates or net operating losses), the book amortization of intangibles (affecting relative amortization expense), and other items that we do not consider reflective of underlying operating performance. We also present Adjusted EBITDA because we believe it is frequently used by securities analysts, investors, and other interested parties as a measure of performance.</w:t>
      </w:r>
    </w:p>
    <w:p>
      <w:pPr>
        <w:spacing w:after="0" w:line="165" w:lineRule="exact"/>
        <w:rPr>
          <w:sz w:val="20"/>
          <w:szCs w:val="20"/>
          <w:color w:val="auto"/>
        </w:rPr>
      </w:pPr>
    </w:p>
    <w:p>
      <w:pPr>
        <w:ind w:right="40" w:firstLine="456"/>
        <w:spacing w:after="0" w:line="286" w:lineRule="auto"/>
        <w:rPr>
          <w:sz w:val="20"/>
          <w:szCs w:val="20"/>
          <w:color w:val="auto"/>
        </w:rPr>
      </w:pPr>
      <w:r>
        <w:rPr>
          <w:rFonts w:ascii="Arial" w:cs="Arial" w:eastAsia="Arial" w:hAnsi="Arial"/>
          <w:sz w:val="17"/>
          <w:szCs w:val="17"/>
          <w:color w:val="auto"/>
        </w:rPr>
        <w:t>In evaluating Adjusted EBITDA, investors should be aware that in the future we may incur expenses similar to the adjustments described above. Our presentation of Adjusted EBITDA should not be construed as an inference that our future results will be unaffected by expenses that are unusual, non-routine, or non-recurring. Adjusted EBITDA has limitations as an analytical tool in that, among other things it does not reflect:</w:t>
      </w:r>
    </w:p>
    <w:p>
      <w:pPr>
        <w:spacing w:after="0" w:line="71" w:lineRule="exact"/>
        <w:rPr>
          <w:sz w:val="20"/>
          <w:szCs w:val="20"/>
          <w:color w:val="auto"/>
        </w:rPr>
      </w:pPr>
    </w:p>
    <w:p>
      <w:pPr>
        <w:ind w:left="900" w:hanging="325"/>
        <w:spacing w:after="0"/>
        <w:tabs>
          <w:tab w:leader="none" w:pos="900" w:val="left"/>
        </w:tabs>
        <w:numPr>
          <w:ilvl w:val="0"/>
          <w:numId w:val="6"/>
        </w:numPr>
        <w:rPr>
          <w:rFonts w:ascii="Arial" w:cs="Arial" w:eastAsia="Arial" w:hAnsi="Arial"/>
          <w:sz w:val="18"/>
          <w:szCs w:val="18"/>
          <w:color w:val="auto"/>
        </w:rPr>
      </w:pPr>
      <w:r>
        <w:rPr>
          <w:rFonts w:ascii="Arial" w:cs="Arial" w:eastAsia="Arial" w:hAnsi="Arial"/>
          <w:sz w:val="18"/>
          <w:szCs w:val="18"/>
          <w:color w:val="auto"/>
        </w:rPr>
        <w:t>cash expenditures for capital expenditures or contractual commitments;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6"/>
        </w:numPr>
        <w:rPr>
          <w:rFonts w:ascii="Arial" w:cs="Arial" w:eastAsia="Arial" w:hAnsi="Arial"/>
          <w:sz w:val="18"/>
          <w:szCs w:val="18"/>
          <w:color w:val="auto"/>
        </w:rPr>
      </w:pPr>
      <w:r>
        <w:rPr>
          <w:rFonts w:ascii="Arial" w:cs="Arial" w:eastAsia="Arial" w:hAnsi="Arial"/>
          <w:sz w:val="18"/>
          <w:szCs w:val="18"/>
          <w:color w:val="auto"/>
        </w:rPr>
        <w:t>changes in, or cash requirements for, our working capital requirements;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6"/>
        </w:numPr>
        <w:rPr>
          <w:rFonts w:ascii="Arial" w:cs="Arial" w:eastAsia="Arial" w:hAnsi="Arial"/>
          <w:sz w:val="18"/>
          <w:szCs w:val="18"/>
          <w:color w:val="auto"/>
        </w:rPr>
      </w:pPr>
      <w:r>
        <w:rPr>
          <w:rFonts w:ascii="Arial" w:cs="Arial" w:eastAsia="Arial" w:hAnsi="Arial"/>
          <w:sz w:val="18"/>
          <w:szCs w:val="18"/>
          <w:color w:val="auto"/>
        </w:rPr>
        <w:t>interest expense, or the cash required to replace assets that are being depreciated or amortized; and</w:t>
      </w:r>
    </w:p>
    <w:p>
      <w:pPr>
        <w:spacing w:after="0" w:line="130" w:lineRule="exact"/>
        <w:rPr>
          <w:rFonts w:ascii="Arial" w:cs="Arial" w:eastAsia="Arial" w:hAnsi="Arial"/>
          <w:sz w:val="18"/>
          <w:szCs w:val="18"/>
          <w:color w:val="auto"/>
        </w:rPr>
      </w:pPr>
    </w:p>
    <w:p>
      <w:pPr>
        <w:ind w:left="900" w:right="200" w:hanging="325"/>
        <w:spacing w:after="0" w:line="277" w:lineRule="auto"/>
        <w:tabs>
          <w:tab w:leader="none" w:pos="90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impact on our reported results of earnings or charges resulting from the items for which we make adjustments to our EBITDA, as described above and set forth in the table below.</w:t>
      </w:r>
    </w:p>
    <w:p>
      <w:pPr>
        <w:spacing w:after="0" w:line="170" w:lineRule="exact"/>
        <w:rPr>
          <w:sz w:val="20"/>
          <w:szCs w:val="20"/>
          <w:color w:val="auto"/>
        </w:rPr>
      </w:pPr>
    </w:p>
    <w:p>
      <w:pPr>
        <w:ind w:right="40" w:firstLine="456"/>
        <w:spacing w:after="0" w:line="257" w:lineRule="auto"/>
        <w:rPr>
          <w:sz w:val="20"/>
          <w:szCs w:val="20"/>
          <w:color w:val="auto"/>
        </w:rPr>
      </w:pPr>
      <w:r>
        <w:rPr>
          <w:rFonts w:ascii="Arial" w:cs="Arial" w:eastAsia="Arial" w:hAnsi="Arial"/>
          <w:sz w:val="18"/>
          <w:szCs w:val="18"/>
          <w:color w:val="auto"/>
        </w:rPr>
        <w:t>In addition, other companies, including other companies in our industry, may calculate these measures differently than we do, limiting the usefulness of Adjusted EBITDA as a comparative measure. Because of these limitations, Adjusted EBITDA should not be considered as a substitute for net income, operating income, or any other performance measure derived in accordance with and reported under GAAP, or as an alternative to cash flow from operating activities or as a measure of our liquidity. We compensate for these limitations by relying primarily on our GAAP results and only use Adjusted EBITDA as a supplemental performance measure.</w:t>
      </w:r>
    </w:p>
    <w:p>
      <w:pPr>
        <w:sectPr>
          <w:pgSz w:w="11900" w:h="16838" w:orient="portrait"/>
          <w:cols w:equalWidth="0" w:num="1">
            <w:col w:w="11420"/>
          </w:cols>
          <w:pgMar w:left="240" w:top="270" w:right="239" w:bottom="1440" w:gutter="0" w:footer="0" w:header="0"/>
        </w:sectPr>
      </w:pPr>
    </w:p>
    <w:bookmarkStart w:id="11" w:name="page12"/>
    <w:bookmarkEnd w:id="11"/>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following table provides a reconciliation of net income to Adjusted EBITDA, which is a non-GAAP measure for the periods indicated:</w:t>
      </w:r>
    </w:p>
    <w:p>
      <w:pPr>
        <w:spacing w:after="0" w:line="231"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6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00" w:type="dxa"/>
            <w:vAlign w:val="bottom"/>
            <w:gridSpan w:val="6"/>
          </w:tcPr>
          <w:p>
            <w:pPr>
              <w:jc w:val="right"/>
              <w:ind w:right="380"/>
              <w:spacing w:after="0"/>
              <w:rPr>
                <w:sz w:val="20"/>
                <w:szCs w:val="20"/>
                <w:color w:val="auto"/>
              </w:rPr>
            </w:pPr>
            <w:r>
              <w:rPr>
                <w:rFonts w:ascii="Arial" w:cs="Arial" w:eastAsia="Arial" w:hAnsi="Arial"/>
                <w:sz w:val="14"/>
                <w:szCs w:val="14"/>
                <w:b w:val="1"/>
                <w:bCs w:val="1"/>
                <w:color w:val="auto"/>
              </w:rPr>
              <w:t>Three Months Ended</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0" w:type="dxa"/>
            <w:vAlign w:val="bottom"/>
            <w:gridSpan w:val="5"/>
          </w:tcPr>
          <w:p>
            <w:pPr>
              <w:jc w:val="right"/>
              <w:ind w:right="440"/>
              <w:spacing w:after="0"/>
              <w:rPr>
                <w:sz w:val="20"/>
                <w:szCs w:val="20"/>
                <w:color w:val="auto"/>
              </w:rPr>
            </w:pPr>
            <w:r>
              <w:rPr>
                <w:rFonts w:ascii="Arial" w:cs="Arial" w:eastAsia="Arial" w:hAnsi="Arial"/>
                <w:sz w:val="14"/>
                <w:szCs w:val="14"/>
                <w:b w:val="1"/>
                <w:bCs w:val="1"/>
                <w:color w:val="auto"/>
              </w:rPr>
              <w:t>Six Months Ended</w:t>
            </w:r>
          </w:p>
        </w:tc>
      </w:tr>
      <w:tr>
        <w:trPr>
          <w:trHeight w:val="171"/>
        </w:trPr>
        <w:tc>
          <w:tcPr>
            <w:tcW w:w="20" w:type="dxa"/>
            <w:vAlign w:val="bottom"/>
          </w:tcPr>
          <w:p>
            <w:pPr>
              <w:spacing w:after="0"/>
              <w:rPr>
                <w:sz w:val="14"/>
                <w:szCs w:val="14"/>
                <w:color w:val="auto"/>
              </w:rPr>
            </w:pPr>
          </w:p>
        </w:tc>
        <w:tc>
          <w:tcPr>
            <w:tcW w:w="66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00" w:type="dxa"/>
            <w:vAlign w:val="bottom"/>
            <w:gridSpan w:val="6"/>
          </w:tcPr>
          <w:p>
            <w:pPr>
              <w:jc w:val="right"/>
              <w:ind w:right="780"/>
              <w:spacing w:after="0"/>
              <w:rPr>
                <w:sz w:val="20"/>
                <w:szCs w:val="20"/>
                <w:color w:val="auto"/>
              </w:rPr>
            </w:pPr>
            <w:r>
              <w:rPr>
                <w:rFonts w:ascii="Arial" w:cs="Arial" w:eastAsia="Arial" w:hAnsi="Arial"/>
                <w:sz w:val="14"/>
                <w:szCs w:val="14"/>
                <w:b w:val="1"/>
                <w:bCs w:val="1"/>
                <w:color w:val="auto"/>
              </w:rPr>
              <w:t>June 30,</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100" w:type="dxa"/>
            <w:vAlign w:val="bottom"/>
            <w:gridSpan w:val="3"/>
          </w:tcPr>
          <w:p>
            <w:pPr>
              <w:jc w:val="right"/>
              <w:spacing w:after="0"/>
              <w:rPr>
                <w:sz w:val="20"/>
                <w:szCs w:val="20"/>
                <w:color w:val="auto"/>
              </w:rPr>
            </w:pPr>
            <w:r>
              <w:rPr>
                <w:rFonts w:ascii="Arial" w:cs="Arial" w:eastAsia="Arial" w:hAnsi="Arial"/>
                <w:sz w:val="14"/>
                <w:szCs w:val="14"/>
                <w:b w:val="1"/>
                <w:bCs w:val="1"/>
                <w:color w:val="auto"/>
              </w:rPr>
              <w:t>June 30,</w:t>
            </w:r>
          </w:p>
        </w:tc>
        <w:tc>
          <w:tcPr>
            <w:tcW w:w="60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66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560" w:type="dxa"/>
            <w:vAlign w:val="bottom"/>
            <w:tcBorders>
              <w:top w:val="single" w:sz="8" w:color="auto"/>
              <w:bottom w:val="single" w:sz="8" w:color="auto"/>
            </w:tcBorders>
          </w:tcPr>
          <w:p>
            <w:pPr>
              <w:jc w:val="right"/>
              <w:ind w:right="59"/>
              <w:spacing w:after="0" w:line="142" w:lineRule="exact"/>
              <w:rPr>
                <w:sz w:val="20"/>
                <w:szCs w:val="20"/>
                <w:color w:val="auto"/>
              </w:rPr>
            </w:pPr>
            <w:r>
              <w:rPr>
                <w:rFonts w:ascii="Arial" w:cs="Arial" w:eastAsia="Arial" w:hAnsi="Arial"/>
                <w:sz w:val="14"/>
                <w:szCs w:val="14"/>
                <w:b w:val="1"/>
                <w:bCs w:val="1"/>
                <w:color w:val="auto"/>
              </w:rPr>
              <w:t>2017</w:t>
            </w:r>
          </w:p>
        </w:tc>
        <w:tc>
          <w:tcPr>
            <w:tcW w:w="20" w:type="dxa"/>
            <w:vAlign w:val="bottom"/>
            <w:tcBorders>
              <w:top w:val="single" w:sz="8" w:color="auto"/>
              <w:bottom w:val="single" w:sz="8" w:color="auto"/>
            </w:tcBorders>
          </w:tcPr>
          <w:p>
            <w:pPr>
              <w:spacing w:after="0"/>
              <w:rPr>
                <w:sz w:val="12"/>
                <w:szCs w:val="12"/>
                <w:color w:val="auto"/>
              </w:rPr>
            </w:pPr>
          </w:p>
        </w:tc>
        <w:tc>
          <w:tcPr>
            <w:tcW w:w="220" w:type="dxa"/>
            <w:vAlign w:val="bottom"/>
            <w:tcBorders>
              <w:top w:val="single" w:sz="8" w:color="auto"/>
              <w:bottom w:val="single" w:sz="8" w:color="auto"/>
            </w:tcBorders>
          </w:tcPr>
          <w:p>
            <w:pPr>
              <w:spacing w:after="0"/>
              <w:rPr>
                <w:sz w:val="12"/>
                <w:szCs w:val="12"/>
                <w:color w:val="auto"/>
              </w:rPr>
            </w:pPr>
          </w:p>
        </w:tc>
        <w:tc>
          <w:tcPr>
            <w:tcW w:w="760" w:type="dxa"/>
            <w:vAlign w:val="bottom"/>
            <w:tcBorders>
              <w:top w:val="single" w:sz="8" w:color="auto"/>
              <w:bottom w:val="single" w:sz="8" w:color="auto"/>
            </w:tcBorders>
            <w:gridSpan w:val="2"/>
          </w:tcPr>
          <w:p>
            <w:pPr>
              <w:jc w:val="right"/>
              <w:ind w:right="54"/>
              <w:spacing w:after="0" w:line="142" w:lineRule="exact"/>
              <w:rPr>
                <w:sz w:val="20"/>
                <w:szCs w:val="20"/>
                <w:color w:val="auto"/>
              </w:rPr>
            </w:pPr>
            <w:r>
              <w:rPr>
                <w:rFonts w:ascii="Arial" w:cs="Arial" w:eastAsia="Arial" w:hAnsi="Arial"/>
                <w:sz w:val="14"/>
                <w:szCs w:val="14"/>
                <w:b w:val="1"/>
                <w:bCs w:val="1"/>
                <w:color w:val="auto"/>
              </w:rPr>
              <w:t>2016</w:t>
            </w:r>
          </w:p>
        </w:tc>
        <w:tc>
          <w:tcPr>
            <w:tcW w:w="240" w:type="dxa"/>
            <w:vAlign w:val="bottom"/>
            <w:tcBorders>
              <w:bottom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114"/>
              <w:spacing w:after="0" w:line="142" w:lineRule="exact"/>
              <w:rPr>
                <w:sz w:val="20"/>
                <w:szCs w:val="20"/>
                <w:color w:val="auto"/>
              </w:rPr>
            </w:pPr>
            <w:r>
              <w:rPr>
                <w:rFonts w:ascii="Arial" w:cs="Arial" w:eastAsia="Arial" w:hAnsi="Arial"/>
                <w:sz w:val="14"/>
                <w:szCs w:val="14"/>
                <w:b w:val="1"/>
                <w:bCs w:val="1"/>
                <w:color w:val="auto"/>
              </w:rPr>
              <w:t>2017</w:t>
            </w:r>
          </w:p>
        </w:tc>
        <w:tc>
          <w:tcPr>
            <w:tcW w:w="400" w:type="dxa"/>
            <w:vAlign w:val="bottom"/>
            <w:tcBorders>
              <w:top w:val="single" w:sz="8" w:color="auto"/>
              <w:bottom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111"/>
              <w:spacing w:after="0" w:line="142" w:lineRule="exact"/>
              <w:rPr>
                <w:sz w:val="20"/>
                <w:szCs w:val="20"/>
                <w:color w:val="auto"/>
              </w:rPr>
            </w:pPr>
            <w:r>
              <w:rPr>
                <w:rFonts w:ascii="Arial" w:cs="Arial" w:eastAsia="Arial" w:hAnsi="Arial"/>
                <w:sz w:val="14"/>
                <w:szCs w:val="14"/>
                <w:b w:val="1"/>
                <w:bCs w:val="1"/>
                <w:color w:val="auto"/>
              </w:rPr>
              <w:t>2016</w:t>
            </w:r>
          </w:p>
        </w:tc>
        <w:tc>
          <w:tcPr>
            <w:tcW w:w="10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66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080" w:type="dxa"/>
            <w:vAlign w:val="bottom"/>
            <w:gridSpan w:val="6"/>
          </w:tcPr>
          <w:p>
            <w:pPr>
              <w:jc w:val="right"/>
              <w:ind w:right="400"/>
              <w:spacing w:after="0" w:line="142" w:lineRule="exact"/>
              <w:rPr>
                <w:sz w:val="20"/>
                <w:szCs w:val="20"/>
                <w:color w:val="auto"/>
              </w:rPr>
            </w:pPr>
            <w:r>
              <w:rPr>
                <w:rFonts w:ascii="Arial" w:cs="Arial" w:eastAsia="Arial" w:hAnsi="Arial"/>
                <w:sz w:val="14"/>
                <w:szCs w:val="14"/>
                <w:b w:val="1"/>
                <w:bCs w:val="1"/>
                <w:color w:val="auto"/>
                <w:w w:val="96"/>
              </w:rPr>
              <w:t>(Unaudited, in thousands)</w:t>
            </w: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r>
      <w:tr>
        <w:trPr>
          <w:trHeight w:val="216"/>
        </w:trPr>
        <w:tc>
          <w:tcPr>
            <w:tcW w:w="20" w:type="dxa"/>
            <w:vAlign w:val="bottom"/>
          </w:tcPr>
          <w:p>
            <w:pPr>
              <w:spacing w:after="0"/>
              <w:rPr>
                <w:sz w:val="18"/>
                <w:szCs w:val="18"/>
                <w:color w:val="auto"/>
              </w:rPr>
            </w:pPr>
          </w:p>
        </w:tc>
        <w:tc>
          <w:tcPr>
            <w:tcW w:w="6600" w:type="dxa"/>
            <w:vAlign w:val="bottom"/>
            <w:shd w:val="clear" w:color="auto" w:fill="CCEEFF"/>
          </w:tcPr>
          <w:p>
            <w:pPr>
              <w:spacing w:after="0"/>
              <w:rPr>
                <w:sz w:val="20"/>
                <w:szCs w:val="20"/>
                <w:color w:val="auto"/>
              </w:rPr>
            </w:pPr>
            <w:r>
              <w:rPr>
                <w:rFonts w:ascii="Arial" w:cs="Arial" w:eastAsia="Arial" w:hAnsi="Arial"/>
                <w:sz w:val="18"/>
                <w:szCs w:val="18"/>
                <w:color w:val="auto"/>
              </w:rPr>
              <w:t>Net income</w:t>
            </w:r>
          </w:p>
        </w:tc>
        <w:tc>
          <w:tcPr>
            <w:tcW w:w="60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w w:val="86"/>
              </w:rPr>
              <w:t>$39,847</w:t>
            </w:r>
          </w:p>
        </w:tc>
        <w:tc>
          <w:tcPr>
            <w:tcW w:w="220" w:type="dxa"/>
            <w:vAlign w:val="bottom"/>
            <w:shd w:val="clear" w:color="auto" w:fill="CCEEFF"/>
          </w:tcPr>
          <w:p>
            <w:pPr>
              <w:spacing w:after="0"/>
              <w:rPr>
                <w:sz w:val="18"/>
                <w:szCs w:val="18"/>
                <w:color w:val="auto"/>
              </w:rPr>
            </w:pPr>
          </w:p>
        </w:tc>
        <w:tc>
          <w:tcPr>
            <w:tcW w:w="100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$27,626</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95,759</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71,291</w:t>
            </w:r>
          </w:p>
        </w:tc>
      </w:tr>
      <w:tr>
        <w:trPr>
          <w:trHeight w:val="216"/>
        </w:trPr>
        <w:tc>
          <w:tcPr>
            <w:tcW w:w="20" w:type="dxa"/>
            <w:vAlign w:val="bottom"/>
          </w:tcPr>
          <w:p>
            <w:pPr>
              <w:spacing w:after="0"/>
              <w:rPr>
                <w:sz w:val="18"/>
                <w:szCs w:val="18"/>
                <w:color w:val="auto"/>
              </w:rPr>
            </w:pPr>
          </w:p>
        </w:tc>
        <w:tc>
          <w:tcPr>
            <w:tcW w:w="6600" w:type="dxa"/>
            <w:vAlign w:val="bottom"/>
          </w:tcPr>
          <w:p>
            <w:pPr>
              <w:spacing w:after="0"/>
              <w:rPr>
                <w:sz w:val="20"/>
                <w:szCs w:val="20"/>
                <w:color w:val="auto"/>
              </w:rPr>
            </w:pPr>
            <w:r>
              <w:rPr>
                <w:rFonts w:ascii="Arial" w:cs="Arial" w:eastAsia="Arial" w:hAnsi="Arial"/>
                <w:sz w:val="18"/>
                <w:szCs w:val="18"/>
                <w:color w:val="auto"/>
              </w:rPr>
              <w:t>Plus: interest expense</w:t>
            </w:r>
          </w:p>
        </w:tc>
        <w:tc>
          <w:tcPr>
            <w:tcW w:w="600" w:type="dxa"/>
            <w:vAlign w:val="bottom"/>
            <w:gridSpan w:val="3"/>
          </w:tcPr>
          <w:p>
            <w:pPr>
              <w:jc w:val="right"/>
              <w:ind w:right="20"/>
              <w:spacing w:after="0"/>
              <w:rPr>
                <w:sz w:val="20"/>
                <w:szCs w:val="20"/>
                <w:color w:val="auto"/>
              </w:rPr>
            </w:pPr>
            <w:r>
              <w:rPr>
                <w:rFonts w:ascii="Arial" w:cs="Arial" w:eastAsia="Arial" w:hAnsi="Arial"/>
                <w:sz w:val="18"/>
                <w:szCs w:val="18"/>
                <w:color w:val="auto"/>
              </w:rPr>
              <w:t>495</w:t>
            </w:r>
          </w:p>
        </w:tc>
        <w:tc>
          <w:tcPr>
            <w:tcW w:w="220" w:type="dxa"/>
            <w:vAlign w:val="bottom"/>
          </w:tcPr>
          <w:p>
            <w:pPr>
              <w:spacing w:after="0"/>
              <w:rPr>
                <w:sz w:val="18"/>
                <w:szCs w:val="18"/>
                <w:color w:val="auto"/>
              </w:rPr>
            </w:pPr>
          </w:p>
        </w:tc>
        <w:tc>
          <w:tcPr>
            <w:tcW w:w="1000" w:type="dxa"/>
            <w:vAlign w:val="bottom"/>
            <w:gridSpan w:val="3"/>
          </w:tcPr>
          <w:p>
            <w:pPr>
              <w:jc w:val="right"/>
              <w:ind w:right="240"/>
              <w:spacing w:after="0"/>
              <w:rPr>
                <w:sz w:val="20"/>
                <w:szCs w:val="20"/>
                <w:color w:val="auto"/>
              </w:rPr>
            </w:pPr>
            <w:r>
              <w:rPr>
                <w:rFonts w:ascii="Arial" w:cs="Arial" w:eastAsia="Arial" w:hAnsi="Arial"/>
                <w:sz w:val="18"/>
                <w:szCs w:val="18"/>
                <w:color w:val="auto"/>
              </w:rPr>
              <w:t>158</w:t>
            </w: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1,075</w:t>
            </w: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487</w:t>
            </w:r>
          </w:p>
        </w:tc>
      </w:tr>
      <w:tr>
        <w:trPr>
          <w:trHeight w:val="216"/>
        </w:trPr>
        <w:tc>
          <w:tcPr>
            <w:tcW w:w="20" w:type="dxa"/>
            <w:vAlign w:val="bottom"/>
          </w:tcPr>
          <w:p>
            <w:pPr>
              <w:spacing w:after="0"/>
              <w:rPr>
                <w:sz w:val="18"/>
                <w:szCs w:val="18"/>
                <w:color w:val="auto"/>
              </w:rPr>
            </w:pPr>
          </w:p>
        </w:tc>
        <w:tc>
          <w:tcPr>
            <w:tcW w:w="6600" w:type="dxa"/>
            <w:vAlign w:val="bottom"/>
            <w:shd w:val="clear" w:color="auto" w:fill="CCEEFF"/>
          </w:tcPr>
          <w:p>
            <w:pPr>
              <w:spacing w:after="0"/>
              <w:rPr>
                <w:sz w:val="20"/>
                <w:szCs w:val="20"/>
                <w:color w:val="auto"/>
              </w:rPr>
            </w:pPr>
            <w:r>
              <w:rPr>
                <w:rFonts w:ascii="Arial" w:cs="Arial" w:eastAsia="Arial" w:hAnsi="Arial"/>
                <w:sz w:val="18"/>
                <w:szCs w:val="18"/>
                <w:color w:val="auto"/>
              </w:rPr>
              <w:t>Less: interest income and other</w:t>
            </w:r>
          </w:p>
        </w:tc>
        <w:tc>
          <w:tcPr>
            <w:tcW w:w="820" w:type="dxa"/>
            <w:vAlign w:val="bottom"/>
            <w:gridSpan w:val="4"/>
            <w:shd w:val="clear" w:color="auto" w:fill="CCEEFF"/>
          </w:tcPr>
          <w:p>
            <w:pPr>
              <w:jc w:val="right"/>
              <w:ind w:right="180"/>
              <w:spacing w:after="0"/>
              <w:rPr>
                <w:sz w:val="20"/>
                <w:szCs w:val="20"/>
                <w:color w:val="auto"/>
              </w:rPr>
            </w:pPr>
            <w:r>
              <w:rPr>
                <w:rFonts w:ascii="Arial" w:cs="Arial" w:eastAsia="Arial" w:hAnsi="Arial"/>
                <w:sz w:val="18"/>
                <w:szCs w:val="18"/>
                <w:color w:val="auto"/>
              </w:rPr>
              <w:t>(739)</w:t>
            </w:r>
          </w:p>
        </w:tc>
        <w:tc>
          <w:tcPr>
            <w:tcW w:w="100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(293)</w:t>
            </w: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(741)</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(2,341)</w:t>
            </w:r>
          </w:p>
        </w:tc>
      </w:tr>
      <w:tr>
        <w:trPr>
          <w:trHeight w:val="216"/>
        </w:trPr>
        <w:tc>
          <w:tcPr>
            <w:tcW w:w="20" w:type="dxa"/>
            <w:vAlign w:val="bottom"/>
          </w:tcPr>
          <w:p>
            <w:pPr>
              <w:spacing w:after="0"/>
              <w:rPr>
                <w:sz w:val="18"/>
                <w:szCs w:val="18"/>
                <w:color w:val="auto"/>
              </w:rPr>
            </w:pPr>
          </w:p>
        </w:tc>
        <w:tc>
          <w:tcPr>
            <w:tcW w:w="6600" w:type="dxa"/>
            <w:vAlign w:val="bottom"/>
          </w:tcPr>
          <w:p>
            <w:pPr>
              <w:spacing w:after="0"/>
              <w:rPr>
                <w:sz w:val="20"/>
                <w:szCs w:val="20"/>
                <w:color w:val="auto"/>
              </w:rPr>
            </w:pPr>
            <w:r>
              <w:rPr>
                <w:rFonts w:ascii="Arial" w:cs="Arial" w:eastAsia="Arial" w:hAnsi="Arial"/>
                <w:sz w:val="18"/>
                <w:szCs w:val="18"/>
                <w:color w:val="auto"/>
              </w:rPr>
              <w:t>Plus: income tax expense</w:t>
            </w:r>
          </w:p>
        </w:tc>
        <w:tc>
          <w:tcPr>
            <w:tcW w:w="600" w:type="dxa"/>
            <w:vAlign w:val="bottom"/>
            <w:gridSpan w:val="3"/>
          </w:tcPr>
          <w:p>
            <w:pPr>
              <w:jc w:val="right"/>
              <w:ind w:right="20"/>
              <w:spacing w:after="0"/>
              <w:rPr>
                <w:sz w:val="20"/>
                <w:szCs w:val="20"/>
                <w:color w:val="auto"/>
              </w:rPr>
            </w:pPr>
            <w:r>
              <w:rPr>
                <w:rFonts w:ascii="Arial" w:cs="Arial" w:eastAsia="Arial" w:hAnsi="Arial"/>
                <w:sz w:val="18"/>
                <w:szCs w:val="18"/>
                <w:color w:val="auto"/>
              </w:rPr>
              <w:t>15,485</w:t>
            </w:r>
          </w:p>
        </w:tc>
        <w:tc>
          <w:tcPr>
            <w:tcW w:w="220" w:type="dxa"/>
            <w:vAlign w:val="bottom"/>
          </w:tcPr>
          <w:p>
            <w:pPr>
              <w:spacing w:after="0"/>
              <w:rPr>
                <w:sz w:val="18"/>
                <w:szCs w:val="18"/>
                <w:color w:val="auto"/>
              </w:rPr>
            </w:pPr>
          </w:p>
        </w:tc>
        <w:tc>
          <w:tcPr>
            <w:tcW w:w="1000" w:type="dxa"/>
            <w:vAlign w:val="bottom"/>
            <w:gridSpan w:val="3"/>
          </w:tcPr>
          <w:p>
            <w:pPr>
              <w:jc w:val="right"/>
              <w:ind w:right="240"/>
              <w:spacing w:after="0"/>
              <w:rPr>
                <w:sz w:val="20"/>
                <w:szCs w:val="20"/>
                <w:color w:val="auto"/>
              </w:rPr>
            </w:pPr>
            <w:r>
              <w:rPr>
                <w:rFonts w:ascii="Arial" w:cs="Arial" w:eastAsia="Arial" w:hAnsi="Arial"/>
                <w:sz w:val="18"/>
                <w:szCs w:val="18"/>
                <w:color w:val="auto"/>
              </w:rPr>
              <w:t>17,257</w:t>
            </w: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0" w:type="dxa"/>
            <w:vAlign w:val="bottom"/>
            <w:gridSpan w:val="2"/>
          </w:tcPr>
          <w:p>
            <w:pPr>
              <w:jc w:val="right"/>
              <w:ind w:right="400"/>
              <w:spacing w:after="0"/>
              <w:rPr>
                <w:sz w:val="20"/>
                <w:szCs w:val="20"/>
                <w:color w:val="auto"/>
              </w:rPr>
            </w:pPr>
            <w:r>
              <w:rPr>
                <w:rFonts w:ascii="Arial" w:cs="Arial" w:eastAsia="Arial" w:hAnsi="Arial"/>
                <w:sz w:val="18"/>
                <w:szCs w:val="18"/>
                <w:color w:val="auto"/>
              </w:rPr>
              <w:t>35,623</w:t>
            </w: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44,002</w:t>
            </w:r>
          </w:p>
        </w:tc>
      </w:tr>
      <w:tr>
        <w:trPr>
          <w:trHeight w:val="216"/>
        </w:trPr>
        <w:tc>
          <w:tcPr>
            <w:tcW w:w="20" w:type="dxa"/>
            <w:vAlign w:val="bottom"/>
          </w:tcPr>
          <w:p>
            <w:pPr>
              <w:spacing w:after="0"/>
              <w:rPr>
                <w:sz w:val="18"/>
                <w:szCs w:val="18"/>
                <w:color w:val="auto"/>
              </w:rPr>
            </w:pPr>
          </w:p>
        </w:tc>
        <w:tc>
          <w:tcPr>
            <w:tcW w:w="6600" w:type="dxa"/>
            <w:vAlign w:val="bottom"/>
            <w:shd w:val="clear" w:color="auto" w:fill="CCEEFF"/>
          </w:tcPr>
          <w:p>
            <w:pPr>
              <w:spacing w:after="0"/>
              <w:rPr>
                <w:sz w:val="20"/>
                <w:szCs w:val="20"/>
                <w:color w:val="auto"/>
              </w:rPr>
            </w:pPr>
            <w:r>
              <w:rPr>
                <w:rFonts w:ascii="Arial" w:cs="Arial" w:eastAsia="Arial" w:hAnsi="Arial"/>
                <w:sz w:val="18"/>
                <w:szCs w:val="18"/>
                <w:color w:val="auto"/>
              </w:rPr>
              <w:t>Plus: depreciation and amortization</w:t>
            </w:r>
          </w:p>
        </w:tc>
        <w:tc>
          <w:tcPr>
            <w:tcW w:w="60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13,515</w:t>
            </w:r>
          </w:p>
        </w:tc>
        <w:tc>
          <w:tcPr>
            <w:tcW w:w="220" w:type="dxa"/>
            <w:vAlign w:val="bottom"/>
            <w:shd w:val="clear" w:color="auto" w:fill="CCEEFF"/>
          </w:tcPr>
          <w:p>
            <w:pPr>
              <w:spacing w:after="0"/>
              <w:rPr>
                <w:sz w:val="18"/>
                <w:szCs w:val="18"/>
                <w:color w:val="auto"/>
              </w:rPr>
            </w:pPr>
          </w:p>
        </w:tc>
        <w:tc>
          <w:tcPr>
            <w:tcW w:w="100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10,704</w:t>
            </w: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26,708</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21,097</w:t>
            </w:r>
          </w:p>
        </w:tc>
      </w:tr>
      <w:tr>
        <w:trPr>
          <w:trHeight w:val="230"/>
        </w:trPr>
        <w:tc>
          <w:tcPr>
            <w:tcW w:w="20" w:type="dxa"/>
            <w:vAlign w:val="bottom"/>
          </w:tcPr>
          <w:p>
            <w:pPr>
              <w:spacing w:after="0"/>
              <w:rPr>
                <w:sz w:val="20"/>
                <w:szCs w:val="20"/>
                <w:color w:val="auto"/>
              </w:rPr>
            </w:pPr>
          </w:p>
        </w:tc>
        <w:tc>
          <w:tcPr>
            <w:tcW w:w="6600" w:type="dxa"/>
            <w:vAlign w:val="bottom"/>
          </w:tcPr>
          <w:p>
            <w:pPr>
              <w:ind w:left="340"/>
              <w:spacing w:after="0"/>
              <w:rPr>
                <w:sz w:val="20"/>
                <w:szCs w:val="20"/>
                <w:color w:val="auto"/>
              </w:rPr>
            </w:pPr>
            <w:r>
              <w:rPr>
                <w:rFonts w:ascii="Arial" w:cs="Arial" w:eastAsia="Arial" w:hAnsi="Arial"/>
                <w:sz w:val="18"/>
                <w:szCs w:val="18"/>
                <w:color w:val="auto"/>
              </w:rPr>
              <w:t>EBITDA</w:t>
            </w:r>
          </w:p>
        </w:tc>
        <w:tc>
          <w:tcPr>
            <w:tcW w:w="20" w:type="dxa"/>
            <w:vAlign w:val="bottom"/>
          </w:tcPr>
          <w:p>
            <w:pPr>
              <w:spacing w:after="0"/>
              <w:rPr>
                <w:sz w:val="20"/>
                <w:szCs w:val="20"/>
                <w:color w:val="auto"/>
              </w:rPr>
            </w:pP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68,603</w:t>
            </w:r>
          </w:p>
        </w:tc>
        <w:tc>
          <w:tcPr>
            <w:tcW w:w="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55,452</w:t>
            </w:r>
          </w:p>
        </w:tc>
        <w:tc>
          <w:tcPr>
            <w:tcW w:w="2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158,424</w:t>
            </w:r>
          </w:p>
        </w:tc>
        <w:tc>
          <w:tcPr>
            <w:tcW w:w="40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134,536</w:t>
            </w:r>
          </w:p>
        </w:tc>
        <w:tc>
          <w:tcPr>
            <w:tcW w:w="10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6600" w:type="dxa"/>
            <w:vAlign w:val="bottom"/>
            <w:shd w:val="clear" w:color="auto" w:fill="CCEEFF"/>
          </w:tcPr>
          <w:p>
            <w:pPr>
              <w:spacing w:after="0"/>
              <w:rPr>
                <w:sz w:val="20"/>
                <w:szCs w:val="20"/>
                <w:color w:val="auto"/>
              </w:rPr>
            </w:pPr>
            <w:r>
              <w:rPr>
                <w:rFonts w:ascii="Arial" w:cs="Arial" w:eastAsia="Arial" w:hAnsi="Arial"/>
                <w:sz w:val="18"/>
                <w:szCs w:val="18"/>
                <w:color w:val="auto"/>
              </w:rPr>
              <w:t>Plus: royalty to former owner</w:t>
            </w:r>
          </w:p>
        </w:tc>
        <w:tc>
          <w:tcPr>
            <w:tcW w:w="60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74</w:t>
            </w:r>
          </w:p>
        </w:tc>
        <w:tc>
          <w:tcPr>
            <w:tcW w:w="220" w:type="dxa"/>
            <w:vAlign w:val="bottom"/>
            <w:shd w:val="clear" w:color="auto" w:fill="CCEEFF"/>
          </w:tcPr>
          <w:p>
            <w:pPr>
              <w:spacing w:after="0"/>
              <w:rPr>
                <w:sz w:val="18"/>
                <w:szCs w:val="18"/>
                <w:color w:val="auto"/>
              </w:rPr>
            </w:pPr>
          </w:p>
        </w:tc>
        <w:tc>
          <w:tcPr>
            <w:tcW w:w="100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74</w:t>
            </w: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148</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148</w:t>
            </w:r>
          </w:p>
        </w:tc>
      </w:tr>
      <w:tr>
        <w:trPr>
          <w:trHeight w:val="216"/>
        </w:trPr>
        <w:tc>
          <w:tcPr>
            <w:tcW w:w="20" w:type="dxa"/>
            <w:vAlign w:val="bottom"/>
          </w:tcPr>
          <w:p>
            <w:pPr>
              <w:spacing w:after="0"/>
              <w:rPr>
                <w:sz w:val="18"/>
                <w:szCs w:val="18"/>
                <w:color w:val="auto"/>
              </w:rPr>
            </w:pPr>
          </w:p>
        </w:tc>
        <w:tc>
          <w:tcPr>
            <w:tcW w:w="6600" w:type="dxa"/>
            <w:vAlign w:val="bottom"/>
          </w:tcPr>
          <w:p>
            <w:pPr>
              <w:spacing w:after="0"/>
              <w:rPr>
                <w:sz w:val="20"/>
                <w:szCs w:val="20"/>
                <w:color w:val="auto"/>
              </w:rPr>
            </w:pPr>
            <w:r>
              <w:rPr>
                <w:rFonts w:ascii="Arial" w:cs="Arial" w:eastAsia="Arial" w:hAnsi="Arial"/>
                <w:sz w:val="18"/>
                <w:szCs w:val="18"/>
                <w:color w:val="auto"/>
              </w:rPr>
              <w:t>Plus: asset impairment and other fixed asset write-offs</w:t>
            </w:r>
          </w:p>
        </w:tc>
        <w:tc>
          <w:tcPr>
            <w:tcW w:w="600" w:type="dxa"/>
            <w:vAlign w:val="bottom"/>
            <w:gridSpan w:val="3"/>
          </w:tcPr>
          <w:p>
            <w:pPr>
              <w:jc w:val="right"/>
              <w:ind w:right="20"/>
              <w:spacing w:after="0"/>
              <w:rPr>
                <w:sz w:val="20"/>
                <w:szCs w:val="20"/>
                <w:color w:val="auto"/>
              </w:rPr>
            </w:pPr>
            <w:r>
              <w:rPr>
                <w:rFonts w:ascii="Arial" w:cs="Arial" w:eastAsia="Arial" w:hAnsi="Arial"/>
                <w:sz w:val="18"/>
                <w:szCs w:val="18"/>
                <w:color w:val="auto"/>
              </w:rPr>
              <w:t>92</w:t>
            </w:r>
          </w:p>
        </w:tc>
        <w:tc>
          <w:tcPr>
            <w:tcW w:w="220" w:type="dxa"/>
            <w:vAlign w:val="bottom"/>
          </w:tcPr>
          <w:p>
            <w:pPr>
              <w:spacing w:after="0"/>
              <w:rPr>
                <w:sz w:val="18"/>
                <w:szCs w:val="18"/>
                <w:color w:val="auto"/>
              </w:rPr>
            </w:pPr>
          </w:p>
        </w:tc>
        <w:tc>
          <w:tcPr>
            <w:tcW w:w="1000" w:type="dxa"/>
            <w:vAlign w:val="bottom"/>
            <w:gridSpan w:val="3"/>
          </w:tcPr>
          <w:p>
            <w:pPr>
              <w:jc w:val="right"/>
              <w:ind w:right="240"/>
              <w:spacing w:after="0"/>
              <w:rPr>
                <w:sz w:val="20"/>
                <w:szCs w:val="20"/>
                <w:color w:val="auto"/>
              </w:rPr>
            </w:pPr>
            <w:r>
              <w:rPr>
                <w:rFonts w:ascii="Arial" w:cs="Arial" w:eastAsia="Arial" w:hAnsi="Arial"/>
                <w:sz w:val="18"/>
                <w:szCs w:val="18"/>
                <w:color w:val="auto"/>
              </w:rPr>
              <w:t>12</w:t>
            </w: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0" w:type="dxa"/>
            <w:vAlign w:val="bottom"/>
            <w:gridSpan w:val="2"/>
          </w:tcPr>
          <w:p>
            <w:pPr>
              <w:jc w:val="right"/>
              <w:ind w:right="400"/>
              <w:spacing w:after="0"/>
              <w:rPr>
                <w:sz w:val="20"/>
                <w:szCs w:val="20"/>
                <w:color w:val="auto"/>
              </w:rPr>
            </w:pPr>
            <w:r>
              <w:rPr>
                <w:rFonts w:ascii="Arial" w:cs="Arial" w:eastAsia="Arial" w:hAnsi="Arial"/>
                <w:sz w:val="18"/>
                <w:szCs w:val="18"/>
                <w:color w:val="auto"/>
              </w:rPr>
              <w:t>214</w:t>
            </w: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67</w:t>
            </w:r>
          </w:p>
        </w:tc>
      </w:tr>
      <w:tr>
        <w:trPr>
          <w:trHeight w:val="216"/>
        </w:trPr>
        <w:tc>
          <w:tcPr>
            <w:tcW w:w="20" w:type="dxa"/>
            <w:vAlign w:val="bottom"/>
          </w:tcPr>
          <w:p>
            <w:pPr>
              <w:spacing w:after="0"/>
              <w:rPr>
                <w:sz w:val="18"/>
                <w:szCs w:val="18"/>
                <w:color w:val="auto"/>
              </w:rPr>
            </w:pPr>
          </w:p>
        </w:tc>
        <w:tc>
          <w:tcPr>
            <w:tcW w:w="6600" w:type="dxa"/>
            <w:vAlign w:val="bottom"/>
            <w:shd w:val="clear" w:color="auto" w:fill="CCEEFF"/>
          </w:tcPr>
          <w:p>
            <w:pPr>
              <w:spacing w:after="0"/>
              <w:rPr>
                <w:sz w:val="20"/>
                <w:szCs w:val="20"/>
                <w:color w:val="auto"/>
              </w:rPr>
            </w:pPr>
            <w:r>
              <w:rPr>
                <w:rFonts w:ascii="Arial" w:cs="Arial" w:eastAsia="Arial" w:hAnsi="Arial"/>
                <w:sz w:val="18"/>
                <w:szCs w:val="18"/>
                <w:color w:val="auto"/>
              </w:rPr>
              <w:t>Plus: costs related to proposed conversion back to a non-profit status</w:t>
            </w:r>
          </w:p>
        </w:tc>
        <w:tc>
          <w:tcPr>
            <w:tcW w:w="20" w:type="dxa"/>
            <w:vAlign w:val="bottom"/>
            <w:shd w:val="clear" w:color="auto" w:fill="CCEEFF"/>
          </w:tcPr>
          <w:p>
            <w:pPr>
              <w:spacing w:after="0"/>
              <w:rPr>
                <w:sz w:val="18"/>
                <w:szCs w:val="18"/>
                <w:color w:val="auto"/>
              </w:rPr>
            </w:pPr>
          </w:p>
        </w:tc>
        <w:tc>
          <w:tcPr>
            <w:tcW w:w="80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100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(31)</w:t>
            </w: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1,136</w:t>
            </w:r>
          </w:p>
        </w:tc>
      </w:tr>
      <w:tr>
        <w:trPr>
          <w:trHeight w:val="216"/>
        </w:trPr>
        <w:tc>
          <w:tcPr>
            <w:tcW w:w="20" w:type="dxa"/>
            <w:vAlign w:val="bottom"/>
          </w:tcPr>
          <w:p>
            <w:pPr>
              <w:spacing w:after="0"/>
              <w:rPr>
                <w:sz w:val="18"/>
                <w:szCs w:val="18"/>
                <w:color w:val="auto"/>
              </w:rPr>
            </w:pPr>
          </w:p>
        </w:tc>
        <w:tc>
          <w:tcPr>
            <w:tcW w:w="6600" w:type="dxa"/>
            <w:vAlign w:val="bottom"/>
          </w:tcPr>
          <w:p>
            <w:pPr>
              <w:spacing w:after="0"/>
              <w:rPr>
                <w:sz w:val="20"/>
                <w:szCs w:val="20"/>
                <w:color w:val="auto"/>
              </w:rPr>
            </w:pPr>
            <w:r>
              <w:rPr>
                <w:rFonts w:ascii="Arial" w:cs="Arial" w:eastAsia="Arial" w:hAnsi="Arial"/>
                <w:sz w:val="18"/>
                <w:szCs w:val="18"/>
                <w:color w:val="auto"/>
              </w:rPr>
              <w:t>Plus: estimated litigation and regulatory reserves</w:t>
            </w:r>
          </w:p>
        </w:tc>
        <w:tc>
          <w:tcPr>
            <w:tcW w:w="600" w:type="dxa"/>
            <w:vAlign w:val="bottom"/>
            <w:gridSpan w:val="3"/>
          </w:tcPr>
          <w:p>
            <w:pPr>
              <w:jc w:val="right"/>
              <w:ind w:right="20"/>
              <w:spacing w:after="0"/>
              <w:rPr>
                <w:sz w:val="20"/>
                <w:szCs w:val="20"/>
                <w:color w:val="auto"/>
              </w:rPr>
            </w:pPr>
            <w:r>
              <w:rPr>
                <w:rFonts w:ascii="Arial" w:cs="Arial" w:eastAsia="Arial" w:hAnsi="Arial"/>
                <w:sz w:val="18"/>
                <w:szCs w:val="18"/>
                <w:color w:val="auto"/>
              </w:rPr>
              <w:t>10</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10</w:t>
            </w: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6600" w:type="dxa"/>
            <w:vAlign w:val="bottom"/>
            <w:shd w:val="clear" w:color="auto" w:fill="CCEEFF"/>
          </w:tcPr>
          <w:p>
            <w:pPr>
              <w:spacing w:after="0"/>
              <w:rPr>
                <w:sz w:val="20"/>
                <w:szCs w:val="20"/>
                <w:color w:val="auto"/>
              </w:rPr>
            </w:pPr>
            <w:r>
              <w:rPr>
                <w:rFonts w:ascii="Arial" w:cs="Arial" w:eastAsia="Arial" w:hAnsi="Arial"/>
                <w:sz w:val="18"/>
                <w:szCs w:val="18"/>
                <w:color w:val="auto"/>
              </w:rPr>
              <w:t>Plus: share-based compensation</w:t>
            </w:r>
          </w:p>
        </w:tc>
        <w:tc>
          <w:tcPr>
            <w:tcW w:w="60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3,298</w:t>
            </w:r>
          </w:p>
        </w:tc>
        <w:tc>
          <w:tcPr>
            <w:tcW w:w="220" w:type="dxa"/>
            <w:vAlign w:val="bottom"/>
            <w:shd w:val="clear" w:color="auto" w:fill="CCEEFF"/>
          </w:tcPr>
          <w:p>
            <w:pPr>
              <w:spacing w:after="0"/>
              <w:rPr>
                <w:sz w:val="18"/>
                <w:szCs w:val="18"/>
                <w:color w:val="auto"/>
              </w:rPr>
            </w:pPr>
          </w:p>
        </w:tc>
        <w:tc>
          <w:tcPr>
            <w:tcW w:w="100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2,933</w:t>
            </w: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6,229</w:t>
            </w: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5,831</w:t>
            </w:r>
          </w:p>
        </w:tc>
      </w:tr>
      <w:tr>
        <w:trPr>
          <w:trHeight w:val="223"/>
        </w:trPr>
        <w:tc>
          <w:tcPr>
            <w:tcW w:w="6620" w:type="dxa"/>
            <w:vAlign w:val="bottom"/>
            <w:gridSpan w:val="2"/>
          </w:tcPr>
          <w:p>
            <w:pPr>
              <w:spacing w:after="0"/>
              <w:rPr>
                <w:sz w:val="20"/>
                <w:szCs w:val="20"/>
                <w:color w:val="auto"/>
              </w:rPr>
            </w:pPr>
            <w:r>
              <w:rPr>
                <w:rFonts w:ascii="Arial" w:cs="Arial" w:eastAsia="Arial" w:hAnsi="Arial"/>
                <w:sz w:val="18"/>
                <w:szCs w:val="18"/>
                <w:color w:val="auto"/>
              </w:rPr>
              <w:t>Adjusted EBITDA</w:t>
            </w:r>
          </w:p>
        </w:tc>
        <w:tc>
          <w:tcPr>
            <w:tcW w:w="20" w:type="dxa"/>
            <w:vAlign w:val="bottom"/>
            <w:tcBorders>
              <w:bottom w:val="single" w:sz="8" w:color="auto"/>
            </w:tcBorders>
          </w:tcPr>
          <w:p>
            <w:pPr>
              <w:spacing w:after="0"/>
              <w:rPr>
                <w:sz w:val="19"/>
                <w:szCs w:val="19"/>
                <w:color w:val="auto"/>
              </w:rPr>
            </w:pP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82"/>
              </w:rPr>
              <w:t>$</w:t>
            </w:r>
            <w:r>
              <w:rPr>
                <w:rFonts w:ascii="Arial" w:cs="Arial" w:eastAsia="Arial" w:hAnsi="Arial"/>
                <w:sz w:val="18"/>
                <w:szCs w:val="18"/>
                <w:color w:val="auto"/>
                <w:w w:val="82"/>
              </w:rPr>
              <w:t>72,077</w:t>
            </w:r>
          </w:p>
        </w:tc>
        <w:tc>
          <w:tcPr>
            <w:tcW w:w="20" w:type="dxa"/>
            <w:vAlign w:val="bottom"/>
            <w:tcBorders>
              <w:bottom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58,440</w:t>
            </w:r>
          </w:p>
        </w:tc>
        <w:tc>
          <w:tcPr>
            <w:tcW w:w="2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u w:val="single" w:color="auto"/>
                <w:color w:val="auto"/>
                <w:w w:val="71"/>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165,025</w:t>
            </w:r>
          </w:p>
        </w:tc>
        <w:tc>
          <w:tcPr>
            <w:tcW w:w="40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79"/>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141,718</w:t>
            </w:r>
          </w:p>
        </w:tc>
        <w:tc>
          <w:tcPr>
            <w:tcW w:w="100" w:type="dxa"/>
            <w:vAlign w:val="bottom"/>
          </w:tcPr>
          <w:p>
            <w:pPr>
              <w:spacing w:after="0"/>
              <w:rPr>
                <w:sz w:val="19"/>
                <w:szCs w:val="19"/>
                <w:color w:val="auto"/>
              </w:rPr>
            </w:pPr>
          </w:p>
        </w:tc>
      </w:tr>
      <w:tr>
        <w:trPr>
          <w:trHeight w:val="20"/>
        </w:trPr>
        <w:tc>
          <w:tcPr>
            <w:tcW w:w="20" w:type="dxa"/>
            <w:vAlign w:val="bottom"/>
          </w:tcPr>
          <w:p>
            <w:pPr>
              <w:spacing w:after="0" w:line="20" w:lineRule="exact"/>
              <w:rPr>
                <w:sz w:val="1"/>
                <w:szCs w:val="1"/>
                <w:color w:val="auto"/>
              </w:rPr>
            </w:pPr>
          </w:p>
        </w:tc>
        <w:tc>
          <w:tcPr>
            <w:tcW w:w="66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ectPr>
          <w:pgSz w:w="11900" w:h="16838" w:orient="portrait"/>
          <w:cols w:equalWidth="0" w:num="1">
            <w:col w:w="10960"/>
          </w:cols>
          <w:pgMar w:left="240" w:top="274" w:right="699" w:bottom="1440" w:gutter="0" w:footer="0" w:header="0"/>
        </w:sectPr>
      </w:pPr>
    </w:p>
    <w:bookmarkStart w:id="12" w:name="page13"/>
    <w:bookmarkEnd w:id="12"/>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Grand Canyon Education, Inc. Reports Second Quarter 2017 Results</w:t>
      </w:r>
    </w:p>
    <w:p>
      <w:pPr>
        <w:spacing w:after="0" w:line="158" w:lineRule="exact"/>
        <w:rPr>
          <w:sz w:val="20"/>
          <w:szCs w:val="20"/>
          <w:color w:val="auto"/>
        </w:rPr>
      </w:pPr>
    </w:p>
    <w:p>
      <w:pPr>
        <w:ind w:left="4160"/>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Sheets</w:t>
      </w:r>
    </w:p>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212"/>
        </w:trPr>
        <w:tc>
          <w:tcPr>
            <w:tcW w:w="20" w:type="dxa"/>
            <w:vAlign w:val="bottom"/>
          </w:tcPr>
          <w:p>
            <w:pPr>
              <w:spacing w:after="0"/>
              <w:rPr>
                <w:sz w:val="18"/>
                <w:szCs w:val="18"/>
                <w:color w:val="auto"/>
              </w:rPr>
            </w:pPr>
          </w:p>
        </w:tc>
        <w:tc>
          <w:tcPr>
            <w:tcW w:w="1960" w:type="dxa"/>
            <w:vAlign w:val="bottom"/>
          </w:tcPr>
          <w:p>
            <w:pPr>
              <w:spacing w:after="0"/>
              <w:rPr>
                <w:sz w:val="18"/>
                <w:szCs w:val="18"/>
                <w:color w:val="auto"/>
              </w:rPr>
            </w:pPr>
          </w:p>
        </w:tc>
        <w:tc>
          <w:tcPr>
            <w:tcW w:w="7340" w:type="dxa"/>
            <w:vAlign w:val="bottom"/>
          </w:tcPr>
          <w:p>
            <w:pPr>
              <w:jc w:val="center"/>
              <w:ind w:right="2090"/>
              <w:spacing w:after="0"/>
              <w:rPr>
                <w:sz w:val="20"/>
                <w:szCs w:val="20"/>
                <w:color w:val="auto"/>
              </w:rPr>
            </w:pPr>
            <w:r>
              <w:rPr>
                <w:rFonts w:ascii="Arial" w:cs="Arial" w:eastAsia="Arial" w:hAnsi="Arial"/>
                <w:sz w:val="18"/>
                <w:szCs w:val="18"/>
                <w:b w:val="1"/>
                <w:bCs w:val="1"/>
                <w:color w:val="auto"/>
                <w:w w:val="92"/>
              </w:rPr>
              <w:t>ASSETS:</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92"/>
              </w:rPr>
              <w:t>June 30,</w:t>
            </w:r>
          </w:p>
        </w:tc>
        <w:tc>
          <w:tcPr>
            <w:tcW w:w="940" w:type="dxa"/>
            <w:vAlign w:val="bottom"/>
            <w:gridSpan w:val="3"/>
          </w:tcPr>
          <w:p>
            <w:pPr>
              <w:spacing w:after="0"/>
              <w:rPr>
                <w:sz w:val="20"/>
                <w:szCs w:val="20"/>
                <w:color w:val="auto"/>
              </w:rPr>
            </w:pPr>
            <w:r>
              <w:rPr>
                <w:rFonts w:ascii="Arial" w:cs="Arial" w:eastAsia="Arial" w:hAnsi="Arial"/>
                <w:sz w:val="14"/>
                <w:szCs w:val="14"/>
                <w:b w:val="1"/>
                <w:bCs w:val="1"/>
                <w:color w:val="auto"/>
              </w:rPr>
              <w:t>December 31,</w:t>
            </w:r>
          </w:p>
        </w:tc>
      </w:tr>
      <w:tr>
        <w:trPr>
          <w:trHeight w:val="191"/>
        </w:trPr>
        <w:tc>
          <w:tcPr>
            <w:tcW w:w="9320" w:type="dxa"/>
            <w:vAlign w:val="bottom"/>
            <w:gridSpan w:val="3"/>
          </w:tcPr>
          <w:p>
            <w:pPr>
              <w:spacing w:after="0"/>
              <w:rPr>
                <w:sz w:val="20"/>
                <w:szCs w:val="20"/>
                <w:color w:val="auto"/>
              </w:rPr>
            </w:pPr>
            <w:r>
              <w:rPr>
                <w:rFonts w:ascii="Arial" w:cs="Arial" w:eastAsia="Arial" w:hAnsi="Arial"/>
                <w:sz w:val="14"/>
                <w:szCs w:val="14"/>
                <w:b w:val="1"/>
                <w:bCs w:val="1"/>
                <w:color w:val="auto"/>
              </w:rPr>
              <w:t>(In thousands, except par value)</w:t>
            </w: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40" w:type="dxa"/>
            <w:vAlign w:val="bottom"/>
          </w:tcPr>
          <w:p>
            <w:pPr>
              <w:jc w:val="center"/>
              <w:ind w:right="11"/>
              <w:spacing w:after="0"/>
              <w:rPr>
                <w:sz w:val="20"/>
                <w:szCs w:val="20"/>
                <w:color w:val="auto"/>
              </w:rPr>
            </w:pPr>
            <w:r>
              <w:rPr>
                <w:rFonts w:ascii="Arial" w:cs="Arial" w:eastAsia="Arial" w:hAnsi="Arial"/>
                <w:sz w:val="14"/>
                <w:szCs w:val="14"/>
                <w:b w:val="1"/>
                <w:bCs w:val="1"/>
                <w:color w:val="auto"/>
                <w:w w:val="89"/>
              </w:rPr>
              <w:t>2017</w:t>
            </w:r>
          </w:p>
        </w:tc>
        <w:tc>
          <w:tcPr>
            <w:tcW w:w="3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jc w:val="right"/>
              <w:ind w:right="191"/>
              <w:spacing w:after="0"/>
              <w:rPr>
                <w:sz w:val="20"/>
                <w:szCs w:val="20"/>
                <w:color w:val="auto"/>
              </w:rPr>
            </w:pPr>
            <w:r>
              <w:rPr>
                <w:rFonts w:ascii="Arial" w:cs="Arial" w:eastAsia="Arial" w:hAnsi="Arial"/>
                <w:sz w:val="14"/>
                <w:szCs w:val="14"/>
                <w:b w:val="1"/>
                <w:bCs w:val="1"/>
                <w:color w:val="auto"/>
              </w:rPr>
              <w:t>2016</w:t>
            </w:r>
          </w:p>
        </w:tc>
        <w:tc>
          <w:tcPr>
            <w:tcW w:w="100" w:type="dxa"/>
            <w:vAlign w:val="bottom"/>
          </w:tcPr>
          <w:p>
            <w:pPr>
              <w:spacing w:after="0"/>
              <w:rPr>
                <w:sz w:val="16"/>
                <w:szCs w:val="16"/>
                <w:color w:val="auto"/>
              </w:rPr>
            </w:pPr>
          </w:p>
        </w:tc>
      </w:tr>
      <w:tr>
        <w:trPr>
          <w:trHeight w:val="190"/>
        </w:trPr>
        <w:tc>
          <w:tcPr>
            <w:tcW w:w="1980" w:type="dxa"/>
            <w:vAlign w:val="bottom"/>
            <w:tcBorders>
              <w:top w:val="single" w:sz="8" w:color="auto"/>
            </w:tcBorders>
            <w:gridSpan w:val="2"/>
          </w:tcPr>
          <w:p>
            <w:pPr>
              <w:spacing w:after="0" w:line="189" w:lineRule="exact"/>
              <w:rPr>
                <w:sz w:val="20"/>
                <w:szCs w:val="20"/>
                <w:color w:val="auto"/>
              </w:rPr>
            </w:pPr>
            <w:r>
              <w:rPr>
                <w:rFonts w:ascii="Arial" w:cs="Arial" w:eastAsia="Arial" w:hAnsi="Arial"/>
                <w:sz w:val="18"/>
                <w:szCs w:val="18"/>
                <w:b w:val="1"/>
                <w:bCs w:val="1"/>
                <w:color w:val="auto"/>
              </w:rPr>
              <w:t>Current assets</w:t>
            </w:r>
          </w:p>
        </w:tc>
        <w:tc>
          <w:tcPr>
            <w:tcW w:w="73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20" w:type="dxa"/>
            <w:vAlign w:val="bottom"/>
            <w:tcBorders>
              <w:top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7"/>
              </w:rPr>
              <w:t>(Unaudited)</w:t>
            </w:r>
          </w:p>
        </w:tc>
        <w:tc>
          <w:tcPr>
            <w:tcW w:w="320" w:type="dxa"/>
            <w:vAlign w:val="bottom"/>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740" w:type="dxa"/>
            <w:vAlign w:val="bottom"/>
            <w:tcBorders>
              <w:top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216"/>
        </w:trPr>
        <w:tc>
          <w:tcPr>
            <w:tcW w:w="20" w:type="dxa"/>
            <w:vAlign w:val="bottom"/>
          </w:tcPr>
          <w:p>
            <w:pPr>
              <w:spacing w:after="0"/>
              <w:rPr>
                <w:sz w:val="18"/>
                <w:szCs w:val="18"/>
                <w:color w:val="auto"/>
              </w:rPr>
            </w:pPr>
          </w:p>
        </w:tc>
        <w:tc>
          <w:tcPr>
            <w:tcW w:w="930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Cash and cash equivalents</w:t>
            </w:r>
          </w:p>
        </w:tc>
        <w:tc>
          <w:tcPr>
            <w:tcW w:w="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66,282</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45,976</w:t>
            </w:r>
          </w:p>
        </w:tc>
      </w:tr>
      <w:tr>
        <w:trPr>
          <w:trHeight w:val="216"/>
        </w:trPr>
        <w:tc>
          <w:tcPr>
            <w:tcW w:w="20" w:type="dxa"/>
            <w:vAlign w:val="bottom"/>
          </w:tcPr>
          <w:p>
            <w:pPr>
              <w:spacing w:after="0"/>
              <w:rPr>
                <w:sz w:val="18"/>
                <w:szCs w:val="18"/>
                <w:color w:val="auto"/>
              </w:rPr>
            </w:pPr>
          </w:p>
        </w:tc>
        <w:tc>
          <w:tcPr>
            <w:tcW w:w="9300" w:type="dxa"/>
            <w:vAlign w:val="bottom"/>
            <w:gridSpan w:val="2"/>
          </w:tcPr>
          <w:p>
            <w:pPr>
              <w:ind w:left="340"/>
              <w:spacing w:after="0"/>
              <w:rPr>
                <w:sz w:val="20"/>
                <w:szCs w:val="20"/>
                <w:color w:val="auto"/>
              </w:rPr>
            </w:pPr>
            <w:r>
              <w:rPr>
                <w:rFonts w:ascii="Arial" w:cs="Arial" w:eastAsia="Arial" w:hAnsi="Arial"/>
                <w:sz w:val="18"/>
                <w:szCs w:val="18"/>
                <w:color w:val="auto"/>
              </w:rPr>
              <w:t>Restricted cash and cash equivalents</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gridSpan w:val="2"/>
          </w:tcPr>
          <w:p>
            <w:pPr>
              <w:jc w:val="right"/>
              <w:ind w:right="320"/>
              <w:spacing w:after="0"/>
              <w:rPr>
                <w:sz w:val="20"/>
                <w:szCs w:val="20"/>
                <w:color w:val="auto"/>
              </w:rPr>
            </w:pPr>
            <w:r>
              <w:rPr>
                <w:rFonts w:ascii="Arial" w:cs="Arial" w:eastAsia="Arial" w:hAnsi="Arial"/>
                <w:sz w:val="18"/>
                <w:szCs w:val="18"/>
                <w:color w:val="auto"/>
              </w:rPr>
              <w:t>79,440</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84,931</w:t>
            </w:r>
          </w:p>
        </w:tc>
      </w:tr>
      <w:tr>
        <w:trPr>
          <w:trHeight w:val="216"/>
        </w:trPr>
        <w:tc>
          <w:tcPr>
            <w:tcW w:w="20" w:type="dxa"/>
            <w:vAlign w:val="bottom"/>
          </w:tcPr>
          <w:p>
            <w:pPr>
              <w:spacing w:after="0"/>
              <w:rPr>
                <w:sz w:val="18"/>
                <w:szCs w:val="18"/>
                <w:color w:val="auto"/>
              </w:rPr>
            </w:pPr>
          </w:p>
        </w:tc>
        <w:tc>
          <w:tcPr>
            <w:tcW w:w="930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Investments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89,414</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62,596</w:t>
            </w:r>
          </w:p>
        </w:tc>
      </w:tr>
      <w:tr>
        <w:trPr>
          <w:trHeight w:val="216"/>
        </w:trPr>
        <w:tc>
          <w:tcPr>
            <w:tcW w:w="20" w:type="dxa"/>
            <w:vAlign w:val="bottom"/>
          </w:tcPr>
          <w:p>
            <w:pPr>
              <w:spacing w:after="0"/>
              <w:rPr>
                <w:sz w:val="18"/>
                <w:szCs w:val="18"/>
                <w:color w:val="auto"/>
              </w:rPr>
            </w:pPr>
          </w:p>
        </w:tc>
        <w:tc>
          <w:tcPr>
            <w:tcW w:w="9300" w:type="dxa"/>
            <w:vAlign w:val="bottom"/>
            <w:gridSpan w:val="2"/>
          </w:tcPr>
          <w:p>
            <w:pPr>
              <w:ind w:left="340"/>
              <w:spacing w:after="0"/>
              <w:rPr>
                <w:sz w:val="20"/>
                <w:szCs w:val="20"/>
                <w:color w:val="auto"/>
              </w:rPr>
            </w:pPr>
            <w:r>
              <w:rPr>
                <w:rFonts w:ascii="Arial" w:cs="Arial" w:eastAsia="Arial" w:hAnsi="Arial"/>
                <w:sz w:val="18"/>
                <w:szCs w:val="18"/>
                <w:color w:val="auto"/>
              </w:rPr>
              <w:t>Accounts receivable, net</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gridSpan w:val="2"/>
          </w:tcPr>
          <w:p>
            <w:pPr>
              <w:jc w:val="right"/>
              <w:ind w:right="320"/>
              <w:spacing w:after="0"/>
              <w:rPr>
                <w:sz w:val="20"/>
                <w:szCs w:val="20"/>
                <w:color w:val="auto"/>
              </w:rPr>
            </w:pPr>
            <w:r>
              <w:rPr>
                <w:rFonts w:ascii="Arial" w:cs="Arial" w:eastAsia="Arial" w:hAnsi="Arial"/>
                <w:sz w:val="18"/>
                <w:szCs w:val="18"/>
                <w:color w:val="auto"/>
              </w:rPr>
              <w:t>10,933</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9,999</w:t>
            </w:r>
          </w:p>
        </w:tc>
      </w:tr>
      <w:tr>
        <w:trPr>
          <w:trHeight w:val="216"/>
        </w:trPr>
        <w:tc>
          <w:tcPr>
            <w:tcW w:w="20" w:type="dxa"/>
            <w:vAlign w:val="bottom"/>
          </w:tcPr>
          <w:p>
            <w:pPr>
              <w:spacing w:after="0"/>
              <w:rPr>
                <w:sz w:val="18"/>
                <w:szCs w:val="18"/>
                <w:color w:val="auto"/>
              </w:rPr>
            </w:pPr>
          </w:p>
        </w:tc>
        <w:tc>
          <w:tcPr>
            <w:tcW w:w="930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Income tax receivable</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4,546</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4,686</w:t>
            </w:r>
          </w:p>
        </w:tc>
      </w:tr>
      <w:tr>
        <w:trPr>
          <w:trHeight w:val="223"/>
        </w:trPr>
        <w:tc>
          <w:tcPr>
            <w:tcW w:w="20" w:type="dxa"/>
            <w:vAlign w:val="bottom"/>
          </w:tcPr>
          <w:p>
            <w:pPr>
              <w:spacing w:after="0"/>
              <w:rPr>
                <w:sz w:val="19"/>
                <w:szCs w:val="19"/>
                <w:color w:val="auto"/>
              </w:rPr>
            </w:pPr>
          </w:p>
        </w:tc>
        <w:tc>
          <w:tcPr>
            <w:tcW w:w="9300" w:type="dxa"/>
            <w:vAlign w:val="bottom"/>
            <w:gridSpan w:val="2"/>
          </w:tcPr>
          <w:p>
            <w:pPr>
              <w:ind w:left="340"/>
              <w:spacing w:after="0"/>
              <w:rPr>
                <w:sz w:val="20"/>
                <w:szCs w:val="20"/>
                <w:color w:val="auto"/>
              </w:rPr>
            </w:pPr>
            <w:r>
              <w:rPr>
                <w:rFonts w:ascii="Arial" w:cs="Arial" w:eastAsia="Arial" w:hAnsi="Arial"/>
                <w:sz w:val="18"/>
                <w:szCs w:val="18"/>
                <w:color w:val="auto"/>
              </w:rPr>
              <w:t>Other current assets</w:t>
            </w:r>
          </w:p>
        </w:tc>
        <w:tc>
          <w:tcPr>
            <w:tcW w:w="2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22,156</w:t>
            </w:r>
          </w:p>
        </w:tc>
        <w:tc>
          <w:tcPr>
            <w:tcW w:w="3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21,880</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93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Total current assets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272,771</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230,068</w:t>
            </w:r>
          </w:p>
        </w:tc>
      </w:tr>
      <w:tr>
        <w:trPr>
          <w:trHeight w:val="216"/>
        </w:trPr>
        <w:tc>
          <w:tcPr>
            <w:tcW w:w="20" w:type="dxa"/>
            <w:vAlign w:val="bottom"/>
          </w:tcPr>
          <w:p>
            <w:pPr>
              <w:spacing w:after="0"/>
              <w:rPr>
                <w:sz w:val="18"/>
                <w:szCs w:val="18"/>
                <w:color w:val="auto"/>
              </w:rPr>
            </w:pPr>
          </w:p>
        </w:tc>
        <w:tc>
          <w:tcPr>
            <w:tcW w:w="9300" w:type="dxa"/>
            <w:vAlign w:val="bottom"/>
            <w:gridSpan w:val="2"/>
          </w:tcPr>
          <w:p>
            <w:pPr>
              <w:spacing w:after="0"/>
              <w:rPr>
                <w:sz w:val="20"/>
                <w:szCs w:val="20"/>
                <w:color w:val="auto"/>
              </w:rPr>
            </w:pPr>
            <w:r>
              <w:rPr>
                <w:rFonts w:ascii="Arial" w:cs="Arial" w:eastAsia="Arial" w:hAnsi="Arial"/>
                <w:sz w:val="18"/>
                <w:szCs w:val="18"/>
                <w:color w:val="auto"/>
              </w:rPr>
              <w:t>Property and equipment, net</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gridSpan w:val="2"/>
          </w:tcPr>
          <w:p>
            <w:pPr>
              <w:jc w:val="right"/>
              <w:ind w:right="320"/>
              <w:spacing w:after="0"/>
              <w:rPr>
                <w:sz w:val="20"/>
                <w:szCs w:val="20"/>
                <w:color w:val="auto"/>
              </w:rPr>
            </w:pPr>
            <w:r>
              <w:rPr>
                <w:rFonts w:ascii="Arial" w:cs="Arial" w:eastAsia="Arial" w:hAnsi="Arial"/>
                <w:sz w:val="18"/>
                <w:szCs w:val="18"/>
                <w:color w:val="auto"/>
              </w:rPr>
              <w:t>888,184</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855,528</w:t>
            </w:r>
          </w:p>
        </w:tc>
      </w:tr>
      <w:tr>
        <w:trPr>
          <w:trHeight w:val="216"/>
        </w:trPr>
        <w:tc>
          <w:tcPr>
            <w:tcW w:w="20" w:type="dxa"/>
            <w:vAlign w:val="bottom"/>
          </w:tcPr>
          <w:p>
            <w:pPr>
              <w:spacing w:after="0"/>
              <w:rPr>
                <w:sz w:val="18"/>
                <w:szCs w:val="18"/>
                <w:color w:val="auto"/>
              </w:rPr>
            </w:pPr>
          </w:p>
        </w:tc>
        <w:tc>
          <w:tcPr>
            <w:tcW w:w="9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Prepaid royalties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2,911</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3,059</w:t>
            </w:r>
          </w:p>
        </w:tc>
      </w:tr>
      <w:tr>
        <w:trPr>
          <w:trHeight w:val="216"/>
        </w:trPr>
        <w:tc>
          <w:tcPr>
            <w:tcW w:w="20" w:type="dxa"/>
            <w:vAlign w:val="bottom"/>
          </w:tcPr>
          <w:p>
            <w:pPr>
              <w:spacing w:after="0"/>
              <w:rPr>
                <w:sz w:val="18"/>
                <w:szCs w:val="18"/>
                <w:color w:val="auto"/>
              </w:rPr>
            </w:pPr>
          </w:p>
        </w:tc>
        <w:tc>
          <w:tcPr>
            <w:tcW w:w="9300" w:type="dxa"/>
            <w:vAlign w:val="bottom"/>
            <w:gridSpan w:val="2"/>
          </w:tcPr>
          <w:p>
            <w:pPr>
              <w:spacing w:after="0"/>
              <w:rPr>
                <w:sz w:val="20"/>
                <w:szCs w:val="20"/>
                <w:color w:val="auto"/>
              </w:rPr>
            </w:pPr>
            <w:r>
              <w:rPr>
                <w:rFonts w:ascii="Arial" w:cs="Arial" w:eastAsia="Arial" w:hAnsi="Arial"/>
                <w:sz w:val="18"/>
                <w:szCs w:val="18"/>
                <w:color w:val="auto"/>
              </w:rPr>
              <w:t>Goodwill</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gridSpan w:val="2"/>
          </w:tcPr>
          <w:p>
            <w:pPr>
              <w:jc w:val="right"/>
              <w:ind w:right="320"/>
              <w:spacing w:after="0"/>
              <w:rPr>
                <w:sz w:val="20"/>
                <w:szCs w:val="20"/>
                <w:color w:val="auto"/>
              </w:rPr>
            </w:pPr>
            <w:r>
              <w:rPr>
                <w:rFonts w:ascii="Arial" w:cs="Arial" w:eastAsia="Arial" w:hAnsi="Arial"/>
                <w:sz w:val="18"/>
                <w:szCs w:val="18"/>
                <w:color w:val="auto"/>
              </w:rPr>
              <w:t>2,941</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2,941</w:t>
            </w:r>
          </w:p>
        </w:tc>
      </w:tr>
      <w:tr>
        <w:trPr>
          <w:trHeight w:val="216"/>
        </w:trPr>
        <w:tc>
          <w:tcPr>
            <w:tcW w:w="20" w:type="dxa"/>
            <w:vAlign w:val="bottom"/>
          </w:tcPr>
          <w:p>
            <w:pPr>
              <w:spacing w:after="0"/>
              <w:rPr>
                <w:sz w:val="18"/>
                <w:szCs w:val="18"/>
                <w:color w:val="auto"/>
              </w:rPr>
            </w:pPr>
          </w:p>
        </w:tc>
        <w:tc>
          <w:tcPr>
            <w:tcW w:w="9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assets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1,756</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897</w:t>
            </w:r>
          </w:p>
        </w:tc>
      </w:tr>
      <w:tr>
        <w:trPr>
          <w:trHeight w:val="223"/>
        </w:trPr>
        <w:tc>
          <w:tcPr>
            <w:tcW w:w="9320" w:type="dxa"/>
            <w:vAlign w:val="bottom"/>
            <w:gridSpan w:val="3"/>
          </w:tcPr>
          <w:p>
            <w:pPr>
              <w:spacing w:after="0"/>
              <w:rPr>
                <w:sz w:val="20"/>
                <w:szCs w:val="20"/>
                <w:color w:val="auto"/>
              </w:rPr>
            </w:pPr>
            <w:r>
              <w:rPr>
                <w:rFonts w:ascii="Arial" w:cs="Arial" w:eastAsia="Arial" w:hAnsi="Arial"/>
                <w:sz w:val="18"/>
                <w:szCs w:val="18"/>
                <w:b w:val="1"/>
                <w:bCs w:val="1"/>
                <w:color w:val="auto"/>
              </w:rPr>
              <w:t>Total assets</w:t>
            </w:r>
          </w:p>
        </w:tc>
        <w:tc>
          <w:tcPr>
            <w:tcW w:w="20" w:type="dxa"/>
            <w:vAlign w:val="bottom"/>
          </w:tcPr>
          <w:p>
            <w:pPr>
              <w:spacing w:after="0"/>
              <w:rPr>
                <w:sz w:val="19"/>
                <w:szCs w:val="19"/>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u w:val="single" w:color="auto"/>
                <w:color w:val="auto"/>
                <w:w w:val="71"/>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1,168,563</w:t>
            </w:r>
          </w:p>
        </w:tc>
        <w:tc>
          <w:tcPr>
            <w:tcW w:w="32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1,092,493</w:t>
            </w:r>
          </w:p>
        </w:tc>
        <w:tc>
          <w:tcPr>
            <w:tcW w:w="100" w:type="dxa"/>
            <w:vAlign w:val="bottom"/>
          </w:tcPr>
          <w:p>
            <w:pPr>
              <w:spacing w:after="0"/>
              <w:rPr>
                <w:sz w:val="19"/>
                <w:szCs w:val="19"/>
                <w:color w:val="auto"/>
              </w:rPr>
            </w:pPr>
          </w:p>
        </w:tc>
      </w:tr>
      <w:tr>
        <w:trPr>
          <w:trHeight w:val="20"/>
        </w:trPr>
        <w:tc>
          <w:tcPr>
            <w:tcW w:w="20" w:type="dxa"/>
            <w:vAlign w:val="bottom"/>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7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1960" w:type="dxa"/>
            <w:vAlign w:val="bottom"/>
            <w:shd w:val="clear" w:color="auto" w:fill="CCEEFF"/>
          </w:tcPr>
          <w:p>
            <w:pPr>
              <w:spacing w:after="0"/>
              <w:rPr>
                <w:sz w:val="18"/>
                <w:szCs w:val="18"/>
                <w:color w:val="auto"/>
              </w:rPr>
            </w:pPr>
          </w:p>
        </w:tc>
        <w:tc>
          <w:tcPr>
            <w:tcW w:w="7340" w:type="dxa"/>
            <w:vAlign w:val="bottom"/>
            <w:shd w:val="clear" w:color="auto" w:fill="CCEEFF"/>
          </w:tcPr>
          <w:p>
            <w:pPr>
              <w:jc w:val="center"/>
              <w:ind w:right="2090"/>
              <w:spacing w:after="0"/>
              <w:rPr>
                <w:sz w:val="20"/>
                <w:szCs w:val="20"/>
                <w:color w:val="auto"/>
              </w:rPr>
            </w:pPr>
            <w:r>
              <w:rPr>
                <w:rFonts w:ascii="Arial" w:cs="Arial" w:eastAsia="Arial" w:hAnsi="Arial"/>
                <w:sz w:val="18"/>
                <w:szCs w:val="18"/>
                <w:b w:val="1"/>
                <w:bCs w:val="1"/>
                <w:color w:val="auto"/>
              </w:rPr>
              <w:t>LIABILITIES AND STOCKHOLDERS’ EQUITY:</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9300" w:type="dxa"/>
            <w:vAlign w:val="bottom"/>
            <w:gridSpan w:val="2"/>
          </w:tcPr>
          <w:p>
            <w:pPr>
              <w:spacing w:after="0"/>
              <w:rPr>
                <w:sz w:val="20"/>
                <w:szCs w:val="20"/>
                <w:color w:val="auto"/>
              </w:rPr>
            </w:pPr>
            <w:r>
              <w:rPr>
                <w:rFonts w:ascii="Arial" w:cs="Arial" w:eastAsia="Arial" w:hAnsi="Arial"/>
                <w:sz w:val="18"/>
                <w:szCs w:val="18"/>
                <w:b w:val="1"/>
                <w:bCs w:val="1"/>
                <w:color w:val="auto"/>
              </w:rPr>
              <w:t>Current liabilities</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930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Accounts payable</w:t>
            </w:r>
          </w:p>
        </w:tc>
        <w:tc>
          <w:tcPr>
            <w:tcW w:w="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22,489</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24,824</w:t>
            </w:r>
          </w:p>
        </w:tc>
      </w:tr>
      <w:tr>
        <w:trPr>
          <w:trHeight w:val="216"/>
        </w:trPr>
        <w:tc>
          <w:tcPr>
            <w:tcW w:w="20" w:type="dxa"/>
            <w:vAlign w:val="bottom"/>
          </w:tcPr>
          <w:p>
            <w:pPr>
              <w:spacing w:after="0"/>
              <w:rPr>
                <w:sz w:val="18"/>
                <w:szCs w:val="18"/>
                <w:color w:val="auto"/>
              </w:rPr>
            </w:pPr>
          </w:p>
        </w:tc>
        <w:tc>
          <w:tcPr>
            <w:tcW w:w="9300" w:type="dxa"/>
            <w:vAlign w:val="bottom"/>
            <w:gridSpan w:val="2"/>
          </w:tcPr>
          <w:p>
            <w:pPr>
              <w:ind w:left="340"/>
              <w:spacing w:after="0"/>
              <w:rPr>
                <w:sz w:val="20"/>
                <w:szCs w:val="20"/>
                <w:color w:val="auto"/>
              </w:rPr>
            </w:pPr>
            <w:r>
              <w:rPr>
                <w:rFonts w:ascii="Arial" w:cs="Arial" w:eastAsia="Arial" w:hAnsi="Arial"/>
                <w:sz w:val="18"/>
                <w:szCs w:val="18"/>
                <w:color w:val="auto"/>
              </w:rPr>
              <w:t>Accrued compensation and benefits</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gridSpan w:val="2"/>
          </w:tcPr>
          <w:p>
            <w:pPr>
              <w:jc w:val="right"/>
              <w:ind w:right="320"/>
              <w:spacing w:after="0"/>
              <w:rPr>
                <w:sz w:val="20"/>
                <w:szCs w:val="20"/>
                <w:color w:val="auto"/>
              </w:rPr>
            </w:pPr>
            <w:r>
              <w:rPr>
                <w:rFonts w:ascii="Arial" w:cs="Arial" w:eastAsia="Arial" w:hAnsi="Arial"/>
                <w:sz w:val="18"/>
                <w:szCs w:val="18"/>
                <w:color w:val="auto"/>
              </w:rPr>
              <w:t>19,913</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19,697</w:t>
            </w:r>
          </w:p>
        </w:tc>
      </w:tr>
      <w:tr>
        <w:trPr>
          <w:trHeight w:val="216"/>
        </w:trPr>
        <w:tc>
          <w:tcPr>
            <w:tcW w:w="20" w:type="dxa"/>
            <w:vAlign w:val="bottom"/>
          </w:tcPr>
          <w:p>
            <w:pPr>
              <w:spacing w:after="0"/>
              <w:rPr>
                <w:sz w:val="18"/>
                <w:szCs w:val="18"/>
                <w:color w:val="auto"/>
              </w:rPr>
            </w:pPr>
          </w:p>
        </w:tc>
        <w:tc>
          <w:tcPr>
            <w:tcW w:w="930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Accrued liabilities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20,641</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21,283</w:t>
            </w:r>
          </w:p>
        </w:tc>
      </w:tr>
      <w:tr>
        <w:trPr>
          <w:trHeight w:val="216"/>
        </w:trPr>
        <w:tc>
          <w:tcPr>
            <w:tcW w:w="20" w:type="dxa"/>
            <w:vAlign w:val="bottom"/>
          </w:tcPr>
          <w:p>
            <w:pPr>
              <w:spacing w:after="0"/>
              <w:rPr>
                <w:sz w:val="18"/>
                <w:szCs w:val="18"/>
                <w:color w:val="auto"/>
              </w:rPr>
            </w:pPr>
          </w:p>
        </w:tc>
        <w:tc>
          <w:tcPr>
            <w:tcW w:w="9300" w:type="dxa"/>
            <w:vAlign w:val="bottom"/>
            <w:gridSpan w:val="2"/>
          </w:tcPr>
          <w:p>
            <w:pPr>
              <w:ind w:left="340"/>
              <w:spacing w:after="0"/>
              <w:rPr>
                <w:sz w:val="20"/>
                <w:szCs w:val="20"/>
                <w:color w:val="auto"/>
              </w:rPr>
            </w:pPr>
            <w:r>
              <w:rPr>
                <w:rFonts w:ascii="Arial" w:cs="Arial" w:eastAsia="Arial" w:hAnsi="Arial"/>
                <w:sz w:val="18"/>
                <w:szCs w:val="18"/>
                <w:color w:val="auto"/>
              </w:rPr>
              <w:t>Income taxes payable</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gridSpan w:val="2"/>
          </w:tcPr>
          <w:p>
            <w:pPr>
              <w:jc w:val="right"/>
              <w:ind w:right="320"/>
              <w:spacing w:after="0"/>
              <w:rPr>
                <w:sz w:val="20"/>
                <w:szCs w:val="20"/>
                <w:color w:val="auto"/>
              </w:rPr>
            </w:pPr>
            <w:r>
              <w:rPr>
                <w:rFonts w:ascii="Arial" w:cs="Arial" w:eastAsia="Arial" w:hAnsi="Arial"/>
                <w:sz w:val="18"/>
                <w:szCs w:val="18"/>
                <w:color w:val="auto"/>
              </w:rPr>
              <w:t>3,636</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2,734</w:t>
            </w:r>
          </w:p>
        </w:tc>
      </w:tr>
      <w:tr>
        <w:trPr>
          <w:trHeight w:val="216"/>
        </w:trPr>
        <w:tc>
          <w:tcPr>
            <w:tcW w:w="20" w:type="dxa"/>
            <w:vAlign w:val="bottom"/>
          </w:tcPr>
          <w:p>
            <w:pPr>
              <w:spacing w:after="0"/>
              <w:rPr>
                <w:sz w:val="18"/>
                <w:szCs w:val="18"/>
                <w:color w:val="auto"/>
              </w:rPr>
            </w:pPr>
          </w:p>
        </w:tc>
        <w:tc>
          <w:tcPr>
            <w:tcW w:w="930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Student deposits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79,520</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85,881</w:t>
            </w:r>
          </w:p>
        </w:tc>
      </w:tr>
      <w:tr>
        <w:trPr>
          <w:trHeight w:val="216"/>
        </w:trPr>
        <w:tc>
          <w:tcPr>
            <w:tcW w:w="20" w:type="dxa"/>
            <w:vAlign w:val="bottom"/>
          </w:tcPr>
          <w:p>
            <w:pPr>
              <w:spacing w:after="0"/>
              <w:rPr>
                <w:sz w:val="18"/>
                <w:szCs w:val="18"/>
                <w:color w:val="auto"/>
              </w:rPr>
            </w:pPr>
          </w:p>
        </w:tc>
        <w:tc>
          <w:tcPr>
            <w:tcW w:w="9300" w:type="dxa"/>
            <w:vAlign w:val="bottom"/>
            <w:gridSpan w:val="2"/>
          </w:tcPr>
          <w:p>
            <w:pPr>
              <w:ind w:left="340"/>
              <w:spacing w:after="0"/>
              <w:rPr>
                <w:sz w:val="20"/>
                <w:szCs w:val="20"/>
                <w:color w:val="auto"/>
              </w:rPr>
            </w:pPr>
            <w:r>
              <w:rPr>
                <w:rFonts w:ascii="Arial" w:cs="Arial" w:eastAsia="Arial" w:hAnsi="Arial"/>
                <w:sz w:val="18"/>
                <w:szCs w:val="18"/>
                <w:color w:val="auto"/>
              </w:rPr>
              <w:t>Deferred revenue</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gridSpan w:val="2"/>
          </w:tcPr>
          <w:p>
            <w:pPr>
              <w:jc w:val="right"/>
              <w:ind w:right="320"/>
              <w:spacing w:after="0"/>
              <w:rPr>
                <w:sz w:val="20"/>
                <w:szCs w:val="20"/>
                <w:color w:val="auto"/>
              </w:rPr>
            </w:pPr>
            <w:r>
              <w:rPr>
                <w:rFonts w:ascii="Arial" w:cs="Arial" w:eastAsia="Arial" w:hAnsi="Arial"/>
                <w:sz w:val="18"/>
                <w:szCs w:val="18"/>
                <w:color w:val="auto"/>
              </w:rPr>
              <w:t>52,004</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40,739</w:t>
            </w:r>
          </w:p>
        </w:tc>
      </w:tr>
      <w:tr>
        <w:trPr>
          <w:trHeight w:val="216"/>
        </w:trPr>
        <w:tc>
          <w:tcPr>
            <w:tcW w:w="20" w:type="dxa"/>
            <w:vAlign w:val="bottom"/>
          </w:tcPr>
          <w:p>
            <w:pPr>
              <w:spacing w:after="0"/>
              <w:rPr>
                <w:sz w:val="18"/>
                <w:szCs w:val="18"/>
                <w:color w:val="auto"/>
              </w:rPr>
            </w:pPr>
          </w:p>
        </w:tc>
        <w:tc>
          <w:tcPr>
            <w:tcW w:w="930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Current portion of notes payable</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6,665</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31,636</w:t>
            </w:r>
          </w:p>
        </w:tc>
      </w:tr>
      <w:tr>
        <w:trPr>
          <w:trHeight w:val="223"/>
        </w:trPr>
        <w:tc>
          <w:tcPr>
            <w:tcW w:w="9320" w:type="dxa"/>
            <w:vAlign w:val="bottom"/>
            <w:gridSpan w:val="3"/>
          </w:tcPr>
          <w:p>
            <w:pPr>
              <w:spacing w:after="0"/>
              <w:rPr>
                <w:sz w:val="20"/>
                <w:szCs w:val="20"/>
                <w:color w:val="auto"/>
              </w:rPr>
            </w:pPr>
            <w:r>
              <w:rPr>
                <w:rFonts w:ascii="Arial" w:cs="Arial" w:eastAsia="Arial" w:hAnsi="Arial"/>
                <w:sz w:val="18"/>
                <w:szCs w:val="18"/>
                <w:b w:val="1"/>
                <w:bCs w:val="1"/>
                <w:color w:val="auto"/>
              </w:rPr>
              <w:t>Total current liabilities</w:t>
            </w:r>
          </w:p>
        </w:tc>
        <w:tc>
          <w:tcPr>
            <w:tcW w:w="2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204,868</w:t>
            </w:r>
          </w:p>
        </w:tc>
        <w:tc>
          <w:tcPr>
            <w:tcW w:w="3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226,794</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9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noncurrent liabilities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1,433</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1,689</w:t>
            </w:r>
          </w:p>
        </w:tc>
      </w:tr>
      <w:tr>
        <w:trPr>
          <w:trHeight w:val="216"/>
        </w:trPr>
        <w:tc>
          <w:tcPr>
            <w:tcW w:w="20" w:type="dxa"/>
            <w:vAlign w:val="bottom"/>
          </w:tcPr>
          <w:p>
            <w:pPr>
              <w:spacing w:after="0"/>
              <w:rPr>
                <w:sz w:val="18"/>
                <w:szCs w:val="18"/>
                <w:color w:val="auto"/>
              </w:rPr>
            </w:pPr>
          </w:p>
        </w:tc>
        <w:tc>
          <w:tcPr>
            <w:tcW w:w="9300" w:type="dxa"/>
            <w:vAlign w:val="bottom"/>
            <w:gridSpan w:val="2"/>
          </w:tcPr>
          <w:p>
            <w:pPr>
              <w:spacing w:after="0"/>
              <w:rPr>
                <w:sz w:val="20"/>
                <w:szCs w:val="20"/>
                <w:color w:val="auto"/>
              </w:rPr>
            </w:pPr>
            <w:r>
              <w:rPr>
                <w:rFonts w:ascii="Arial" w:cs="Arial" w:eastAsia="Arial" w:hAnsi="Arial"/>
                <w:sz w:val="18"/>
                <w:szCs w:val="18"/>
                <w:color w:val="auto"/>
              </w:rPr>
              <w:t>Deferred income taxes, noncurrent</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gridSpan w:val="2"/>
          </w:tcPr>
          <w:p>
            <w:pPr>
              <w:jc w:val="right"/>
              <w:ind w:right="320"/>
              <w:spacing w:after="0"/>
              <w:rPr>
                <w:sz w:val="20"/>
                <w:szCs w:val="20"/>
                <w:color w:val="auto"/>
              </w:rPr>
            </w:pPr>
            <w:r>
              <w:rPr>
                <w:rFonts w:ascii="Arial" w:cs="Arial" w:eastAsia="Arial" w:hAnsi="Arial"/>
                <w:sz w:val="18"/>
                <w:szCs w:val="18"/>
                <w:color w:val="auto"/>
              </w:rPr>
              <w:t>26,778</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23,708</w:t>
            </w:r>
          </w:p>
        </w:tc>
      </w:tr>
      <w:tr>
        <w:trPr>
          <w:trHeight w:val="216"/>
        </w:trPr>
        <w:tc>
          <w:tcPr>
            <w:tcW w:w="20" w:type="dxa"/>
            <w:vAlign w:val="bottom"/>
          </w:tcPr>
          <w:p>
            <w:pPr>
              <w:spacing w:after="0"/>
              <w:rPr>
                <w:sz w:val="18"/>
                <w:szCs w:val="18"/>
                <w:color w:val="auto"/>
              </w:rPr>
            </w:pPr>
          </w:p>
        </w:tc>
        <w:tc>
          <w:tcPr>
            <w:tcW w:w="9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Notes payable, less current portion</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63,270</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66,616</w:t>
            </w:r>
          </w:p>
        </w:tc>
      </w:tr>
      <w:tr>
        <w:trPr>
          <w:trHeight w:val="230"/>
        </w:trPr>
        <w:tc>
          <w:tcPr>
            <w:tcW w:w="9320" w:type="dxa"/>
            <w:vAlign w:val="bottom"/>
            <w:gridSpan w:val="3"/>
          </w:tcPr>
          <w:p>
            <w:pPr>
              <w:spacing w:after="0"/>
              <w:rPr>
                <w:sz w:val="20"/>
                <w:szCs w:val="20"/>
                <w:color w:val="auto"/>
              </w:rPr>
            </w:pPr>
            <w:r>
              <w:rPr>
                <w:rFonts w:ascii="Arial" w:cs="Arial" w:eastAsia="Arial" w:hAnsi="Arial"/>
                <w:sz w:val="18"/>
                <w:szCs w:val="18"/>
                <w:b w:val="1"/>
                <w:bCs w:val="1"/>
                <w:color w:val="auto"/>
              </w:rPr>
              <w:t>Total liabilities</w:t>
            </w:r>
          </w:p>
        </w:tc>
        <w:tc>
          <w:tcPr>
            <w:tcW w:w="20" w:type="dxa"/>
            <w:vAlign w:val="bottom"/>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296,349</w:t>
            </w:r>
          </w:p>
        </w:tc>
        <w:tc>
          <w:tcPr>
            <w:tcW w:w="32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318,807</w:t>
            </w:r>
          </w:p>
        </w:tc>
        <w:tc>
          <w:tcPr>
            <w:tcW w:w="10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9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Commitments and contingencies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9300" w:type="dxa"/>
            <w:vAlign w:val="bottom"/>
            <w:gridSpan w:val="2"/>
          </w:tcPr>
          <w:p>
            <w:pPr>
              <w:spacing w:after="0"/>
              <w:rPr>
                <w:sz w:val="20"/>
                <w:szCs w:val="20"/>
                <w:color w:val="auto"/>
              </w:rPr>
            </w:pPr>
            <w:r>
              <w:rPr>
                <w:rFonts w:ascii="Arial" w:cs="Arial" w:eastAsia="Arial" w:hAnsi="Arial"/>
                <w:sz w:val="18"/>
                <w:szCs w:val="18"/>
                <w:b w:val="1"/>
                <w:bCs w:val="1"/>
                <w:color w:val="auto"/>
              </w:rPr>
              <w:t>Stockholders’ equity</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02"/>
        </w:trPr>
        <w:tc>
          <w:tcPr>
            <w:tcW w:w="20" w:type="dxa"/>
            <w:vAlign w:val="bottom"/>
          </w:tcPr>
          <w:p>
            <w:pPr>
              <w:spacing w:after="0"/>
              <w:rPr>
                <w:sz w:val="17"/>
                <w:szCs w:val="17"/>
                <w:color w:val="auto"/>
              </w:rPr>
            </w:pPr>
          </w:p>
        </w:tc>
        <w:tc>
          <w:tcPr>
            <w:tcW w:w="930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rPr>
              <w:t>Preferred stock, $0.01 par value, 10,000 shares authorized; 0 shares issued and outstanding at June 30, 2017 and</w:t>
            </w: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30"/>
        </w:trPr>
        <w:tc>
          <w:tcPr>
            <w:tcW w:w="20" w:type="dxa"/>
            <w:vAlign w:val="bottom"/>
          </w:tcPr>
          <w:p>
            <w:pPr>
              <w:spacing w:after="0"/>
              <w:rPr>
                <w:sz w:val="20"/>
                <w:szCs w:val="20"/>
                <w:color w:val="auto"/>
              </w:rPr>
            </w:pPr>
          </w:p>
        </w:tc>
        <w:tc>
          <w:tcPr>
            <w:tcW w:w="930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December 31, 2016</w:t>
            </w:r>
          </w:p>
        </w:tc>
        <w:tc>
          <w:tcPr>
            <w:tcW w:w="2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06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0"/>
                <w:szCs w:val="20"/>
                <w:color w:val="auto"/>
              </w:rPr>
            </w:pP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r>
      <w:tr>
        <w:trPr>
          <w:trHeight w:val="202"/>
        </w:trPr>
        <w:tc>
          <w:tcPr>
            <w:tcW w:w="20" w:type="dxa"/>
            <w:vAlign w:val="bottom"/>
          </w:tcPr>
          <w:p>
            <w:pPr>
              <w:spacing w:after="0"/>
              <w:rPr>
                <w:sz w:val="17"/>
                <w:szCs w:val="17"/>
                <w:color w:val="auto"/>
              </w:rPr>
            </w:pPr>
          </w:p>
        </w:tc>
        <w:tc>
          <w:tcPr>
            <w:tcW w:w="9300" w:type="dxa"/>
            <w:vAlign w:val="bottom"/>
            <w:gridSpan w:val="2"/>
          </w:tcPr>
          <w:p>
            <w:pPr>
              <w:spacing w:after="0" w:line="201" w:lineRule="exact"/>
              <w:rPr>
                <w:sz w:val="20"/>
                <w:szCs w:val="20"/>
                <w:color w:val="auto"/>
              </w:rPr>
            </w:pPr>
            <w:r>
              <w:rPr>
                <w:rFonts w:ascii="Arial" w:cs="Arial" w:eastAsia="Arial" w:hAnsi="Arial"/>
                <w:sz w:val="18"/>
                <w:szCs w:val="18"/>
                <w:color w:val="auto"/>
                <w:w w:val="92"/>
              </w:rPr>
              <w:t>Common stock, $0.01 par value, 100,000 shares authorized; 52,168 and 51,509 shares issued and 48,053 and 47,559 shares</w:t>
            </w: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0"/>
        </w:trPr>
        <w:tc>
          <w:tcPr>
            <w:tcW w:w="20" w:type="dxa"/>
            <w:vAlign w:val="bottom"/>
          </w:tcPr>
          <w:p>
            <w:pPr>
              <w:spacing w:after="0"/>
              <w:rPr>
                <w:sz w:val="20"/>
                <w:szCs w:val="20"/>
                <w:color w:val="auto"/>
              </w:rPr>
            </w:pPr>
          </w:p>
        </w:tc>
        <w:tc>
          <w:tcPr>
            <w:tcW w:w="9300" w:type="dxa"/>
            <w:vAlign w:val="bottom"/>
            <w:gridSpan w:val="2"/>
          </w:tcPr>
          <w:p>
            <w:pPr>
              <w:ind w:left="160"/>
              <w:spacing w:after="0"/>
              <w:rPr>
                <w:sz w:val="20"/>
                <w:szCs w:val="20"/>
                <w:color w:val="auto"/>
              </w:rPr>
            </w:pPr>
            <w:r>
              <w:rPr>
                <w:rFonts w:ascii="Arial" w:cs="Arial" w:eastAsia="Arial" w:hAnsi="Arial"/>
                <w:sz w:val="18"/>
                <w:szCs w:val="18"/>
                <w:color w:val="auto"/>
              </w:rPr>
              <w:t>outstanding at June 30, 2017 and December 31, 2016, respectively</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60" w:type="dxa"/>
            <w:vAlign w:val="bottom"/>
            <w:gridSpan w:val="2"/>
          </w:tcPr>
          <w:p>
            <w:pPr>
              <w:jc w:val="right"/>
              <w:ind w:right="320"/>
              <w:spacing w:after="0"/>
              <w:rPr>
                <w:sz w:val="20"/>
                <w:szCs w:val="20"/>
                <w:color w:val="auto"/>
              </w:rPr>
            </w:pPr>
            <w:r>
              <w:rPr>
                <w:rFonts w:ascii="Arial" w:cs="Arial" w:eastAsia="Arial" w:hAnsi="Arial"/>
                <w:sz w:val="18"/>
                <w:szCs w:val="18"/>
                <w:color w:val="auto"/>
              </w:rPr>
              <w:t>522</w:t>
            </w:r>
          </w:p>
        </w:tc>
        <w:tc>
          <w:tcPr>
            <w:tcW w:w="100" w:type="dxa"/>
            <w:vAlign w:val="bottom"/>
          </w:tcPr>
          <w:p>
            <w:pPr>
              <w:spacing w:after="0"/>
              <w:rPr>
                <w:sz w:val="20"/>
                <w:szCs w:val="20"/>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515</w:t>
            </w:r>
          </w:p>
        </w:tc>
      </w:tr>
      <w:tr>
        <w:trPr>
          <w:trHeight w:val="216"/>
        </w:trPr>
        <w:tc>
          <w:tcPr>
            <w:tcW w:w="20" w:type="dxa"/>
            <w:vAlign w:val="bottom"/>
          </w:tcPr>
          <w:p>
            <w:pPr>
              <w:spacing w:after="0"/>
              <w:rPr>
                <w:sz w:val="18"/>
                <w:szCs w:val="18"/>
                <w:color w:val="auto"/>
              </w:rPr>
            </w:pPr>
          </w:p>
        </w:tc>
        <w:tc>
          <w:tcPr>
            <w:tcW w:w="930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6"/>
              </w:rPr>
              <w:t>Treasury stock, at cost, 4,115 and 3,950 shares of common stock at June 30, 2017 and December 31, 2016, respectively</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(99,051)</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(89,394)</w:t>
            </w:r>
          </w:p>
        </w:tc>
      </w:tr>
      <w:tr>
        <w:trPr>
          <w:trHeight w:val="216"/>
        </w:trPr>
        <w:tc>
          <w:tcPr>
            <w:tcW w:w="20" w:type="dxa"/>
            <w:vAlign w:val="bottom"/>
          </w:tcPr>
          <w:p>
            <w:pPr>
              <w:spacing w:after="0"/>
              <w:rPr>
                <w:sz w:val="18"/>
                <w:szCs w:val="18"/>
                <w:color w:val="auto"/>
              </w:rPr>
            </w:pPr>
          </w:p>
        </w:tc>
        <w:tc>
          <w:tcPr>
            <w:tcW w:w="9300" w:type="dxa"/>
            <w:vAlign w:val="bottom"/>
            <w:gridSpan w:val="2"/>
          </w:tcPr>
          <w:p>
            <w:pPr>
              <w:spacing w:after="0"/>
              <w:rPr>
                <w:sz w:val="20"/>
                <w:szCs w:val="20"/>
                <w:color w:val="auto"/>
              </w:rPr>
            </w:pPr>
            <w:r>
              <w:rPr>
                <w:rFonts w:ascii="Arial" w:cs="Arial" w:eastAsia="Arial" w:hAnsi="Arial"/>
                <w:sz w:val="18"/>
                <w:szCs w:val="18"/>
                <w:color w:val="auto"/>
              </w:rPr>
              <w:t>Additional paid-in capital</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gridSpan w:val="2"/>
          </w:tcPr>
          <w:p>
            <w:pPr>
              <w:jc w:val="right"/>
              <w:ind w:right="320"/>
              <w:spacing w:after="0"/>
              <w:rPr>
                <w:sz w:val="20"/>
                <w:szCs w:val="20"/>
                <w:color w:val="auto"/>
              </w:rPr>
            </w:pPr>
            <w:r>
              <w:rPr>
                <w:rFonts w:ascii="Arial" w:cs="Arial" w:eastAsia="Arial" w:hAnsi="Arial"/>
                <w:sz w:val="18"/>
                <w:szCs w:val="18"/>
                <w:color w:val="auto"/>
              </w:rPr>
              <w:t>224,735</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212,559</w:t>
            </w:r>
          </w:p>
        </w:tc>
      </w:tr>
      <w:tr>
        <w:trPr>
          <w:trHeight w:val="216"/>
        </w:trPr>
        <w:tc>
          <w:tcPr>
            <w:tcW w:w="20" w:type="dxa"/>
            <w:vAlign w:val="bottom"/>
          </w:tcPr>
          <w:p>
            <w:pPr>
              <w:spacing w:after="0"/>
              <w:rPr>
                <w:sz w:val="18"/>
                <w:szCs w:val="18"/>
                <w:color w:val="auto"/>
              </w:rPr>
            </w:pPr>
          </w:p>
        </w:tc>
        <w:tc>
          <w:tcPr>
            <w:tcW w:w="9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Accumulated other comprehensive loss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(608)</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(910)</w:t>
            </w:r>
          </w:p>
        </w:tc>
      </w:tr>
      <w:tr>
        <w:trPr>
          <w:trHeight w:val="223"/>
        </w:trPr>
        <w:tc>
          <w:tcPr>
            <w:tcW w:w="20" w:type="dxa"/>
            <w:vAlign w:val="bottom"/>
          </w:tcPr>
          <w:p>
            <w:pPr>
              <w:spacing w:after="0"/>
              <w:rPr>
                <w:sz w:val="19"/>
                <w:szCs w:val="19"/>
                <w:color w:val="auto"/>
              </w:rPr>
            </w:pPr>
          </w:p>
        </w:tc>
        <w:tc>
          <w:tcPr>
            <w:tcW w:w="9300" w:type="dxa"/>
            <w:vAlign w:val="bottom"/>
            <w:gridSpan w:val="2"/>
          </w:tcPr>
          <w:p>
            <w:pPr>
              <w:spacing w:after="0"/>
              <w:rPr>
                <w:sz w:val="20"/>
                <w:szCs w:val="20"/>
                <w:color w:val="auto"/>
              </w:rPr>
            </w:pPr>
            <w:r>
              <w:rPr>
                <w:rFonts w:ascii="Arial" w:cs="Arial" w:eastAsia="Arial" w:hAnsi="Arial"/>
                <w:sz w:val="18"/>
                <w:szCs w:val="18"/>
                <w:color w:val="auto"/>
              </w:rPr>
              <w:t>Retained earnings</w:t>
            </w:r>
          </w:p>
        </w:tc>
        <w:tc>
          <w:tcPr>
            <w:tcW w:w="2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746,616</w:t>
            </w:r>
          </w:p>
        </w:tc>
        <w:tc>
          <w:tcPr>
            <w:tcW w:w="3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650,916</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93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Total stockholders’ equity</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872,214</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773,686</w:t>
            </w:r>
          </w:p>
        </w:tc>
      </w:tr>
      <w:tr>
        <w:trPr>
          <w:trHeight w:val="223"/>
        </w:trPr>
        <w:tc>
          <w:tcPr>
            <w:tcW w:w="9320" w:type="dxa"/>
            <w:vAlign w:val="bottom"/>
            <w:gridSpan w:val="3"/>
          </w:tcPr>
          <w:p>
            <w:pPr>
              <w:spacing w:after="0"/>
              <w:rPr>
                <w:sz w:val="20"/>
                <w:szCs w:val="20"/>
                <w:color w:val="auto"/>
              </w:rPr>
            </w:pPr>
            <w:r>
              <w:rPr>
                <w:rFonts w:ascii="Arial" w:cs="Arial" w:eastAsia="Arial" w:hAnsi="Arial"/>
                <w:sz w:val="18"/>
                <w:szCs w:val="18"/>
                <w:b w:val="1"/>
                <w:bCs w:val="1"/>
                <w:color w:val="auto"/>
              </w:rPr>
              <w:t>Total liabilities and stockholders’ equity</w:t>
            </w:r>
          </w:p>
        </w:tc>
        <w:tc>
          <w:tcPr>
            <w:tcW w:w="20" w:type="dxa"/>
            <w:vAlign w:val="bottom"/>
            <w:tcBorders>
              <w:bottom w:val="single" w:sz="8" w:color="auto"/>
            </w:tcBorders>
          </w:tcPr>
          <w:p>
            <w:pPr>
              <w:spacing w:after="0"/>
              <w:rPr>
                <w:sz w:val="19"/>
                <w:szCs w:val="19"/>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u w:val="single" w:color="auto"/>
                <w:color w:val="auto"/>
                <w:w w:val="71"/>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1,168,563</w:t>
            </w:r>
          </w:p>
        </w:tc>
        <w:tc>
          <w:tcPr>
            <w:tcW w:w="32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1,092,493</w:t>
            </w:r>
          </w:p>
        </w:tc>
        <w:tc>
          <w:tcPr>
            <w:tcW w:w="100" w:type="dxa"/>
            <w:vAlign w:val="bottom"/>
          </w:tcPr>
          <w:p>
            <w:pPr>
              <w:spacing w:after="0"/>
              <w:rPr>
                <w:sz w:val="19"/>
                <w:szCs w:val="19"/>
                <w:color w:val="auto"/>
              </w:rPr>
            </w:pPr>
          </w:p>
        </w:tc>
      </w:tr>
      <w:tr>
        <w:trPr>
          <w:trHeight w:val="20"/>
        </w:trPr>
        <w:tc>
          <w:tcPr>
            <w:tcW w:w="20" w:type="dxa"/>
            <w:vAlign w:val="bottom"/>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7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ectPr>
          <w:pgSz w:w="11900" w:h="16838" w:orient="portrait"/>
          <w:cols w:equalWidth="0" w:num="1">
            <w:col w:w="11420"/>
          </w:cols>
          <w:pgMar w:left="240" w:top="270" w:right="239" w:bottom="1440" w:gutter="0" w:footer="0" w:header="0"/>
        </w:sectPr>
      </w:pPr>
    </w:p>
    <w:bookmarkStart w:id="13" w:name="page14"/>
    <w:bookmarkEnd w:id="13"/>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Grand Canyon Education, Inc. Reports Second Quarter 2017 Results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(Unaudited)</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728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760" w:type="dxa"/>
            <w:vAlign w:val="bottom"/>
            <w:gridSpan w:val="5"/>
          </w:tcPr>
          <w:p>
            <w:pPr>
              <w:jc w:val="right"/>
              <w:ind w:right="340"/>
              <w:spacing w:after="0"/>
              <w:rPr>
                <w:sz w:val="20"/>
                <w:szCs w:val="20"/>
                <w:color w:val="auto"/>
              </w:rPr>
            </w:pPr>
            <w:r>
              <w:rPr>
                <w:rFonts w:ascii="Arial" w:cs="Arial" w:eastAsia="Arial" w:hAnsi="Arial"/>
                <w:sz w:val="14"/>
                <w:szCs w:val="14"/>
                <w:b w:val="1"/>
                <w:bCs w:val="1"/>
                <w:color w:val="auto"/>
              </w:rPr>
              <w:t>Six Months Ended</w:t>
            </w:r>
          </w:p>
        </w:tc>
        <w:tc>
          <w:tcPr>
            <w:tcW w:w="0" w:type="dxa"/>
            <w:vAlign w:val="bottom"/>
          </w:tcPr>
          <w:p>
            <w:pPr>
              <w:spacing w:after="0"/>
              <w:rPr>
                <w:sz w:val="1"/>
                <w:szCs w:val="1"/>
                <w:color w:val="auto"/>
              </w:rPr>
            </w:pPr>
          </w:p>
        </w:tc>
      </w:tr>
      <w:tr>
        <w:trPr>
          <w:trHeight w:val="171"/>
        </w:trPr>
        <w:tc>
          <w:tcPr>
            <w:tcW w:w="818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(In thousands)</w:t>
            </w:r>
          </w:p>
        </w:tc>
        <w:tc>
          <w:tcPr>
            <w:tcW w:w="13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760" w:type="dxa"/>
            <w:vAlign w:val="bottom"/>
            <w:gridSpan w:val="5"/>
          </w:tcPr>
          <w:p>
            <w:pPr>
              <w:jc w:val="right"/>
              <w:ind w:right="640"/>
              <w:spacing w:after="0"/>
              <w:rPr>
                <w:sz w:val="20"/>
                <w:szCs w:val="20"/>
                <w:color w:val="auto"/>
              </w:rPr>
            </w:pPr>
            <w:r>
              <w:rPr>
                <w:rFonts w:ascii="Arial" w:cs="Arial" w:eastAsia="Arial" w:hAnsi="Arial"/>
                <w:sz w:val="14"/>
                <w:szCs w:val="14"/>
                <w:b w:val="1"/>
                <w:bCs w:val="1"/>
                <w:color w:val="auto"/>
              </w:rPr>
              <w:t>June 30,</w:t>
            </w:r>
          </w:p>
        </w:tc>
        <w:tc>
          <w:tcPr>
            <w:tcW w:w="0" w:type="dxa"/>
            <w:vAlign w:val="bottom"/>
          </w:tcPr>
          <w:p>
            <w:pPr>
              <w:spacing w:after="0"/>
              <w:rPr>
                <w:sz w:val="1"/>
                <w:szCs w:val="1"/>
                <w:color w:val="auto"/>
              </w:rPr>
            </w:pPr>
          </w:p>
        </w:tc>
      </w:tr>
      <w:tr>
        <w:trPr>
          <w:trHeight w:val="129"/>
        </w:trPr>
        <w:tc>
          <w:tcPr>
            <w:tcW w:w="8180" w:type="dxa"/>
            <w:vAlign w:val="bottom"/>
            <w:gridSpan w:val="3"/>
            <w:vMerge w:val="continue"/>
          </w:tcPr>
          <w:p>
            <w:pPr>
              <w:spacing w:after="0"/>
              <w:rPr>
                <w:sz w:val="11"/>
                <w:szCs w:val="11"/>
                <w:color w:val="auto"/>
              </w:rPr>
            </w:pPr>
          </w:p>
        </w:tc>
        <w:tc>
          <w:tcPr>
            <w:tcW w:w="138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580" w:type="dxa"/>
            <w:vAlign w:val="bottom"/>
            <w:tcBorders>
              <w:top w:val="single" w:sz="8" w:color="auto"/>
            </w:tcBorders>
          </w:tcPr>
          <w:p>
            <w:pPr>
              <w:jc w:val="right"/>
              <w:ind w:right="111"/>
              <w:spacing w:after="0" w:line="129" w:lineRule="exact"/>
              <w:rPr>
                <w:sz w:val="20"/>
                <w:szCs w:val="20"/>
                <w:color w:val="auto"/>
              </w:rPr>
            </w:pPr>
            <w:r>
              <w:rPr>
                <w:rFonts w:ascii="Arial" w:cs="Arial" w:eastAsia="Arial" w:hAnsi="Arial"/>
                <w:sz w:val="14"/>
                <w:szCs w:val="14"/>
                <w:b w:val="1"/>
                <w:bCs w:val="1"/>
                <w:color w:val="auto"/>
              </w:rPr>
              <w:t>2017</w:t>
            </w:r>
          </w:p>
        </w:tc>
        <w:tc>
          <w:tcPr>
            <w:tcW w:w="32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660" w:type="dxa"/>
            <w:vAlign w:val="bottom"/>
            <w:tcBorders>
              <w:top w:val="single" w:sz="8" w:color="auto"/>
            </w:tcBorders>
          </w:tcPr>
          <w:p>
            <w:pPr>
              <w:jc w:val="right"/>
              <w:ind w:right="150"/>
              <w:spacing w:after="0" w:line="129" w:lineRule="exact"/>
              <w:rPr>
                <w:sz w:val="20"/>
                <w:szCs w:val="20"/>
                <w:color w:val="auto"/>
              </w:rPr>
            </w:pPr>
            <w:r>
              <w:rPr>
                <w:rFonts w:ascii="Arial" w:cs="Arial" w:eastAsia="Arial" w:hAnsi="Arial"/>
                <w:sz w:val="14"/>
                <w:szCs w:val="14"/>
                <w:b w:val="1"/>
                <w:bCs w:val="1"/>
                <w:color w:val="auto"/>
              </w:rPr>
              <w:t>2016</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80" w:type="dxa"/>
            <w:vAlign w:val="bottom"/>
            <w:tcBorders>
              <w:bottom w:val="single" w:sz="8" w:color="CCEEFF"/>
            </w:tcBorders>
            <w:shd w:val="clear" w:color="auto" w:fill="000000"/>
          </w:tcPr>
          <w:p>
            <w:pPr>
              <w:spacing w:after="0" w:line="20" w:lineRule="exact"/>
              <w:rPr>
                <w:sz w:val="1"/>
                <w:szCs w:val="1"/>
                <w:color w:val="auto"/>
              </w:rPr>
            </w:pPr>
          </w:p>
        </w:tc>
        <w:tc>
          <w:tcPr>
            <w:tcW w:w="7280" w:type="dxa"/>
            <w:vAlign w:val="bottom"/>
            <w:tcBorders>
              <w:bottom w:val="single" w:sz="8" w:color="CCEEFF"/>
            </w:tcBorders>
          </w:tcPr>
          <w:p>
            <w:pPr>
              <w:spacing w:after="0" w:line="20" w:lineRule="exact"/>
              <w:rPr>
                <w:sz w:val="1"/>
                <w:szCs w:val="1"/>
                <w:color w:val="auto"/>
              </w:rPr>
            </w:pPr>
          </w:p>
        </w:tc>
        <w:tc>
          <w:tcPr>
            <w:tcW w:w="138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20" w:type="dxa"/>
            <w:vAlign w:val="bottom"/>
          </w:tcPr>
          <w:p>
            <w:pPr>
              <w:spacing w:after="0"/>
              <w:rPr>
                <w:sz w:val="16"/>
                <w:szCs w:val="16"/>
                <w:color w:val="auto"/>
              </w:rPr>
            </w:pPr>
          </w:p>
        </w:tc>
        <w:tc>
          <w:tcPr>
            <w:tcW w:w="8160" w:type="dxa"/>
            <w:vAlign w:val="bottom"/>
            <w:gridSpan w:val="2"/>
            <w:shd w:val="clear" w:color="auto" w:fill="CCEEFF"/>
          </w:tcPr>
          <w:p>
            <w:pPr>
              <w:spacing w:after="0" w:line="189" w:lineRule="exact"/>
              <w:rPr>
                <w:sz w:val="20"/>
                <w:szCs w:val="20"/>
                <w:color w:val="auto"/>
              </w:rPr>
            </w:pPr>
            <w:r>
              <w:rPr>
                <w:rFonts w:ascii="Arial" w:cs="Arial" w:eastAsia="Arial" w:hAnsi="Arial"/>
                <w:sz w:val="18"/>
                <w:szCs w:val="18"/>
                <w:b w:val="1"/>
                <w:bCs w:val="1"/>
                <w:color w:val="auto"/>
              </w:rPr>
              <w:t>Cash flows provided by operating activities:</w:t>
            </w:r>
          </w:p>
        </w:tc>
        <w:tc>
          <w:tcPr>
            <w:tcW w:w="13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580" w:type="dxa"/>
            <w:vAlign w:val="bottom"/>
            <w:shd w:val="clear" w:color="auto" w:fill="CCEEFF"/>
          </w:tcPr>
          <w:p>
            <w:pPr>
              <w:spacing w:after="0"/>
              <w:rPr>
                <w:sz w:val="16"/>
                <w:szCs w:val="16"/>
                <w:color w:val="auto"/>
              </w:rPr>
            </w:pPr>
          </w:p>
        </w:tc>
        <w:tc>
          <w:tcPr>
            <w:tcW w:w="3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tcPr>
          <w:p>
            <w:pPr>
              <w:spacing w:after="0"/>
              <w:rPr>
                <w:sz w:val="20"/>
                <w:szCs w:val="20"/>
                <w:color w:val="auto"/>
              </w:rPr>
            </w:pPr>
            <w:r>
              <w:rPr>
                <w:rFonts w:ascii="Arial" w:cs="Arial" w:eastAsia="Arial" w:hAnsi="Arial"/>
                <w:sz w:val="18"/>
                <w:szCs w:val="18"/>
                <w:color w:val="auto"/>
              </w:rPr>
              <w:t>Net income</w:t>
            </w:r>
          </w:p>
        </w:tc>
        <w:tc>
          <w:tcPr>
            <w:tcW w:w="14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320"/>
              <w:spacing w:after="0"/>
              <w:rPr>
                <w:sz w:val="20"/>
                <w:szCs w:val="20"/>
                <w:color w:val="auto"/>
              </w:rPr>
            </w:pPr>
            <w:r>
              <w:rPr>
                <w:rFonts w:ascii="Arial" w:cs="Arial" w:eastAsia="Arial" w:hAnsi="Arial"/>
                <w:sz w:val="18"/>
                <w:szCs w:val="18"/>
                <w:color w:val="auto"/>
              </w:rPr>
              <w:t>95,759</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71,291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Adjustments to reconcile net income to net cash provided by operating activities:</w:t>
            </w:r>
          </w:p>
        </w:tc>
        <w:tc>
          <w:tcPr>
            <w:tcW w:w="1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tcPr>
          <w:p>
            <w:pPr>
              <w:ind w:left="340"/>
              <w:spacing w:after="0"/>
              <w:rPr>
                <w:sz w:val="20"/>
                <w:szCs w:val="20"/>
                <w:color w:val="auto"/>
              </w:rPr>
            </w:pPr>
            <w:r>
              <w:rPr>
                <w:rFonts w:ascii="Arial" w:cs="Arial" w:eastAsia="Arial" w:hAnsi="Arial"/>
                <w:sz w:val="18"/>
                <w:szCs w:val="18"/>
                <w:color w:val="auto"/>
              </w:rPr>
              <w:t>Share-based compensation</w:t>
            </w:r>
          </w:p>
        </w:tc>
        <w:tc>
          <w:tcPr>
            <w:tcW w:w="1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6,229</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5,831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Provision for bad debts</w:t>
            </w:r>
          </w:p>
        </w:tc>
        <w:tc>
          <w:tcPr>
            <w:tcW w:w="1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7,830</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7,963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tcPr>
          <w:p>
            <w:pPr>
              <w:ind w:left="340"/>
              <w:spacing w:after="0"/>
              <w:rPr>
                <w:sz w:val="20"/>
                <w:szCs w:val="20"/>
                <w:color w:val="auto"/>
              </w:rPr>
            </w:pPr>
            <w:r>
              <w:rPr>
                <w:rFonts w:ascii="Arial" w:cs="Arial" w:eastAsia="Arial" w:hAnsi="Arial"/>
                <w:sz w:val="18"/>
                <w:szCs w:val="18"/>
                <w:color w:val="auto"/>
              </w:rPr>
              <w:t>Depreciation and amortization</w:t>
            </w:r>
          </w:p>
        </w:tc>
        <w:tc>
          <w:tcPr>
            <w:tcW w:w="1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2"/>
          </w:tcPr>
          <w:p>
            <w:pPr>
              <w:jc w:val="right"/>
              <w:ind w:right="320"/>
              <w:spacing w:after="0"/>
              <w:rPr>
                <w:sz w:val="20"/>
                <w:szCs w:val="20"/>
                <w:color w:val="auto"/>
              </w:rPr>
            </w:pPr>
            <w:r>
              <w:rPr>
                <w:rFonts w:ascii="Arial" w:cs="Arial" w:eastAsia="Arial" w:hAnsi="Arial"/>
                <w:sz w:val="18"/>
                <w:szCs w:val="18"/>
                <w:color w:val="auto"/>
              </w:rPr>
              <w:t>26,856</w:t>
            </w:r>
          </w:p>
        </w:tc>
        <w:tc>
          <w:tcPr>
            <w:tcW w:w="100" w:type="dxa"/>
            <w:vAlign w:val="bottom"/>
          </w:tcPr>
          <w:p>
            <w:pPr>
              <w:spacing w:after="0"/>
              <w:rPr>
                <w:sz w:val="18"/>
                <w:szCs w:val="18"/>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21,245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Deferred income taxes</w:t>
            </w:r>
          </w:p>
        </w:tc>
        <w:tc>
          <w:tcPr>
            <w:tcW w:w="1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3,372</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2,478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tcPr>
          <w:p>
            <w:pPr>
              <w:ind w:left="340"/>
              <w:spacing w:after="0"/>
              <w:rPr>
                <w:sz w:val="20"/>
                <w:szCs w:val="20"/>
                <w:color w:val="auto"/>
              </w:rPr>
            </w:pPr>
            <w:r>
              <w:rPr>
                <w:rFonts w:ascii="Arial" w:cs="Arial" w:eastAsia="Arial" w:hAnsi="Arial"/>
                <w:sz w:val="18"/>
                <w:szCs w:val="18"/>
                <w:color w:val="auto"/>
              </w:rPr>
              <w:t>Other</w:t>
            </w:r>
          </w:p>
        </w:tc>
        <w:tc>
          <w:tcPr>
            <w:tcW w:w="1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2"/>
          </w:tcPr>
          <w:p>
            <w:pPr>
              <w:jc w:val="right"/>
              <w:ind w:right="320"/>
              <w:spacing w:after="0"/>
              <w:rPr>
                <w:sz w:val="20"/>
                <w:szCs w:val="20"/>
                <w:color w:val="auto"/>
              </w:rPr>
            </w:pPr>
            <w:r>
              <w:rPr>
                <w:rFonts w:ascii="Arial" w:cs="Arial" w:eastAsia="Arial" w:hAnsi="Arial"/>
                <w:sz w:val="18"/>
                <w:szCs w:val="18"/>
                <w:color w:val="auto"/>
              </w:rPr>
              <w:t>214</w:t>
            </w:r>
          </w:p>
        </w:tc>
        <w:tc>
          <w:tcPr>
            <w:tcW w:w="100" w:type="dxa"/>
            <w:vAlign w:val="bottom"/>
          </w:tcPr>
          <w:p>
            <w:pPr>
              <w:spacing w:after="0"/>
              <w:rPr>
                <w:sz w:val="18"/>
                <w:szCs w:val="18"/>
                <w:color w:val="auto"/>
              </w:rPr>
            </w:pPr>
          </w:p>
        </w:tc>
        <w:tc>
          <w:tcPr>
            <w:tcW w:w="760" w:type="dxa"/>
            <w:vAlign w:val="bottom"/>
            <w:gridSpan w:val="2"/>
          </w:tcPr>
          <w:p>
            <w:pPr>
              <w:jc w:val="right"/>
              <w:spacing w:after="0"/>
              <w:rPr>
                <w:sz w:val="20"/>
                <w:szCs w:val="20"/>
                <w:color w:val="auto"/>
              </w:rPr>
            </w:pPr>
            <w:r>
              <w:rPr>
                <w:rFonts w:ascii="Arial" w:cs="Arial" w:eastAsia="Arial" w:hAnsi="Arial"/>
                <w:sz w:val="18"/>
                <w:szCs w:val="18"/>
                <w:color w:val="auto"/>
              </w:rPr>
              <w:t>(1,682)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Changes in assets and liabilities:</w:t>
            </w:r>
          </w:p>
        </w:tc>
        <w:tc>
          <w:tcPr>
            <w:tcW w:w="1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tcPr>
          <w:p>
            <w:pPr>
              <w:ind w:left="700"/>
              <w:spacing w:after="0"/>
              <w:rPr>
                <w:sz w:val="20"/>
                <w:szCs w:val="20"/>
                <w:color w:val="auto"/>
              </w:rPr>
            </w:pPr>
            <w:r>
              <w:rPr>
                <w:rFonts w:ascii="Arial" w:cs="Arial" w:eastAsia="Arial" w:hAnsi="Arial"/>
                <w:sz w:val="18"/>
                <w:szCs w:val="18"/>
                <w:color w:val="auto"/>
              </w:rPr>
              <w:t>Accounts receivable</w:t>
            </w:r>
          </w:p>
        </w:tc>
        <w:tc>
          <w:tcPr>
            <w:tcW w:w="1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2"/>
          </w:tcPr>
          <w:p>
            <w:pPr>
              <w:jc w:val="right"/>
              <w:ind w:right="260"/>
              <w:spacing w:after="0"/>
              <w:rPr>
                <w:sz w:val="20"/>
                <w:szCs w:val="20"/>
                <w:color w:val="auto"/>
              </w:rPr>
            </w:pPr>
            <w:r>
              <w:rPr>
                <w:rFonts w:ascii="Arial" w:cs="Arial" w:eastAsia="Arial" w:hAnsi="Arial"/>
                <w:sz w:val="18"/>
                <w:szCs w:val="18"/>
                <w:color w:val="auto"/>
              </w:rPr>
              <w:t>(8,764)</w:t>
            </w:r>
          </w:p>
        </w:tc>
        <w:tc>
          <w:tcPr>
            <w:tcW w:w="100" w:type="dxa"/>
            <w:vAlign w:val="bottom"/>
          </w:tcPr>
          <w:p>
            <w:pPr>
              <w:spacing w:after="0"/>
              <w:rPr>
                <w:sz w:val="18"/>
                <w:szCs w:val="18"/>
                <w:color w:val="auto"/>
              </w:rPr>
            </w:pPr>
          </w:p>
        </w:tc>
        <w:tc>
          <w:tcPr>
            <w:tcW w:w="760" w:type="dxa"/>
            <w:vAlign w:val="bottom"/>
            <w:gridSpan w:val="2"/>
          </w:tcPr>
          <w:p>
            <w:pPr>
              <w:jc w:val="right"/>
              <w:spacing w:after="0"/>
              <w:rPr>
                <w:sz w:val="20"/>
                <w:szCs w:val="20"/>
                <w:color w:val="auto"/>
              </w:rPr>
            </w:pPr>
            <w:r>
              <w:rPr>
                <w:rFonts w:ascii="Arial" w:cs="Arial" w:eastAsia="Arial" w:hAnsi="Arial"/>
                <w:sz w:val="18"/>
                <w:szCs w:val="18"/>
                <w:color w:val="auto"/>
              </w:rPr>
              <w:t>(8,745)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shd w:val="clear" w:color="auto" w:fill="CCEEFF"/>
          </w:tcPr>
          <w:p>
            <w:pPr>
              <w:ind w:left="700"/>
              <w:spacing w:after="0"/>
              <w:rPr>
                <w:sz w:val="20"/>
                <w:szCs w:val="20"/>
                <w:color w:val="auto"/>
              </w:rPr>
            </w:pPr>
            <w:r>
              <w:rPr>
                <w:rFonts w:ascii="Arial" w:cs="Arial" w:eastAsia="Arial" w:hAnsi="Arial"/>
                <w:sz w:val="18"/>
                <w:szCs w:val="18"/>
                <w:color w:val="auto"/>
              </w:rPr>
              <w:t>Prepaid expenses and other</w:t>
            </w:r>
          </w:p>
        </w:tc>
        <w:tc>
          <w:tcPr>
            <w:tcW w:w="1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(1,413)</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1,221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tcPr>
          <w:p>
            <w:pPr>
              <w:ind w:left="700"/>
              <w:spacing w:after="0"/>
              <w:rPr>
                <w:sz w:val="20"/>
                <w:szCs w:val="20"/>
                <w:color w:val="auto"/>
              </w:rPr>
            </w:pPr>
            <w:r>
              <w:rPr>
                <w:rFonts w:ascii="Arial" w:cs="Arial" w:eastAsia="Arial" w:hAnsi="Arial"/>
                <w:sz w:val="18"/>
                <w:szCs w:val="18"/>
                <w:color w:val="auto"/>
              </w:rPr>
              <w:t>Accounts payable</w:t>
            </w:r>
          </w:p>
        </w:tc>
        <w:tc>
          <w:tcPr>
            <w:tcW w:w="1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2"/>
          </w:tcPr>
          <w:p>
            <w:pPr>
              <w:jc w:val="right"/>
              <w:ind w:right="260"/>
              <w:spacing w:after="0"/>
              <w:rPr>
                <w:sz w:val="20"/>
                <w:szCs w:val="20"/>
                <w:color w:val="auto"/>
              </w:rPr>
            </w:pPr>
            <w:r>
              <w:rPr>
                <w:rFonts w:ascii="Arial" w:cs="Arial" w:eastAsia="Arial" w:hAnsi="Arial"/>
                <w:sz w:val="18"/>
                <w:szCs w:val="18"/>
                <w:color w:val="auto"/>
              </w:rPr>
              <w:t>(1,708)</w:t>
            </w:r>
          </w:p>
        </w:tc>
        <w:tc>
          <w:tcPr>
            <w:tcW w:w="100" w:type="dxa"/>
            <w:vAlign w:val="bottom"/>
          </w:tcPr>
          <w:p>
            <w:pPr>
              <w:spacing w:after="0"/>
              <w:rPr>
                <w:sz w:val="18"/>
                <w:szCs w:val="18"/>
                <w:color w:val="auto"/>
              </w:rPr>
            </w:pPr>
          </w:p>
        </w:tc>
        <w:tc>
          <w:tcPr>
            <w:tcW w:w="760" w:type="dxa"/>
            <w:vAlign w:val="bottom"/>
            <w:gridSpan w:val="2"/>
          </w:tcPr>
          <w:p>
            <w:pPr>
              <w:jc w:val="right"/>
              <w:spacing w:after="0"/>
              <w:rPr>
                <w:sz w:val="20"/>
                <w:szCs w:val="20"/>
                <w:color w:val="auto"/>
              </w:rPr>
            </w:pPr>
            <w:r>
              <w:rPr>
                <w:rFonts w:ascii="Arial" w:cs="Arial" w:eastAsia="Arial" w:hAnsi="Arial"/>
                <w:sz w:val="18"/>
                <w:szCs w:val="18"/>
                <w:color w:val="auto"/>
              </w:rPr>
              <w:t>(2,386)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shd w:val="clear" w:color="auto" w:fill="CCEEFF"/>
          </w:tcPr>
          <w:p>
            <w:pPr>
              <w:ind w:left="700"/>
              <w:spacing w:after="0"/>
              <w:rPr>
                <w:sz w:val="20"/>
                <w:szCs w:val="20"/>
                <w:color w:val="auto"/>
              </w:rPr>
            </w:pPr>
            <w:r>
              <w:rPr>
                <w:rFonts w:ascii="Arial" w:cs="Arial" w:eastAsia="Arial" w:hAnsi="Arial"/>
                <w:sz w:val="18"/>
                <w:szCs w:val="18"/>
                <w:color w:val="auto"/>
              </w:rPr>
              <w:t>Accrued liabilities and employee related liabilities</w:t>
            </w:r>
          </w:p>
        </w:tc>
        <w:tc>
          <w:tcPr>
            <w:tcW w:w="1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(439)</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11,481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tcPr>
          <w:p>
            <w:pPr>
              <w:ind w:left="700"/>
              <w:spacing w:after="0"/>
              <w:rPr>
                <w:sz w:val="20"/>
                <w:szCs w:val="20"/>
                <w:color w:val="auto"/>
              </w:rPr>
            </w:pPr>
            <w:r>
              <w:rPr>
                <w:rFonts w:ascii="Arial" w:cs="Arial" w:eastAsia="Arial" w:hAnsi="Arial"/>
                <w:sz w:val="18"/>
                <w:szCs w:val="18"/>
                <w:color w:val="auto"/>
              </w:rPr>
              <w:t>Income taxes receivable/payable</w:t>
            </w:r>
          </w:p>
        </w:tc>
        <w:tc>
          <w:tcPr>
            <w:tcW w:w="1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1,042</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835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shd w:val="clear" w:color="auto" w:fill="CCEEFF"/>
          </w:tcPr>
          <w:p>
            <w:pPr>
              <w:ind w:left="700"/>
              <w:spacing w:after="0"/>
              <w:rPr>
                <w:sz w:val="20"/>
                <w:szCs w:val="20"/>
                <w:color w:val="auto"/>
              </w:rPr>
            </w:pPr>
            <w:r>
              <w:rPr>
                <w:rFonts w:ascii="Arial" w:cs="Arial" w:eastAsia="Arial" w:hAnsi="Arial"/>
                <w:sz w:val="18"/>
                <w:szCs w:val="18"/>
                <w:color w:val="auto"/>
              </w:rPr>
              <w:t>Deferred rent</w:t>
            </w:r>
          </w:p>
        </w:tc>
        <w:tc>
          <w:tcPr>
            <w:tcW w:w="1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(222)</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(535)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tcPr>
          <w:p>
            <w:pPr>
              <w:ind w:left="700"/>
              <w:spacing w:after="0"/>
              <w:rPr>
                <w:sz w:val="20"/>
                <w:szCs w:val="20"/>
                <w:color w:val="auto"/>
              </w:rPr>
            </w:pPr>
            <w:r>
              <w:rPr>
                <w:rFonts w:ascii="Arial" w:cs="Arial" w:eastAsia="Arial" w:hAnsi="Arial"/>
                <w:sz w:val="18"/>
                <w:szCs w:val="18"/>
                <w:color w:val="auto"/>
              </w:rPr>
              <w:t>Deferred revenue</w:t>
            </w:r>
          </w:p>
        </w:tc>
        <w:tc>
          <w:tcPr>
            <w:tcW w:w="1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11,265</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9,344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shd w:val="clear" w:color="auto" w:fill="CCEEFF"/>
          </w:tcPr>
          <w:p>
            <w:pPr>
              <w:ind w:left="700"/>
              <w:spacing w:after="0"/>
              <w:rPr>
                <w:sz w:val="20"/>
                <w:szCs w:val="20"/>
                <w:color w:val="auto"/>
              </w:rPr>
            </w:pPr>
            <w:r>
              <w:rPr>
                <w:rFonts w:ascii="Arial" w:cs="Arial" w:eastAsia="Arial" w:hAnsi="Arial"/>
                <w:sz w:val="18"/>
                <w:szCs w:val="18"/>
                <w:color w:val="auto"/>
              </w:rPr>
              <w:t>Student deposits</w:t>
            </w:r>
          </w:p>
        </w:tc>
        <w:tc>
          <w:tcPr>
            <w:tcW w:w="1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(6,361)</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(5,877)</w:t>
            </w:r>
          </w:p>
        </w:tc>
        <w:tc>
          <w:tcPr>
            <w:tcW w:w="0" w:type="dxa"/>
            <w:vAlign w:val="bottom"/>
          </w:tcPr>
          <w:p>
            <w:pPr>
              <w:spacing w:after="0"/>
              <w:rPr>
                <w:sz w:val="1"/>
                <w:szCs w:val="1"/>
                <w:color w:val="auto"/>
              </w:rPr>
            </w:pPr>
          </w:p>
        </w:tc>
      </w:tr>
      <w:tr>
        <w:trPr>
          <w:trHeight w:val="230"/>
        </w:trPr>
        <w:tc>
          <w:tcPr>
            <w:tcW w:w="8180" w:type="dxa"/>
            <w:vAlign w:val="bottom"/>
            <w:gridSpan w:val="3"/>
          </w:tcPr>
          <w:p>
            <w:pPr>
              <w:spacing w:after="0"/>
              <w:rPr>
                <w:sz w:val="20"/>
                <w:szCs w:val="20"/>
                <w:color w:val="auto"/>
              </w:rPr>
            </w:pPr>
            <w:r>
              <w:rPr>
                <w:rFonts w:ascii="Arial" w:cs="Arial" w:eastAsia="Arial" w:hAnsi="Arial"/>
                <w:sz w:val="18"/>
                <w:szCs w:val="18"/>
                <w:b w:val="1"/>
                <w:bCs w:val="1"/>
                <w:color w:val="auto"/>
              </w:rPr>
              <w:t>Net cash provided by operating activities</w:t>
            </w:r>
          </w:p>
        </w:tc>
        <w:tc>
          <w:tcPr>
            <w:tcW w:w="138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6"/>
              </w:rPr>
              <w:t>133,660</w:t>
            </w:r>
          </w:p>
        </w:tc>
        <w:tc>
          <w:tcPr>
            <w:tcW w:w="32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112,464</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Cash flows used in investing activities:</w:t>
            </w:r>
          </w:p>
        </w:tc>
        <w:tc>
          <w:tcPr>
            <w:tcW w:w="1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tcPr>
          <w:p>
            <w:pPr>
              <w:ind w:left="340"/>
              <w:spacing w:after="0"/>
              <w:rPr>
                <w:sz w:val="20"/>
                <w:szCs w:val="20"/>
                <w:color w:val="auto"/>
              </w:rPr>
            </w:pPr>
            <w:r>
              <w:rPr>
                <w:rFonts w:ascii="Arial" w:cs="Arial" w:eastAsia="Arial" w:hAnsi="Arial"/>
                <w:sz w:val="18"/>
                <w:szCs w:val="18"/>
                <w:color w:val="auto"/>
              </w:rPr>
              <w:t>Capital expenditures</w:t>
            </w:r>
          </w:p>
        </w:tc>
        <w:tc>
          <w:tcPr>
            <w:tcW w:w="1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2"/>
          </w:tcPr>
          <w:p>
            <w:pPr>
              <w:jc w:val="right"/>
              <w:ind w:right="260"/>
              <w:spacing w:after="0"/>
              <w:rPr>
                <w:sz w:val="20"/>
                <w:szCs w:val="20"/>
                <w:color w:val="auto"/>
              </w:rPr>
            </w:pPr>
            <w:r>
              <w:rPr>
                <w:rFonts w:ascii="Arial" w:cs="Arial" w:eastAsia="Arial" w:hAnsi="Arial"/>
                <w:sz w:val="18"/>
                <w:szCs w:val="18"/>
                <w:color w:val="auto"/>
                <w:w w:val="92"/>
              </w:rPr>
              <w:t>(50,491)</w:t>
            </w:r>
          </w:p>
        </w:tc>
        <w:tc>
          <w:tcPr>
            <w:tcW w:w="100" w:type="dxa"/>
            <w:vAlign w:val="bottom"/>
          </w:tcPr>
          <w:p>
            <w:pPr>
              <w:spacing w:after="0"/>
              <w:rPr>
                <w:sz w:val="18"/>
                <w:szCs w:val="18"/>
                <w:color w:val="auto"/>
              </w:rPr>
            </w:pPr>
          </w:p>
        </w:tc>
        <w:tc>
          <w:tcPr>
            <w:tcW w:w="760" w:type="dxa"/>
            <w:vAlign w:val="bottom"/>
            <w:gridSpan w:val="2"/>
          </w:tcPr>
          <w:p>
            <w:pPr>
              <w:jc w:val="right"/>
              <w:spacing w:after="0"/>
              <w:rPr>
                <w:sz w:val="20"/>
                <w:szCs w:val="20"/>
                <w:color w:val="auto"/>
              </w:rPr>
            </w:pPr>
            <w:r>
              <w:rPr>
                <w:rFonts w:ascii="Arial" w:cs="Arial" w:eastAsia="Arial" w:hAnsi="Arial"/>
                <w:sz w:val="18"/>
                <w:szCs w:val="18"/>
                <w:color w:val="auto"/>
                <w:w w:val="90"/>
              </w:rPr>
              <w:t>(115,615)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Purchases of land, building and golf course improvements related to off-site development</w:t>
            </w:r>
          </w:p>
        </w:tc>
        <w:tc>
          <w:tcPr>
            <w:tcW w:w="1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(9,374)</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(24,769)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tcPr>
          <w:p>
            <w:pPr>
              <w:ind w:left="340"/>
              <w:spacing w:after="0"/>
              <w:rPr>
                <w:sz w:val="20"/>
                <w:szCs w:val="20"/>
                <w:color w:val="auto"/>
              </w:rPr>
            </w:pPr>
            <w:r>
              <w:rPr>
                <w:rFonts w:ascii="Arial" w:cs="Arial" w:eastAsia="Arial" w:hAnsi="Arial"/>
                <w:sz w:val="18"/>
                <w:szCs w:val="18"/>
                <w:color w:val="auto"/>
              </w:rPr>
              <w:t>Proceeds received from note receivable</w:t>
            </w:r>
          </w:p>
        </w:tc>
        <w:tc>
          <w:tcPr>
            <w:tcW w:w="1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2"/>
          </w:tcPr>
          <w:p>
            <w:pPr>
              <w:jc w:val="right"/>
              <w:ind w:right="4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501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Return of equity method investment</w:t>
            </w:r>
          </w:p>
        </w:tc>
        <w:tc>
          <w:tcPr>
            <w:tcW w:w="1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1,749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tcPr>
          <w:p>
            <w:pPr>
              <w:ind w:left="340"/>
              <w:spacing w:after="0"/>
              <w:rPr>
                <w:sz w:val="20"/>
                <w:szCs w:val="20"/>
                <w:color w:val="auto"/>
              </w:rPr>
            </w:pPr>
            <w:r>
              <w:rPr>
                <w:rFonts w:ascii="Arial" w:cs="Arial" w:eastAsia="Arial" w:hAnsi="Arial"/>
                <w:sz w:val="18"/>
                <w:szCs w:val="18"/>
                <w:color w:val="auto"/>
              </w:rPr>
              <w:t>Purchases of investments</w:t>
            </w:r>
          </w:p>
        </w:tc>
        <w:tc>
          <w:tcPr>
            <w:tcW w:w="1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2"/>
          </w:tcPr>
          <w:p>
            <w:pPr>
              <w:jc w:val="right"/>
              <w:ind w:right="260"/>
              <w:spacing w:after="0"/>
              <w:rPr>
                <w:sz w:val="20"/>
                <w:szCs w:val="20"/>
                <w:color w:val="auto"/>
              </w:rPr>
            </w:pPr>
            <w:r>
              <w:rPr>
                <w:rFonts w:ascii="Arial" w:cs="Arial" w:eastAsia="Arial" w:hAnsi="Arial"/>
                <w:sz w:val="18"/>
                <w:szCs w:val="18"/>
                <w:color w:val="auto"/>
                <w:w w:val="92"/>
              </w:rPr>
              <w:t>(52,181)</w:t>
            </w:r>
          </w:p>
        </w:tc>
        <w:tc>
          <w:tcPr>
            <w:tcW w:w="100" w:type="dxa"/>
            <w:vAlign w:val="bottom"/>
          </w:tcPr>
          <w:p>
            <w:pPr>
              <w:spacing w:after="0"/>
              <w:rPr>
                <w:sz w:val="18"/>
                <w:szCs w:val="18"/>
                <w:color w:val="auto"/>
              </w:rPr>
            </w:pPr>
          </w:p>
        </w:tc>
        <w:tc>
          <w:tcPr>
            <w:tcW w:w="760" w:type="dxa"/>
            <w:vAlign w:val="bottom"/>
            <w:gridSpan w:val="2"/>
          </w:tcPr>
          <w:p>
            <w:pPr>
              <w:jc w:val="right"/>
              <w:spacing w:after="0"/>
              <w:rPr>
                <w:sz w:val="20"/>
                <w:szCs w:val="20"/>
                <w:color w:val="auto"/>
              </w:rPr>
            </w:pPr>
            <w:r>
              <w:rPr>
                <w:rFonts w:ascii="Arial" w:cs="Arial" w:eastAsia="Arial" w:hAnsi="Arial"/>
                <w:sz w:val="18"/>
                <w:szCs w:val="18"/>
                <w:color w:val="auto"/>
              </w:rPr>
              <w:t>(23,525)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Proceeds from sale or maturity of investments</w:t>
            </w:r>
          </w:p>
        </w:tc>
        <w:tc>
          <w:tcPr>
            <w:tcW w:w="1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25,363</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57,449</w:t>
            </w:r>
          </w:p>
        </w:tc>
        <w:tc>
          <w:tcPr>
            <w:tcW w:w="0" w:type="dxa"/>
            <w:vAlign w:val="bottom"/>
          </w:tcPr>
          <w:p>
            <w:pPr>
              <w:spacing w:after="0"/>
              <w:rPr>
                <w:sz w:val="1"/>
                <w:szCs w:val="1"/>
                <w:color w:val="auto"/>
              </w:rPr>
            </w:pPr>
          </w:p>
        </w:tc>
      </w:tr>
      <w:tr>
        <w:trPr>
          <w:trHeight w:val="230"/>
        </w:trPr>
        <w:tc>
          <w:tcPr>
            <w:tcW w:w="8180" w:type="dxa"/>
            <w:vAlign w:val="bottom"/>
            <w:gridSpan w:val="3"/>
          </w:tcPr>
          <w:p>
            <w:pPr>
              <w:spacing w:after="0"/>
              <w:rPr>
                <w:sz w:val="20"/>
                <w:szCs w:val="20"/>
                <w:color w:val="auto"/>
              </w:rPr>
            </w:pPr>
            <w:r>
              <w:rPr>
                <w:rFonts w:ascii="Arial" w:cs="Arial" w:eastAsia="Arial" w:hAnsi="Arial"/>
                <w:sz w:val="18"/>
                <w:szCs w:val="18"/>
                <w:b w:val="1"/>
                <w:bCs w:val="1"/>
                <w:color w:val="auto"/>
              </w:rPr>
              <w:t>Net cash used in investing activities</w:t>
            </w:r>
          </w:p>
        </w:tc>
        <w:tc>
          <w:tcPr>
            <w:tcW w:w="138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3"/>
              </w:rPr>
              <w:t>(86,683)</w:t>
            </w:r>
          </w:p>
        </w:tc>
        <w:tc>
          <w:tcPr>
            <w:tcW w:w="32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0"/>
              </w:rPr>
              <w:t>(104,210</w:t>
            </w:r>
          </w:p>
        </w:tc>
        <w:tc>
          <w:tcPr>
            <w:tcW w:w="100" w:type="dxa"/>
            <w:vAlign w:val="bottom"/>
          </w:tcPr>
          <w:p>
            <w:pPr>
              <w:jc w:val="right"/>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Cash flows (used in) provided by financing activities:</w:t>
            </w:r>
          </w:p>
        </w:tc>
        <w:tc>
          <w:tcPr>
            <w:tcW w:w="1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tcPr>
          <w:p>
            <w:pPr>
              <w:ind w:left="340"/>
              <w:spacing w:after="0"/>
              <w:rPr>
                <w:sz w:val="20"/>
                <w:szCs w:val="20"/>
                <w:color w:val="auto"/>
              </w:rPr>
            </w:pPr>
            <w:r>
              <w:rPr>
                <w:rFonts w:ascii="Arial" w:cs="Arial" w:eastAsia="Arial" w:hAnsi="Arial"/>
                <w:sz w:val="18"/>
                <w:szCs w:val="18"/>
                <w:color w:val="auto"/>
              </w:rPr>
              <w:t>Principal payments on notes payable and capital lease obligations</w:t>
            </w:r>
          </w:p>
        </w:tc>
        <w:tc>
          <w:tcPr>
            <w:tcW w:w="1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2"/>
          </w:tcPr>
          <w:p>
            <w:pPr>
              <w:jc w:val="right"/>
              <w:ind w:right="260"/>
              <w:spacing w:after="0"/>
              <w:rPr>
                <w:sz w:val="20"/>
                <w:szCs w:val="20"/>
                <w:color w:val="auto"/>
              </w:rPr>
            </w:pPr>
            <w:r>
              <w:rPr>
                <w:rFonts w:ascii="Arial" w:cs="Arial" w:eastAsia="Arial" w:hAnsi="Arial"/>
                <w:sz w:val="18"/>
                <w:szCs w:val="18"/>
                <w:color w:val="auto"/>
              </w:rPr>
              <w:t>(3,400)</w:t>
            </w:r>
          </w:p>
        </w:tc>
        <w:tc>
          <w:tcPr>
            <w:tcW w:w="100" w:type="dxa"/>
            <w:vAlign w:val="bottom"/>
          </w:tcPr>
          <w:p>
            <w:pPr>
              <w:spacing w:after="0"/>
              <w:rPr>
                <w:sz w:val="18"/>
                <w:szCs w:val="18"/>
                <w:color w:val="auto"/>
              </w:rPr>
            </w:pPr>
          </w:p>
        </w:tc>
        <w:tc>
          <w:tcPr>
            <w:tcW w:w="760" w:type="dxa"/>
            <w:vAlign w:val="bottom"/>
            <w:gridSpan w:val="2"/>
          </w:tcPr>
          <w:p>
            <w:pPr>
              <w:jc w:val="right"/>
              <w:spacing w:after="0"/>
              <w:rPr>
                <w:sz w:val="20"/>
                <w:szCs w:val="20"/>
                <w:color w:val="auto"/>
              </w:rPr>
            </w:pPr>
            <w:r>
              <w:rPr>
                <w:rFonts w:ascii="Arial" w:cs="Arial" w:eastAsia="Arial" w:hAnsi="Arial"/>
                <w:sz w:val="18"/>
                <w:szCs w:val="18"/>
                <w:color w:val="auto"/>
              </w:rPr>
              <w:t>(3,831)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Debt issuance costs</w:t>
            </w:r>
          </w:p>
        </w:tc>
        <w:tc>
          <w:tcPr>
            <w:tcW w:w="1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(194)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tcPr>
          <w:p>
            <w:pPr>
              <w:ind w:left="340"/>
              <w:spacing w:after="0"/>
              <w:rPr>
                <w:sz w:val="20"/>
                <w:szCs w:val="20"/>
                <w:color w:val="auto"/>
              </w:rPr>
            </w:pPr>
            <w:r>
              <w:rPr>
                <w:rFonts w:ascii="Arial" w:cs="Arial" w:eastAsia="Arial" w:hAnsi="Arial"/>
                <w:sz w:val="18"/>
                <w:szCs w:val="18"/>
                <w:color w:val="auto"/>
              </w:rPr>
              <w:t>Net borrowings from revolving line of credit</w:t>
            </w:r>
          </w:p>
        </w:tc>
        <w:tc>
          <w:tcPr>
            <w:tcW w:w="1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2"/>
          </w:tcPr>
          <w:p>
            <w:pPr>
              <w:jc w:val="right"/>
              <w:ind w:right="260"/>
              <w:spacing w:after="0"/>
              <w:rPr>
                <w:sz w:val="20"/>
                <w:szCs w:val="20"/>
                <w:color w:val="auto"/>
              </w:rPr>
            </w:pPr>
            <w:r>
              <w:rPr>
                <w:rFonts w:ascii="Arial" w:cs="Arial" w:eastAsia="Arial" w:hAnsi="Arial"/>
                <w:sz w:val="18"/>
                <w:szCs w:val="18"/>
                <w:color w:val="auto"/>
                <w:w w:val="92"/>
              </w:rPr>
              <w:t>(25,000)</w:t>
            </w:r>
          </w:p>
        </w:tc>
        <w:tc>
          <w:tcPr>
            <w:tcW w:w="100" w:type="dxa"/>
            <w:vAlign w:val="bottom"/>
          </w:tcPr>
          <w:p>
            <w:pPr>
              <w:spacing w:after="0"/>
              <w:rPr>
                <w:sz w:val="18"/>
                <w:szCs w:val="18"/>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25,000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Repurchase of common shares including shares withheld in lieu of income taxes</w:t>
            </w:r>
          </w:p>
        </w:tc>
        <w:tc>
          <w:tcPr>
            <w:tcW w:w="1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(9,657)</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(19,227)</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160" w:type="dxa"/>
            <w:vAlign w:val="bottom"/>
            <w:gridSpan w:val="2"/>
          </w:tcPr>
          <w:p>
            <w:pPr>
              <w:ind w:left="340"/>
              <w:spacing w:after="0"/>
              <w:rPr>
                <w:sz w:val="20"/>
                <w:szCs w:val="20"/>
                <w:color w:val="auto"/>
              </w:rPr>
            </w:pPr>
            <w:r>
              <w:rPr>
                <w:rFonts w:ascii="Arial" w:cs="Arial" w:eastAsia="Arial" w:hAnsi="Arial"/>
                <w:sz w:val="18"/>
                <w:szCs w:val="18"/>
                <w:color w:val="auto"/>
              </w:rPr>
              <w:t>Net proceeds from exercise of stock options</w:t>
            </w:r>
          </w:p>
        </w:tc>
        <w:tc>
          <w:tcPr>
            <w:tcW w:w="13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5,895</w:t>
            </w:r>
          </w:p>
        </w:tc>
        <w:tc>
          <w:tcPr>
            <w:tcW w:w="3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6,972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Net cash (used in) provided by financing activities</w:t>
            </w:r>
          </w:p>
        </w:tc>
        <w:tc>
          <w:tcPr>
            <w:tcW w:w="1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2"/>
              </w:rPr>
              <w:t>(32,162)</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8,720</w:t>
            </w:r>
          </w:p>
        </w:tc>
        <w:tc>
          <w:tcPr>
            <w:tcW w:w="0" w:type="dxa"/>
            <w:vAlign w:val="bottom"/>
          </w:tcPr>
          <w:p>
            <w:pPr>
              <w:spacing w:after="0"/>
              <w:rPr>
                <w:sz w:val="1"/>
                <w:szCs w:val="1"/>
                <w:color w:val="auto"/>
              </w:rPr>
            </w:pPr>
          </w:p>
        </w:tc>
      </w:tr>
      <w:tr>
        <w:trPr>
          <w:trHeight w:val="223"/>
        </w:trPr>
        <w:tc>
          <w:tcPr>
            <w:tcW w:w="8180" w:type="dxa"/>
            <w:vAlign w:val="bottom"/>
            <w:gridSpan w:val="3"/>
          </w:tcPr>
          <w:p>
            <w:pPr>
              <w:spacing w:after="0"/>
              <w:rPr>
                <w:sz w:val="20"/>
                <w:szCs w:val="20"/>
                <w:color w:val="auto"/>
              </w:rPr>
            </w:pPr>
            <w:r>
              <w:rPr>
                <w:rFonts w:ascii="Arial" w:cs="Arial" w:eastAsia="Arial" w:hAnsi="Arial"/>
                <w:sz w:val="18"/>
                <w:szCs w:val="18"/>
                <w:b w:val="1"/>
                <w:bCs w:val="1"/>
                <w:color w:val="auto"/>
              </w:rPr>
              <w:t>Net increase in cash and cash equivalents and restricted cash</w:t>
            </w:r>
          </w:p>
        </w:tc>
        <w:tc>
          <w:tcPr>
            <w:tcW w:w="138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14,815</w:t>
            </w:r>
          </w:p>
        </w:tc>
        <w:tc>
          <w:tcPr>
            <w:tcW w:w="3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16,974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Cash and cash equivalents and restricted cash, beginning of period</w:t>
            </w:r>
          </w:p>
        </w:tc>
        <w:tc>
          <w:tcPr>
            <w:tcW w:w="1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130,907</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98,420</w:t>
            </w:r>
          </w:p>
        </w:tc>
        <w:tc>
          <w:tcPr>
            <w:tcW w:w="0" w:type="dxa"/>
            <w:vAlign w:val="bottom"/>
          </w:tcPr>
          <w:p>
            <w:pPr>
              <w:spacing w:after="0"/>
              <w:rPr>
                <w:sz w:val="1"/>
                <w:szCs w:val="1"/>
                <w:color w:val="auto"/>
              </w:rPr>
            </w:pPr>
          </w:p>
        </w:tc>
      </w:tr>
      <w:tr>
        <w:trPr>
          <w:trHeight w:val="223"/>
        </w:trPr>
        <w:tc>
          <w:tcPr>
            <w:tcW w:w="8180" w:type="dxa"/>
            <w:vAlign w:val="bottom"/>
            <w:gridSpan w:val="3"/>
          </w:tcPr>
          <w:p>
            <w:pPr>
              <w:spacing w:after="0"/>
              <w:rPr>
                <w:sz w:val="20"/>
                <w:szCs w:val="20"/>
                <w:color w:val="auto"/>
              </w:rPr>
            </w:pPr>
            <w:r>
              <w:rPr>
                <w:rFonts w:ascii="Arial" w:cs="Arial" w:eastAsia="Arial" w:hAnsi="Arial"/>
                <w:sz w:val="18"/>
                <w:szCs w:val="18"/>
                <w:b w:val="1"/>
                <w:bCs w:val="1"/>
                <w:color w:val="auto"/>
              </w:rPr>
              <w:t>Cash and cash equivalents and restricted cash, end of period</w:t>
            </w:r>
          </w:p>
        </w:tc>
        <w:tc>
          <w:tcPr>
            <w:tcW w:w="138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u w:val="single" w:color="auto"/>
                <w:color w:val="auto"/>
                <w:w w:val="71"/>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6"/>
              </w:rPr>
              <w:t>145,722</w:t>
            </w:r>
          </w:p>
        </w:tc>
        <w:tc>
          <w:tcPr>
            <w:tcW w:w="32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115,394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728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81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Supplemental disclosure of cash flow information</w:t>
            </w:r>
          </w:p>
        </w:tc>
        <w:tc>
          <w:tcPr>
            <w:tcW w:w="1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tcPr>
          <w:p>
            <w:pPr>
              <w:ind w:left="340"/>
              <w:spacing w:after="0"/>
              <w:rPr>
                <w:sz w:val="20"/>
                <w:szCs w:val="20"/>
                <w:color w:val="auto"/>
              </w:rPr>
            </w:pPr>
            <w:r>
              <w:rPr>
                <w:rFonts w:ascii="Arial" w:cs="Arial" w:eastAsia="Arial" w:hAnsi="Arial"/>
                <w:sz w:val="18"/>
                <w:szCs w:val="18"/>
                <w:color w:val="auto"/>
              </w:rPr>
              <w:t>Cash paid for interest</w:t>
            </w:r>
          </w:p>
        </w:tc>
        <w:tc>
          <w:tcPr>
            <w:tcW w:w="14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1,167</w:t>
            </w:r>
          </w:p>
        </w:tc>
        <w:tc>
          <w:tcPr>
            <w:tcW w:w="32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481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Cash paid for income taxes</w:t>
            </w:r>
          </w:p>
        </w:tc>
        <w:tc>
          <w:tcPr>
            <w:tcW w:w="1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31,718</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40,176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tcPr>
          <w:p>
            <w:pPr>
              <w:spacing w:after="0"/>
              <w:rPr>
                <w:sz w:val="20"/>
                <w:szCs w:val="20"/>
                <w:color w:val="auto"/>
              </w:rPr>
            </w:pPr>
            <w:r>
              <w:rPr>
                <w:rFonts w:ascii="Arial" w:cs="Arial" w:eastAsia="Arial" w:hAnsi="Arial"/>
                <w:sz w:val="18"/>
                <w:szCs w:val="18"/>
                <w:b w:val="1"/>
                <w:bCs w:val="1"/>
                <w:color w:val="auto"/>
              </w:rPr>
              <w:t>Supplemental disclosure of non-cash investing and financing activities</w:t>
            </w:r>
          </w:p>
        </w:tc>
        <w:tc>
          <w:tcPr>
            <w:tcW w:w="1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Purchases of property and equipment included in accounts payable</w:t>
            </w:r>
          </w:p>
        </w:tc>
        <w:tc>
          <w:tcPr>
            <w:tcW w:w="1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7,118</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19,798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tcPr>
          <w:p>
            <w:pPr>
              <w:ind w:left="340"/>
              <w:spacing w:after="0"/>
              <w:rPr>
                <w:sz w:val="20"/>
                <w:szCs w:val="20"/>
                <w:color w:val="auto"/>
              </w:rPr>
            </w:pPr>
            <w:r>
              <w:rPr>
                <w:rFonts w:ascii="Arial" w:cs="Arial" w:eastAsia="Arial" w:hAnsi="Arial"/>
                <w:sz w:val="18"/>
                <w:szCs w:val="18"/>
                <w:color w:val="auto"/>
              </w:rPr>
              <w:t>Tax benefit of Spirit warrant intangible</w:t>
            </w:r>
          </w:p>
        </w:tc>
        <w:tc>
          <w:tcPr>
            <w:tcW w:w="14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400"/>
              <w:spacing w:after="0"/>
              <w:rPr>
                <w:sz w:val="20"/>
                <w:szCs w:val="20"/>
                <w:color w:val="auto"/>
              </w:rPr>
            </w:pPr>
            <w:r>
              <w:rPr>
                <w:rFonts w:ascii="Arial" w:cs="Arial" w:eastAsia="Arial" w:hAnsi="Arial"/>
                <w:sz w:val="18"/>
                <w:szCs w:val="18"/>
                <w:color w:val="auto"/>
              </w:rPr>
              <w:t>—</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127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Shortfall tax expense from share-based compensation</w:t>
            </w:r>
          </w:p>
        </w:tc>
        <w:tc>
          <w:tcPr>
            <w:tcW w:w="1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257</w:t>
            </w:r>
          </w:p>
        </w:tc>
        <w:tc>
          <w:tcPr>
            <w:tcW w:w="0" w:type="dxa"/>
            <w:vAlign w:val="bottom"/>
          </w:tcPr>
          <w:p>
            <w:pPr>
              <w:spacing w:after="0"/>
              <w:rPr>
                <w:sz w:val="1"/>
                <w:szCs w:val="1"/>
                <w:color w:val="auto"/>
              </w:rPr>
            </w:pPr>
          </w:p>
        </w:tc>
      </w:tr>
    </w:tbl>
    <w:p>
      <w:pPr>
        <w:sectPr>
          <w:pgSz w:w="11900" w:h="16838" w:orient="portrait"/>
          <w:cols w:equalWidth="0" w:num="1">
            <w:col w:w="11420"/>
          </w:cols>
          <w:pgMar w:left="240" w:top="270" w:right="239" w:bottom="1440" w:gutter="0" w:footer="0" w:header="0"/>
        </w:sectPr>
      </w:pPr>
    </w:p>
    <w:bookmarkStart w:id="14" w:name="page15"/>
    <w:bookmarkEnd w:id="14"/>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Grand Canyon Education, Inc. Reports Second Quarter 2017 Results</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color w:val="auto"/>
        </w:rPr>
        <w:t>The following is a summary of our student enrollment at June 30, 2017 and 2016 by degree type and by instructional delivery method:</w:t>
      </w:r>
    </w:p>
    <w:p>
      <w:pPr>
        <w:spacing w:after="0" w:line="244" w:lineRule="exact"/>
        <w:rPr>
          <w:sz w:val="20"/>
          <w:szCs w:val="20"/>
          <w:color w:val="auto"/>
        </w:rPr>
      </w:pPr>
    </w:p>
    <w:tbl>
      <w:tblPr>
        <w:tblLayout w:type="fixed"/>
        <w:tblInd w:w="46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5560" w:type="dxa"/>
            <w:vAlign w:val="bottom"/>
          </w:tcPr>
          <w:p>
            <w:pPr>
              <w:spacing w:after="0"/>
              <w:rPr>
                <w:sz w:val="14"/>
                <w:szCs w:val="14"/>
                <w:color w:val="auto"/>
              </w:rPr>
            </w:pPr>
          </w:p>
        </w:tc>
        <w:tc>
          <w:tcPr>
            <w:tcW w:w="1360" w:type="dxa"/>
            <w:vAlign w:val="bottom"/>
            <w:gridSpan w:val="2"/>
          </w:tcPr>
          <w:p>
            <w:pPr>
              <w:jc w:val="right"/>
              <w:ind w:right="140"/>
              <w:spacing w:after="0"/>
              <w:rPr>
                <w:sz w:val="20"/>
                <w:szCs w:val="20"/>
                <w:color w:val="auto"/>
              </w:rPr>
            </w:pPr>
            <w:r>
              <w:rPr>
                <w:rFonts w:ascii="Arial" w:cs="Arial" w:eastAsia="Arial" w:hAnsi="Arial"/>
                <w:sz w:val="14"/>
                <w:szCs w:val="14"/>
                <w:b w:val="1"/>
                <w:bCs w:val="1"/>
                <w:color w:val="auto"/>
              </w:rPr>
              <w:t>2017</w:t>
            </w:r>
            <w:r>
              <w:rPr>
                <w:rFonts w:ascii="Arial" w:cs="Arial" w:eastAsia="Arial" w:hAnsi="Arial"/>
                <w:sz w:val="12"/>
                <w:szCs w:val="12"/>
                <w:b w:val="1"/>
                <w:bCs w:val="1"/>
                <w:color w:val="auto"/>
              </w:rPr>
              <w:t>(1)</w:t>
            </w:r>
          </w:p>
        </w:tc>
        <w:tc>
          <w:tcPr>
            <w:tcW w:w="6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340" w:type="dxa"/>
            <w:vAlign w:val="bottom"/>
            <w:gridSpan w:val="2"/>
          </w:tcPr>
          <w:p>
            <w:pPr>
              <w:jc w:val="right"/>
              <w:ind w:right="140"/>
              <w:spacing w:after="0"/>
              <w:rPr>
                <w:sz w:val="20"/>
                <w:szCs w:val="20"/>
                <w:color w:val="auto"/>
              </w:rPr>
            </w:pPr>
            <w:r>
              <w:rPr>
                <w:rFonts w:ascii="Arial" w:cs="Arial" w:eastAsia="Arial" w:hAnsi="Arial"/>
                <w:sz w:val="14"/>
                <w:szCs w:val="14"/>
                <w:b w:val="1"/>
                <w:bCs w:val="1"/>
                <w:color w:val="auto"/>
              </w:rPr>
              <w:t>2016</w:t>
            </w:r>
            <w:r>
              <w:rPr>
                <w:rFonts w:ascii="Arial" w:cs="Arial" w:eastAsia="Arial" w:hAnsi="Arial"/>
                <w:sz w:val="12"/>
                <w:szCs w:val="12"/>
                <w:b w:val="1"/>
                <w:bCs w:val="1"/>
                <w:color w:val="auto"/>
              </w:rPr>
              <w:t>(1)</w:t>
            </w:r>
          </w:p>
        </w:tc>
        <w:tc>
          <w:tcPr>
            <w:tcW w:w="6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560" w:type="dxa"/>
            <w:vAlign w:val="bottom"/>
            <w:tcBorders>
              <w:bottom w:val="single" w:sz="8" w:color="CCEEFF"/>
            </w:tcBorders>
          </w:tcPr>
          <w:p>
            <w:pPr>
              <w:spacing w:after="0"/>
              <w:rPr>
                <w:sz w:val="12"/>
                <w:szCs w:val="12"/>
                <w:color w:val="auto"/>
              </w:rPr>
            </w:pPr>
          </w:p>
        </w:tc>
        <w:tc>
          <w:tcPr>
            <w:tcW w:w="7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7"/>
              </w:rPr>
              <w:t># of Students</w:t>
            </w:r>
          </w:p>
        </w:tc>
        <w:tc>
          <w:tcPr>
            <w:tcW w:w="580" w:type="dxa"/>
            <w:vAlign w:val="bottom"/>
            <w:tcBorders>
              <w:top w:val="single" w:sz="8" w:color="auto"/>
              <w:bottom w:val="single" w:sz="8" w:color="CCEEFF"/>
            </w:tcBorders>
          </w:tcPr>
          <w:p>
            <w:pPr>
              <w:spacing w:after="0"/>
              <w:rPr>
                <w:sz w:val="12"/>
                <w:szCs w:val="12"/>
                <w:color w:val="auto"/>
              </w:rPr>
            </w:pPr>
          </w:p>
        </w:tc>
        <w:tc>
          <w:tcPr>
            <w:tcW w:w="640" w:type="dxa"/>
            <w:vAlign w:val="bottom"/>
            <w:tcBorders>
              <w:top w:val="single" w:sz="8" w:color="auto"/>
              <w:bottom w:val="single" w:sz="8" w:color="auto"/>
            </w:tcBorders>
          </w:tcPr>
          <w:p>
            <w:pPr>
              <w:spacing w:after="0" w:line="142" w:lineRule="exact"/>
              <w:rPr>
                <w:sz w:val="20"/>
                <w:szCs w:val="20"/>
                <w:color w:val="auto"/>
              </w:rPr>
            </w:pPr>
            <w:r>
              <w:rPr>
                <w:rFonts w:ascii="Arial" w:cs="Arial" w:eastAsia="Arial" w:hAnsi="Arial"/>
                <w:sz w:val="14"/>
                <w:szCs w:val="14"/>
                <w:b w:val="1"/>
                <w:bCs w:val="1"/>
                <w:color w:val="auto"/>
                <w:w w:val="89"/>
              </w:rPr>
              <w:t>% of Total</w:t>
            </w:r>
          </w:p>
        </w:tc>
        <w:tc>
          <w:tcPr>
            <w:tcW w:w="720" w:type="dxa"/>
            <w:vAlign w:val="bottom"/>
            <w:tcBorders>
              <w:bottom w:val="single" w:sz="8" w:color="CCEEFF"/>
            </w:tcBorders>
          </w:tcPr>
          <w:p>
            <w:pPr>
              <w:spacing w:after="0"/>
              <w:rPr>
                <w:sz w:val="12"/>
                <w:szCs w:val="12"/>
                <w:color w:val="auto"/>
              </w:rPr>
            </w:pPr>
          </w:p>
        </w:tc>
        <w:tc>
          <w:tcPr>
            <w:tcW w:w="7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7"/>
              </w:rPr>
              <w:t># of Students</w:t>
            </w:r>
          </w:p>
        </w:tc>
        <w:tc>
          <w:tcPr>
            <w:tcW w:w="560" w:type="dxa"/>
            <w:vAlign w:val="bottom"/>
            <w:tcBorders>
              <w:top w:val="single" w:sz="8" w:color="auto"/>
              <w:bottom w:val="single" w:sz="8" w:color="CCEEFF"/>
            </w:tcBorders>
          </w:tcPr>
          <w:p>
            <w:pPr>
              <w:spacing w:after="0"/>
              <w:rPr>
                <w:sz w:val="12"/>
                <w:szCs w:val="12"/>
                <w:color w:val="auto"/>
              </w:rPr>
            </w:pPr>
          </w:p>
        </w:tc>
        <w:tc>
          <w:tcPr>
            <w:tcW w:w="660" w:type="dxa"/>
            <w:vAlign w:val="bottom"/>
            <w:tcBorders>
              <w:top w:val="single" w:sz="8" w:color="auto"/>
              <w:bottom w:val="single" w:sz="8" w:color="auto"/>
            </w:tcBorders>
          </w:tcPr>
          <w:p>
            <w:pPr>
              <w:ind w:left="20"/>
              <w:spacing w:after="0" w:line="142" w:lineRule="exact"/>
              <w:rPr>
                <w:sz w:val="20"/>
                <w:szCs w:val="20"/>
                <w:color w:val="auto"/>
              </w:rPr>
            </w:pPr>
            <w:r>
              <w:rPr>
                <w:rFonts w:ascii="Arial" w:cs="Arial" w:eastAsia="Arial" w:hAnsi="Arial"/>
                <w:sz w:val="14"/>
                <w:szCs w:val="14"/>
                <w:b w:val="1"/>
                <w:bCs w:val="1"/>
                <w:color w:val="auto"/>
                <w:w w:val="92"/>
              </w:rPr>
              <w:t>% of Total</w:t>
            </w:r>
          </w:p>
        </w:tc>
        <w:tc>
          <w:tcPr>
            <w:tcW w:w="2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56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color w:val="auto"/>
              </w:rPr>
              <w:t>Graduate degrees</w:t>
            </w:r>
            <w:r>
              <w:rPr>
                <w:rFonts w:ascii="Arial" w:cs="Arial" w:eastAsia="Arial" w:hAnsi="Arial"/>
                <w:sz w:val="15"/>
                <w:szCs w:val="15"/>
                <w:color w:val="auto"/>
              </w:rPr>
              <w:t>(2)</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35,702</w:t>
            </w:r>
          </w:p>
        </w:tc>
        <w:tc>
          <w:tcPr>
            <w:tcW w:w="580" w:type="dxa"/>
            <w:vAlign w:val="bottom"/>
            <w:tcBorders>
              <w:left w:val="single" w:sz="8" w:color="CCEEFF"/>
              <w:right w:val="single" w:sz="8" w:color="CCEEFF"/>
            </w:tcBorders>
            <w:shd w:val="clear" w:color="auto" w:fill="CCEEFF"/>
          </w:tcPr>
          <w:p>
            <w:pPr>
              <w:spacing w:after="0"/>
              <w:rPr>
                <w:sz w:val="18"/>
                <w:szCs w:val="18"/>
                <w:color w:val="auto"/>
              </w:rPr>
            </w:pPr>
          </w:p>
        </w:tc>
        <w:tc>
          <w:tcPr>
            <w:tcW w:w="1360" w:type="dxa"/>
            <w:vAlign w:val="bottom"/>
            <w:tcBorders>
              <w:right w:val="single" w:sz="8" w:color="CCEEFF"/>
            </w:tcBorders>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47.9%</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31,136</w:t>
            </w:r>
          </w:p>
        </w:tc>
        <w:tc>
          <w:tcPr>
            <w:tcW w:w="560" w:type="dxa"/>
            <w:vAlign w:val="bottom"/>
            <w:tcBorders>
              <w:left w:val="single" w:sz="8" w:color="CCEEFF"/>
            </w:tcBorders>
            <w:shd w:val="clear" w:color="auto" w:fill="CCEEFF"/>
          </w:tcPr>
          <w:p>
            <w:pPr>
              <w:spacing w:after="0"/>
              <w:rPr>
                <w:sz w:val="18"/>
                <w:szCs w:val="18"/>
                <w:color w:val="auto"/>
              </w:rPr>
            </w:pP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46.2%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60" w:type="dxa"/>
            <w:vAlign w:val="bottom"/>
          </w:tcPr>
          <w:p>
            <w:pPr>
              <w:spacing w:after="0"/>
              <w:rPr>
                <w:sz w:val="20"/>
                <w:szCs w:val="20"/>
                <w:color w:val="auto"/>
              </w:rPr>
            </w:pPr>
            <w:r>
              <w:rPr>
                <w:rFonts w:ascii="Arial" w:cs="Arial" w:eastAsia="Arial" w:hAnsi="Arial"/>
                <w:sz w:val="18"/>
                <w:szCs w:val="18"/>
                <w:color w:val="auto"/>
              </w:rPr>
              <w:t>Undergraduate degree</w:t>
            </w:r>
          </w:p>
        </w:tc>
        <w:tc>
          <w:tcPr>
            <w:tcW w:w="780" w:type="dxa"/>
            <w:vAlign w:val="bottom"/>
          </w:tcPr>
          <w:p>
            <w:pPr>
              <w:jc w:val="right"/>
              <w:spacing w:after="0"/>
              <w:rPr>
                <w:sz w:val="20"/>
                <w:szCs w:val="20"/>
                <w:color w:val="auto"/>
              </w:rPr>
            </w:pPr>
            <w:r>
              <w:rPr>
                <w:rFonts w:ascii="Arial" w:cs="Arial" w:eastAsia="Arial" w:hAnsi="Arial"/>
                <w:sz w:val="18"/>
                <w:szCs w:val="18"/>
                <w:color w:val="auto"/>
              </w:rPr>
              <w:t>38,783</w:t>
            </w:r>
          </w:p>
        </w:tc>
        <w:tc>
          <w:tcPr>
            <w:tcW w:w="580" w:type="dxa"/>
            <w:vAlign w:val="bottom"/>
          </w:tcPr>
          <w:p>
            <w:pPr>
              <w:spacing w:after="0"/>
              <w:rPr>
                <w:sz w:val="18"/>
                <w:szCs w:val="18"/>
                <w:color w:val="auto"/>
              </w:rPr>
            </w:pPr>
          </w:p>
        </w:tc>
        <w:tc>
          <w:tcPr>
            <w:tcW w:w="1360" w:type="dxa"/>
            <w:vAlign w:val="bottom"/>
            <w:gridSpan w:val="2"/>
          </w:tcPr>
          <w:p>
            <w:pPr>
              <w:jc w:val="right"/>
              <w:ind w:right="560"/>
              <w:spacing w:after="0"/>
              <w:rPr>
                <w:sz w:val="20"/>
                <w:szCs w:val="20"/>
                <w:color w:val="auto"/>
              </w:rPr>
            </w:pPr>
            <w:r>
              <w:rPr>
                <w:rFonts w:ascii="Arial" w:cs="Arial" w:eastAsia="Arial" w:hAnsi="Arial"/>
                <w:sz w:val="18"/>
                <w:szCs w:val="18"/>
                <w:color w:val="auto"/>
              </w:rPr>
              <w:t>52.1%</w:t>
            </w:r>
          </w:p>
        </w:tc>
        <w:tc>
          <w:tcPr>
            <w:tcW w:w="1340" w:type="dxa"/>
            <w:vAlign w:val="bottom"/>
            <w:gridSpan w:val="2"/>
          </w:tcPr>
          <w:p>
            <w:pPr>
              <w:jc w:val="right"/>
              <w:ind w:right="540"/>
              <w:spacing w:after="0"/>
              <w:rPr>
                <w:sz w:val="20"/>
                <w:szCs w:val="20"/>
                <w:color w:val="auto"/>
              </w:rPr>
            </w:pPr>
            <w:r>
              <w:rPr>
                <w:rFonts w:ascii="Arial" w:cs="Arial" w:eastAsia="Arial" w:hAnsi="Arial"/>
                <w:sz w:val="18"/>
                <w:szCs w:val="18"/>
                <w:color w:val="auto"/>
              </w:rPr>
              <w:t>36,288</w:t>
            </w:r>
          </w:p>
        </w:tc>
        <w:tc>
          <w:tcPr>
            <w:tcW w:w="860" w:type="dxa"/>
            <w:vAlign w:val="bottom"/>
            <w:gridSpan w:val="2"/>
          </w:tcPr>
          <w:p>
            <w:pPr>
              <w:jc w:val="right"/>
              <w:ind w:right="60"/>
              <w:spacing w:after="0"/>
              <w:rPr>
                <w:sz w:val="20"/>
                <w:szCs w:val="20"/>
                <w:color w:val="auto"/>
              </w:rPr>
            </w:pPr>
            <w:r>
              <w:rPr>
                <w:rFonts w:ascii="Arial" w:cs="Arial" w:eastAsia="Arial" w:hAnsi="Arial"/>
                <w:sz w:val="18"/>
                <w:szCs w:val="18"/>
                <w:color w:val="auto"/>
              </w:rPr>
              <w:t>53.8%</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560" w:type="dxa"/>
            <w:vAlign w:val="bottom"/>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580" w:type="dxa"/>
            <w:vAlign w:val="bottom"/>
            <w:tcBorders>
              <w:left w:val="single" w:sz="8" w:color="auto"/>
            </w:tcBorders>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720" w:type="dxa"/>
            <w:vAlign w:val="bottom"/>
            <w:tcBorders>
              <w:left w:val="single" w:sz="8" w:color="auto"/>
            </w:tcBorders>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560" w:type="dxa"/>
            <w:vAlign w:val="bottom"/>
            <w:tcBorders>
              <w:left w:val="single" w:sz="8" w:color="auto"/>
            </w:tcBorders>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56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74,485</w:t>
            </w:r>
          </w:p>
        </w:tc>
        <w:tc>
          <w:tcPr>
            <w:tcW w:w="580" w:type="dxa"/>
            <w:vAlign w:val="bottom"/>
            <w:tcBorders>
              <w:left w:val="single" w:sz="8" w:color="CCEEFF"/>
              <w:right w:val="single" w:sz="8" w:color="CCEEFF"/>
            </w:tcBorders>
            <w:shd w:val="clear" w:color="auto" w:fill="CCEEFF"/>
          </w:tcPr>
          <w:p>
            <w:pPr>
              <w:spacing w:after="0"/>
              <w:rPr>
                <w:sz w:val="18"/>
                <w:szCs w:val="18"/>
                <w:color w:val="auto"/>
              </w:rPr>
            </w:pPr>
          </w:p>
        </w:tc>
        <w:tc>
          <w:tcPr>
            <w:tcW w:w="1360" w:type="dxa"/>
            <w:vAlign w:val="bottom"/>
            <w:tcBorders>
              <w:right w:val="single" w:sz="8" w:color="CCEEFF"/>
            </w:tcBorders>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100.0%</w:t>
            </w:r>
          </w:p>
        </w:tc>
        <w:tc>
          <w:tcPr>
            <w:tcW w:w="13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67,424</w:t>
            </w: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560" w:type="dxa"/>
            <w:vAlign w:val="bottom"/>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86"/>
        </w:trPr>
        <w:tc>
          <w:tcPr>
            <w:tcW w:w="20" w:type="dxa"/>
            <w:vAlign w:val="bottom"/>
          </w:tcPr>
          <w:p>
            <w:pPr>
              <w:spacing w:after="0"/>
              <w:rPr>
                <w:sz w:val="24"/>
                <w:szCs w:val="24"/>
                <w:color w:val="auto"/>
              </w:rPr>
            </w:pPr>
          </w:p>
        </w:tc>
        <w:tc>
          <w:tcPr>
            <w:tcW w:w="5560" w:type="dxa"/>
            <w:vAlign w:val="bottom"/>
          </w:tcPr>
          <w:p>
            <w:pPr>
              <w:spacing w:after="0"/>
              <w:rPr>
                <w:sz w:val="24"/>
                <w:szCs w:val="24"/>
                <w:color w:val="auto"/>
              </w:rPr>
            </w:pPr>
          </w:p>
        </w:tc>
        <w:tc>
          <w:tcPr>
            <w:tcW w:w="1360" w:type="dxa"/>
            <w:vAlign w:val="bottom"/>
            <w:tcBorders>
              <w:bottom w:val="single" w:sz="8" w:color="auto"/>
            </w:tcBorders>
            <w:gridSpan w:val="2"/>
          </w:tcPr>
          <w:p>
            <w:pPr>
              <w:jc w:val="right"/>
              <w:ind w:right="160"/>
              <w:spacing w:after="0"/>
              <w:rPr>
                <w:sz w:val="20"/>
                <w:szCs w:val="20"/>
                <w:color w:val="auto"/>
              </w:rPr>
            </w:pPr>
            <w:r>
              <w:rPr>
                <w:rFonts w:ascii="Arial" w:cs="Arial" w:eastAsia="Arial" w:hAnsi="Arial"/>
                <w:sz w:val="14"/>
                <w:szCs w:val="14"/>
                <w:b w:val="1"/>
                <w:bCs w:val="1"/>
                <w:color w:val="auto"/>
              </w:rPr>
              <w:t>2017</w:t>
            </w:r>
            <w:r>
              <w:rPr>
                <w:rFonts w:ascii="Arial" w:cs="Arial" w:eastAsia="Arial" w:hAnsi="Arial"/>
                <w:sz w:val="12"/>
                <w:szCs w:val="12"/>
                <w:b w:val="1"/>
                <w:bCs w:val="1"/>
                <w:color w:val="auto"/>
              </w:rPr>
              <w:t>(1)</w:t>
            </w:r>
          </w:p>
        </w:tc>
        <w:tc>
          <w:tcPr>
            <w:tcW w:w="640" w:type="dxa"/>
            <w:vAlign w:val="bottom"/>
            <w:tcBorders>
              <w:bottom w:val="single" w:sz="8" w:color="auto"/>
            </w:tcBorders>
          </w:tcPr>
          <w:p>
            <w:pPr>
              <w:spacing w:after="0"/>
              <w:rPr>
                <w:sz w:val="24"/>
                <w:szCs w:val="24"/>
                <w:color w:val="auto"/>
              </w:rPr>
            </w:pPr>
          </w:p>
        </w:tc>
        <w:tc>
          <w:tcPr>
            <w:tcW w:w="720" w:type="dxa"/>
            <w:vAlign w:val="bottom"/>
          </w:tcPr>
          <w:p>
            <w:pPr>
              <w:spacing w:after="0"/>
              <w:rPr>
                <w:sz w:val="24"/>
                <w:szCs w:val="24"/>
                <w:color w:val="auto"/>
              </w:rPr>
            </w:pPr>
          </w:p>
        </w:tc>
        <w:tc>
          <w:tcPr>
            <w:tcW w:w="1340" w:type="dxa"/>
            <w:vAlign w:val="bottom"/>
            <w:tcBorders>
              <w:bottom w:val="single" w:sz="8" w:color="auto"/>
            </w:tcBorders>
            <w:gridSpan w:val="2"/>
          </w:tcPr>
          <w:p>
            <w:pPr>
              <w:jc w:val="right"/>
              <w:ind w:right="140"/>
              <w:spacing w:after="0"/>
              <w:rPr>
                <w:sz w:val="20"/>
                <w:szCs w:val="20"/>
                <w:color w:val="auto"/>
              </w:rPr>
            </w:pPr>
            <w:r>
              <w:rPr>
                <w:rFonts w:ascii="Arial" w:cs="Arial" w:eastAsia="Arial" w:hAnsi="Arial"/>
                <w:sz w:val="14"/>
                <w:szCs w:val="14"/>
                <w:b w:val="1"/>
                <w:bCs w:val="1"/>
                <w:color w:val="auto"/>
              </w:rPr>
              <w:t>2016</w:t>
            </w:r>
            <w:r>
              <w:rPr>
                <w:rFonts w:ascii="Arial" w:cs="Arial" w:eastAsia="Arial" w:hAnsi="Arial"/>
                <w:sz w:val="12"/>
                <w:szCs w:val="12"/>
                <w:b w:val="1"/>
                <w:bCs w:val="1"/>
                <w:color w:val="auto"/>
              </w:rPr>
              <w:t>(1)</w:t>
            </w:r>
          </w:p>
        </w:tc>
        <w:tc>
          <w:tcPr>
            <w:tcW w:w="660" w:type="dxa"/>
            <w:vAlign w:val="bottom"/>
            <w:tcBorders>
              <w:bottom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560" w:type="dxa"/>
            <w:vAlign w:val="bottom"/>
            <w:tcBorders>
              <w:bottom w:val="single" w:sz="8" w:color="CCEEFF"/>
            </w:tcBorders>
          </w:tcPr>
          <w:p>
            <w:pPr>
              <w:spacing w:after="0"/>
              <w:rPr>
                <w:sz w:val="12"/>
                <w:szCs w:val="12"/>
                <w:color w:val="auto"/>
              </w:rPr>
            </w:pPr>
          </w:p>
        </w:tc>
        <w:tc>
          <w:tcPr>
            <w:tcW w:w="7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3"/>
              </w:rPr>
              <w:t># of Students</w:t>
            </w:r>
          </w:p>
        </w:tc>
        <w:tc>
          <w:tcPr>
            <w:tcW w:w="580" w:type="dxa"/>
            <w:vAlign w:val="bottom"/>
            <w:tcBorders>
              <w:bottom w:val="single" w:sz="8" w:color="CCEEFF"/>
            </w:tcBorders>
          </w:tcPr>
          <w:p>
            <w:pPr>
              <w:spacing w:after="0"/>
              <w:rPr>
                <w:sz w:val="12"/>
                <w:szCs w:val="12"/>
                <w:color w:val="auto"/>
              </w:rPr>
            </w:pPr>
          </w:p>
        </w:tc>
        <w:tc>
          <w:tcPr>
            <w:tcW w:w="640" w:type="dxa"/>
            <w:vAlign w:val="bottom"/>
            <w:tcBorders>
              <w:bottom w:val="single" w:sz="8" w:color="auto"/>
            </w:tcBorders>
          </w:tcPr>
          <w:p>
            <w:pPr>
              <w:spacing w:after="0" w:line="142" w:lineRule="exact"/>
              <w:rPr>
                <w:sz w:val="20"/>
                <w:szCs w:val="20"/>
                <w:color w:val="auto"/>
              </w:rPr>
            </w:pPr>
            <w:r>
              <w:rPr>
                <w:rFonts w:ascii="Arial" w:cs="Arial" w:eastAsia="Arial" w:hAnsi="Arial"/>
                <w:sz w:val="14"/>
                <w:szCs w:val="14"/>
                <w:b w:val="1"/>
                <w:bCs w:val="1"/>
                <w:color w:val="auto"/>
                <w:w w:val="89"/>
              </w:rPr>
              <w:t>% of Total</w:t>
            </w:r>
          </w:p>
        </w:tc>
        <w:tc>
          <w:tcPr>
            <w:tcW w:w="720" w:type="dxa"/>
            <w:vAlign w:val="bottom"/>
            <w:tcBorders>
              <w:bottom w:val="single" w:sz="8" w:color="CCEEFF"/>
            </w:tcBorders>
          </w:tcPr>
          <w:p>
            <w:pPr>
              <w:spacing w:after="0"/>
              <w:rPr>
                <w:sz w:val="12"/>
                <w:szCs w:val="12"/>
                <w:color w:val="auto"/>
              </w:rPr>
            </w:pPr>
          </w:p>
        </w:tc>
        <w:tc>
          <w:tcPr>
            <w:tcW w:w="7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5"/>
              </w:rPr>
              <w:t># of Students</w:t>
            </w:r>
          </w:p>
        </w:tc>
        <w:tc>
          <w:tcPr>
            <w:tcW w:w="560" w:type="dxa"/>
            <w:vAlign w:val="bottom"/>
            <w:tcBorders>
              <w:bottom w:val="single" w:sz="8" w:color="CCEEFF"/>
            </w:tcBorders>
          </w:tcPr>
          <w:p>
            <w:pPr>
              <w:spacing w:after="0"/>
              <w:rPr>
                <w:sz w:val="12"/>
                <w:szCs w:val="12"/>
                <w:color w:val="auto"/>
              </w:rPr>
            </w:pPr>
          </w:p>
        </w:tc>
        <w:tc>
          <w:tcPr>
            <w:tcW w:w="660" w:type="dxa"/>
            <w:vAlign w:val="bottom"/>
            <w:tcBorders>
              <w:bottom w:val="single" w:sz="8" w:color="auto"/>
            </w:tcBorders>
          </w:tcPr>
          <w:p>
            <w:pPr>
              <w:ind w:left="20"/>
              <w:spacing w:after="0" w:line="142" w:lineRule="exact"/>
              <w:rPr>
                <w:sz w:val="20"/>
                <w:szCs w:val="20"/>
                <w:color w:val="auto"/>
              </w:rPr>
            </w:pPr>
            <w:r>
              <w:rPr>
                <w:rFonts w:ascii="Arial" w:cs="Arial" w:eastAsia="Arial" w:hAnsi="Arial"/>
                <w:sz w:val="14"/>
                <w:szCs w:val="14"/>
                <w:b w:val="1"/>
                <w:bCs w:val="1"/>
                <w:color w:val="auto"/>
                <w:w w:val="92"/>
              </w:rPr>
              <w:t>% of Total</w:t>
            </w:r>
          </w:p>
        </w:tc>
        <w:tc>
          <w:tcPr>
            <w:tcW w:w="2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56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color w:val="auto"/>
              </w:rPr>
              <w:t>Online</w:t>
            </w:r>
            <w:r>
              <w:rPr>
                <w:rFonts w:ascii="Arial" w:cs="Arial" w:eastAsia="Arial" w:hAnsi="Arial"/>
                <w:sz w:val="15"/>
                <w:szCs w:val="15"/>
                <w:color w:val="auto"/>
              </w:rPr>
              <w:t>(3)</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68,470</w:t>
            </w:r>
          </w:p>
        </w:tc>
        <w:tc>
          <w:tcPr>
            <w:tcW w:w="580" w:type="dxa"/>
            <w:vAlign w:val="bottom"/>
            <w:tcBorders>
              <w:left w:val="single" w:sz="8" w:color="CCEEFF"/>
              <w:right w:val="single" w:sz="8" w:color="CCEEFF"/>
            </w:tcBorders>
            <w:shd w:val="clear" w:color="auto" w:fill="CCEEFF"/>
          </w:tcPr>
          <w:p>
            <w:pPr>
              <w:spacing w:after="0"/>
              <w:rPr>
                <w:sz w:val="18"/>
                <w:szCs w:val="18"/>
                <w:color w:val="auto"/>
              </w:rPr>
            </w:pPr>
          </w:p>
        </w:tc>
        <w:tc>
          <w:tcPr>
            <w:tcW w:w="1360" w:type="dxa"/>
            <w:vAlign w:val="bottom"/>
            <w:tcBorders>
              <w:right w:val="single" w:sz="8" w:color="CCEEFF"/>
            </w:tcBorders>
            <w:gridSpan w:val="2"/>
            <w:shd w:val="clear" w:color="auto" w:fill="CCEEFF"/>
          </w:tcPr>
          <w:p>
            <w:pPr>
              <w:jc w:val="right"/>
              <w:ind w:right="580"/>
              <w:spacing w:after="0"/>
              <w:rPr>
                <w:sz w:val="20"/>
                <w:szCs w:val="20"/>
                <w:color w:val="auto"/>
              </w:rPr>
            </w:pPr>
            <w:r>
              <w:rPr>
                <w:rFonts w:ascii="Arial" w:cs="Arial" w:eastAsia="Arial" w:hAnsi="Arial"/>
                <w:sz w:val="18"/>
                <w:szCs w:val="18"/>
                <w:color w:val="auto"/>
              </w:rPr>
              <w:t>91.9%</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61,994</w:t>
            </w:r>
          </w:p>
        </w:tc>
        <w:tc>
          <w:tcPr>
            <w:tcW w:w="560" w:type="dxa"/>
            <w:vAlign w:val="bottom"/>
            <w:tcBorders>
              <w:left w:val="single" w:sz="8" w:color="CCEEFF"/>
            </w:tcBorders>
            <w:shd w:val="clear" w:color="auto" w:fill="CCEEFF"/>
          </w:tcPr>
          <w:p>
            <w:pPr>
              <w:spacing w:after="0"/>
              <w:rPr>
                <w:sz w:val="18"/>
                <w:szCs w:val="18"/>
                <w:color w:val="auto"/>
              </w:rPr>
            </w:pP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91.9%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60" w:type="dxa"/>
            <w:vAlign w:val="bottom"/>
          </w:tcPr>
          <w:p>
            <w:pPr>
              <w:spacing w:after="0"/>
              <w:rPr>
                <w:sz w:val="20"/>
                <w:szCs w:val="20"/>
                <w:color w:val="auto"/>
              </w:rPr>
            </w:pPr>
            <w:r>
              <w:rPr>
                <w:rFonts w:ascii="Arial" w:cs="Arial" w:eastAsia="Arial" w:hAnsi="Arial"/>
                <w:sz w:val="18"/>
                <w:szCs w:val="18"/>
                <w:color w:val="auto"/>
              </w:rPr>
              <w:t>Ground</w:t>
            </w:r>
            <w:r>
              <w:rPr>
                <w:rFonts w:ascii="Arial" w:cs="Arial" w:eastAsia="Arial" w:hAnsi="Arial"/>
                <w:sz w:val="15"/>
                <w:szCs w:val="15"/>
                <w:color w:val="auto"/>
              </w:rPr>
              <w:t>(4)</w:t>
            </w:r>
          </w:p>
        </w:tc>
        <w:tc>
          <w:tcPr>
            <w:tcW w:w="780" w:type="dxa"/>
            <w:vAlign w:val="bottom"/>
          </w:tcPr>
          <w:p>
            <w:pPr>
              <w:jc w:val="right"/>
              <w:spacing w:after="0"/>
              <w:rPr>
                <w:sz w:val="20"/>
                <w:szCs w:val="20"/>
                <w:color w:val="auto"/>
              </w:rPr>
            </w:pPr>
            <w:r>
              <w:rPr>
                <w:rFonts w:ascii="Arial" w:cs="Arial" w:eastAsia="Arial" w:hAnsi="Arial"/>
                <w:sz w:val="18"/>
                <w:szCs w:val="18"/>
                <w:color w:val="auto"/>
              </w:rPr>
              <w:t>6,015</w:t>
            </w:r>
          </w:p>
        </w:tc>
        <w:tc>
          <w:tcPr>
            <w:tcW w:w="580" w:type="dxa"/>
            <w:vAlign w:val="bottom"/>
          </w:tcPr>
          <w:p>
            <w:pPr>
              <w:spacing w:after="0"/>
              <w:rPr>
                <w:sz w:val="18"/>
                <w:szCs w:val="18"/>
                <w:color w:val="auto"/>
              </w:rPr>
            </w:pPr>
          </w:p>
        </w:tc>
        <w:tc>
          <w:tcPr>
            <w:tcW w:w="1360" w:type="dxa"/>
            <w:vAlign w:val="bottom"/>
            <w:gridSpan w:val="2"/>
          </w:tcPr>
          <w:p>
            <w:pPr>
              <w:jc w:val="right"/>
              <w:ind w:right="580"/>
              <w:spacing w:after="0"/>
              <w:rPr>
                <w:sz w:val="20"/>
                <w:szCs w:val="20"/>
                <w:color w:val="auto"/>
              </w:rPr>
            </w:pPr>
            <w:r>
              <w:rPr>
                <w:rFonts w:ascii="Arial" w:cs="Arial" w:eastAsia="Arial" w:hAnsi="Arial"/>
                <w:sz w:val="18"/>
                <w:szCs w:val="18"/>
                <w:color w:val="auto"/>
              </w:rPr>
              <w:t>8.1%</w:t>
            </w:r>
          </w:p>
        </w:tc>
        <w:tc>
          <w:tcPr>
            <w:tcW w:w="780" w:type="dxa"/>
            <w:vAlign w:val="bottom"/>
          </w:tcPr>
          <w:p>
            <w:pPr>
              <w:jc w:val="right"/>
              <w:spacing w:after="0"/>
              <w:rPr>
                <w:sz w:val="20"/>
                <w:szCs w:val="20"/>
                <w:color w:val="auto"/>
              </w:rPr>
            </w:pPr>
            <w:r>
              <w:rPr>
                <w:rFonts w:ascii="Arial" w:cs="Arial" w:eastAsia="Arial" w:hAnsi="Arial"/>
                <w:sz w:val="18"/>
                <w:szCs w:val="18"/>
                <w:color w:val="auto"/>
              </w:rPr>
              <w:t>5,430</w:t>
            </w:r>
          </w:p>
        </w:tc>
        <w:tc>
          <w:tcPr>
            <w:tcW w:w="560" w:type="dxa"/>
            <w:vAlign w:val="bottom"/>
          </w:tcPr>
          <w:p>
            <w:pPr>
              <w:spacing w:after="0"/>
              <w:rPr>
                <w:sz w:val="18"/>
                <w:szCs w:val="18"/>
                <w:color w:val="auto"/>
              </w:rPr>
            </w:pPr>
          </w:p>
        </w:tc>
        <w:tc>
          <w:tcPr>
            <w:tcW w:w="860" w:type="dxa"/>
            <w:vAlign w:val="bottom"/>
            <w:gridSpan w:val="2"/>
          </w:tcPr>
          <w:p>
            <w:pPr>
              <w:jc w:val="right"/>
              <w:ind w:right="60"/>
              <w:spacing w:after="0"/>
              <w:rPr>
                <w:sz w:val="20"/>
                <w:szCs w:val="20"/>
                <w:color w:val="auto"/>
              </w:rPr>
            </w:pPr>
            <w:r>
              <w:rPr>
                <w:rFonts w:ascii="Arial" w:cs="Arial" w:eastAsia="Arial" w:hAnsi="Arial"/>
                <w:sz w:val="18"/>
                <w:szCs w:val="18"/>
                <w:color w:val="auto"/>
              </w:rPr>
              <w:t>8.1%</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560" w:type="dxa"/>
            <w:vAlign w:val="bottom"/>
            <w:tcBorders>
              <w:right w:val="single" w:sz="8" w:color="auto"/>
            </w:tcBorders>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580" w:type="dxa"/>
            <w:vAlign w:val="bottom"/>
            <w:tcBorders>
              <w:right w:val="single" w:sz="8" w:color="auto"/>
            </w:tcBorders>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720" w:type="dxa"/>
            <w:vAlign w:val="bottom"/>
            <w:tcBorders>
              <w:right w:val="single" w:sz="8" w:color="auto"/>
            </w:tcBorders>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560" w:type="dxa"/>
            <w:vAlign w:val="bottom"/>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56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74,485</w:t>
            </w:r>
          </w:p>
        </w:tc>
        <w:tc>
          <w:tcPr>
            <w:tcW w:w="580" w:type="dxa"/>
            <w:vAlign w:val="bottom"/>
            <w:tcBorders>
              <w:left w:val="single" w:sz="8" w:color="CCEEFF"/>
              <w:right w:val="single" w:sz="8" w:color="CCEEFF"/>
            </w:tcBorders>
            <w:shd w:val="clear" w:color="auto" w:fill="CCEEFF"/>
          </w:tcPr>
          <w:p>
            <w:pPr>
              <w:spacing w:after="0"/>
              <w:rPr>
                <w:sz w:val="18"/>
                <w:szCs w:val="18"/>
                <w:color w:val="auto"/>
              </w:rPr>
            </w:pPr>
          </w:p>
        </w:tc>
        <w:tc>
          <w:tcPr>
            <w:tcW w:w="1360" w:type="dxa"/>
            <w:vAlign w:val="bottom"/>
            <w:tcBorders>
              <w:right w:val="single" w:sz="8" w:color="CCEEFF"/>
            </w:tcBorders>
            <w:gridSpan w:val="2"/>
            <w:shd w:val="clear" w:color="auto" w:fill="CCEEFF"/>
          </w:tcPr>
          <w:p>
            <w:pPr>
              <w:jc w:val="right"/>
              <w:ind w:right="580"/>
              <w:spacing w:after="0"/>
              <w:rPr>
                <w:sz w:val="20"/>
                <w:szCs w:val="20"/>
                <w:color w:val="auto"/>
              </w:rPr>
            </w:pPr>
            <w:r>
              <w:rPr>
                <w:rFonts w:ascii="Arial" w:cs="Arial" w:eastAsia="Arial" w:hAnsi="Arial"/>
                <w:sz w:val="18"/>
                <w:szCs w:val="18"/>
                <w:color w:val="auto"/>
              </w:rPr>
              <w:t>100.0%</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67,424</w:t>
            </w:r>
          </w:p>
        </w:tc>
        <w:tc>
          <w:tcPr>
            <w:tcW w:w="560" w:type="dxa"/>
            <w:vAlign w:val="bottom"/>
            <w:tcBorders>
              <w:left w:val="single" w:sz="8" w:color="CCEEFF"/>
            </w:tcBorders>
            <w:shd w:val="clear" w:color="auto" w:fill="CCEEFF"/>
          </w:tcPr>
          <w:p>
            <w:pPr>
              <w:spacing w:after="0"/>
              <w:rPr>
                <w:sz w:val="18"/>
                <w:szCs w:val="18"/>
                <w:color w:val="auto"/>
              </w:rPr>
            </w:pP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560" w:type="dxa"/>
            <w:vAlign w:val="bottom"/>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2" w:lineRule="exact"/>
        <w:rPr>
          <w:sz w:val="20"/>
          <w:szCs w:val="20"/>
          <w:color w:val="auto"/>
        </w:rPr>
      </w:pPr>
    </w:p>
    <w:p>
      <w:pPr>
        <w:ind w:left="460" w:hanging="452"/>
        <w:spacing w:after="0" w:line="274" w:lineRule="auto"/>
        <w:tabs>
          <w:tab w:leader="none" w:pos="460" w:val="left"/>
        </w:tabs>
        <w:numPr>
          <w:ilvl w:val="0"/>
          <w:numId w:val="7"/>
        </w:numPr>
        <w:rPr>
          <w:rFonts w:ascii="Arial" w:cs="Arial" w:eastAsia="Arial" w:hAnsi="Arial"/>
          <w:sz w:val="14"/>
          <w:szCs w:val="14"/>
          <w:color w:val="auto"/>
        </w:rPr>
      </w:pPr>
      <w:r>
        <w:rPr>
          <w:rFonts w:ascii="Arial" w:cs="Arial" w:eastAsia="Arial" w:hAnsi="Arial"/>
          <w:sz w:val="17"/>
          <w:szCs w:val="17"/>
          <w:color w:val="auto"/>
        </w:rPr>
        <w:t>Enrollment at June 30, 2017 and 2016 represents individual students who attended a course during the last two months of the calendar quarter. Included in enrollment at June 30, 2017 and 2016 are students pursuing non-degree certificates of 1,190 and 1,048, respectively.</w:t>
      </w:r>
    </w:p>
    <w:p>
      <w:pPr>
        <w:ind w:left="460" w:hanging="452"/>
        <w:spacing w:after="0"/>
        <w:tabs>
          <w:tab w:leader="none" w:pos="460" w:val="left"/>
        </w:tabs>
        <w:numPr>
          <w:ilvl w:val="0"/>
          <w:numId w:val="7"/>
        </w:numPr>
        <w:rPr>
          <w:rFonts w:ascii="Arial" w:cs="Arial" w:eastAsia="Arial" w:hAnsi="Arial"/>
          <w:sz w:val="15"/>
          <w:szCs w:val="15"/>
          <w:color w:val="auto"/>
        </w:rPr>
      </w:pPr>
      <w:r>
        <w:rPr>
          <w:rFonts w:ascii="Arial" w:cs="Arial" w:eastAsia="Arial" w:hAnsi="Arial"/>
          <w:sz w:val="18"/>
          <w:szCs w:val="18"/>
          <w:color w:val="auto"/>
        </w:rPr>
        <w:t>Includes 7,324 and 6,739 students pursuing doctoral degrees at June 30, 2017 and 2016, respectively.</w:t>
      </w:r>
    </w:p>
    <w:p>
      <w:pPr>
        <w:spacing w:after="0" w:line="9" w:lineRule="exact"/>
        <w:rPr>
          <w:rFonts w:ascii="Arial" w:cs="Arial" w:eastAsia="Arial" w:hAnsi="Arial"/>
          <w:sz w:val="15"/>
          <w:szCs w:val="15"/>
          <w:color w:val="auto"/>
        </w:rPr>
      </w:pPr>
    </w:p>
    <w:p>
      <w:pPr>
        <w:ind w:left="460" w:right="140" w:hanging="452"/>
        <w:spacing w:after="0" w:line="250" w:lineRule="auto"/>
        <w:tabs>
          <w:tab w:leader="none" w:pos="460" w:val="left"/>
        </w:tabs>
        <w:numPr>
          <w:ilvl w:val="0"/>
          <w:numId w:val="7"/>
        </w:numPr>
        <w:rPr>
          <w:rFonts w:ascii="Arial" w:cs="Arial" w:eastAsia="Arial" w:hAnsi="Arial"/>
          <w:sz w:val="15"/>
          <w:szCs w:val="15"/>
          <w:color w:val="auto"/>
        </w:rPr>
      </w:pPr>
      <w:r>
        <w:rPr>
          <w:rFonts w:ascii="Arial" w:cs="Arial" w:eastAsia="Arial" w:hAnsi="Arial"/>
          <w:sz w:val="18"/>
          <w:szCs w:val="18"/>
          <w:color w:val="auto"/>
        </w:rPr>
        <w:t>As of June 30, 2017 and 2016, 50.3% and 48.6%, respectively, of our working adult students (online and professional studies students) were pursuing graduate degrees.</w:t>
      </w:r>
    </w:p>
    <w:p>
      <w:pPr>
        <w:ind w:left="460" w:hanging="452"/>
        <w:spacing w:after="0"/>
        <w:tabs>
          <w:tab w:leader="none" w:pos="460" w:val="left"/>
        </w:tabs>
        <w:numPr>
          <w:ilvl w:val="0"/>
          <w:numId w:val="7"/>
        </w:numPr>
        <w:rPr>
          <w:rFonts w:ascii="Arial" w:cs="Arial" w:eastAsia="Arial" w:hAnsi="Arial"/>
          <w:sz w:val="15"/>
          <w:szCs w:val="15"/>
          <w:color w:val="auto"/>
        </w:rPr>
      </w:pPr>
      <w:r>
        <w:rPr>
          <w:rFonts w:ascii="Arial" w:cs="Arial" w:eastAsia="Arial" w:hAnsi="Arial"/>
          <w:sz w:val="18"/>
          <w:szCs w:val="18"/>
          <w:color w:val="auto"/>
        </w:rPr>
        <w:t>Includes both our traditional on-campus ground students attending our Summer semester, as well as our professional studies students.</w:t>
      </w:r>
    </w:p>
    <w:sectPr>
      <w:pgSz w:w="11900" w:h="16838" w:orient="portrait"/>
      <w:cols w:equalWidth="0" w:num="1">
        <w:col w:w="11380"/>
      </w:cols>
      <w:pgMar w:left="240" w:top="270" w:right="2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25558EC"/>
    <w:multiLevelType w:val="hybridMultilevel"/>
    <w:lvl w:ilvl="0">
      <w:lvlJc w:val="left"/>
      <w:lvlText w:val="☐"/>
      <w:numFmt w:val="bullet"/>
      <w:start w:val="1"/>
    </w:lvl>
  </w:abstractNum>
  <w:abstractNum w:abstractNumId="1">
    <w:nsid w:val="238E1F29"/>
    <w:multiLevelType w:val="hybridMultilevel"/>
    <w:lvl w:ilvl="0">
      <w:lvlJc w:val="left"/>
      <w:lvlText w:val="•"/>
      <w:numFmt w:val="bullet"/>
      <w:start w:val="1"/>
    </w:lvl>
  </w:abstractNum>
  <w:abstractNum w:abstractNumId="2">
    <w:nsid w:val="46E87CCD"/>
    <w:multiLevelType w:val="hybridMultilevel"/>
    <w:lvl w:ilvl="0">
      <w:lvlJc w:val="left"/>
      <w:lvlText w:val="•"/>
      <w:numFmt w:val="bullet"/>
      <w:start w:val="1"/>
    </w:lvl>
  </w:abstractNum>
  <w:abstractNum w:abstractNumId="3">
    <w:nsid w:val="3D1B58BA"/>
    <w:multiLevelType w:val="hybridMultilevel"/>
    <w:lvl w:ilvl="0">
      <w:lvlJc w:val="left"/>
      <w:lvlText w:val="•"/>
      <w:numFmt w:val="bullet"/>
      <w:start w:val="1"/>
    </w:lvl>
  </w:abstractNum>
  <w:abstractNum w:abstractNumId="4">
    <w:nsid w:val="507ED7AB"/>
    <w:multiLevelType w:val="hybridMultilevel"/>
    <w:lvl w:ilvl="0">
      <w:lvlJc w:val="left"/>
      <w:lvlText w:val="(%1)"/>
      <w:numFmt w:val="lowerRoman"/>
      <w:start w:val="3"/>
    </w:lvl>
  </w:abstractNum>
  <w:abstractNum w:abstractNumId="5">
    <w:nsid w:val="2EB141F2"/>
    <w:multiLevelType w:val="hybridMultilevel"/>
    <w:lvl w:ilvl="0">
      <w:lvlJc w:val="left"/>
      <w:lvlText w:val="•"/>
      <w:numFmt w:val="bullet"/>
      <w:start w:val="1"/>
    </w:lvl>
  </w:abstractNum>
  <w:abstractNum w:abstractNumId="6">
    <w:nsid w:val="41B71EFB"/>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2019-12-07T08:47:35Z</dcterms:created>
  <dcterms:modified xsi:type="dcterms:W3CDTF">2019-12-07T08:47:35Z</dcterms:modified>
</cp:coreProperties>
</file>