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9185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918585"/>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Marsh Dilek</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100" w:type="dxa"/>
            <w:vAlign w:val="bottom"/>
            <w:tcBorders>
              <w:top w:val="single" w:sz="8" w:color="0000EE"/>
              <w:bottom w:val="single" w:sz="8" w:color="9A9A9A"/>
            </w:tcBorders>
          </w:tcPr>
          <w:p>
            <w:pPr>
              <w:spacing w:after="0"/>
              <w:rPr>
                <w:sz w:val="15"/>
                <w:szCs w:val="15"/>
                <w:color w:val="auto"/>
              </w:rPr>
            </w:pPr>
          </w:p>
        </w:tc>
        <w:tc>
          <w:tcPr>
            <w:tcW w:w="212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07/01/2018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Grand Canyon Education,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LOPE</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10"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22"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(Last)</w:t>
            </w:r>
          </w:p>
        </w:tc>
        <w:tc>
          <w:tcPr>
            <w:tcW w:w="900" w:type="dxa"/>
            <w:vAlign w:val="bottom"/>
          </w:tcPr>
          <w:p>
            <w:pPr>
              <w:ind w:left="160"/>
              <w:spacing w:after="0"/>
              <w:rPr>
                <w:sz w:val="20"/>
                <w:szCs w:val="20"/>
                <w:color w:val="auto"/>
              </w:rPr>
            </w:pPr>
            <w:r>
              <w:rPr>
                <w:rFonts w:ascii="Arial" w:cs="Arial" w:eastAsia="Arial" w:hAnsi="Arial"/>
                <w:sz w:val="14"/>
                <w:szCs w:val="14"/>
                <w:color w:val="auto"/>
              </w:rPr>
              <w:t>(First)</w:t>
            </w:r>
          </w:p>
        </w:tc>
        <w:tc>
          <w:tcPr>
            <w:tcW w:w="1380" w:type="dxa"/>
            <w:vAlign w:val="bottom"/>
          </w:tcPr>
          <w:p>
            <w:pPr>
              <w:ind w:left="34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2600 W. CAMELBACK ROAD</w:t>
            </w:r>
          </w:p>
        </w:tc>
      </w:tr>
      <w:tr>
        <w:trPr>
          <w:trHeight w:val="212"/>
        </w:trPr>
        <w:tc>
          <w:tcPr>
            <w:tcW w:w="20" w:type="dxa"/>
            <w:vAlign w:val="bottom"/>
          </w:tcPr>
          <w:p>
            <w:pPr>
              <w:spacing w:after="0"/>
              <w:rPr>
                <w:sz w:val="18"/>
                <w:szCs w:val="18"/>
                <w:color w:val="auto"/>
              </w:rPr>
            </w:pPr>
          </w:p>
        </w:tc>
        <w:tc>
          <w:tcPr>
            <w:tcW w:w="960" w:type="dxa"/>
            <w:vAlign w:val="bottom"/>
            <w:tcBorders>
              <w:bottom w:val="single" w:sz="8" w:color="9A9A9A"/>
            </w:tcBorders>
          </w:tcPr>
          <w:p>
            <w:pPr>
              <w:spacing w:after="0"/>
              <w:rPr>
                <w:sz w:val="18"/>
                <w:szCs w:val="18"/>
                <w:color w:val="auto"/>
              </w:rPr>
            </w:pPr>
          </w:p>
        </w:tc>
        <w:tc>
          <w:tcPr>
            <w:tcW w:w="900" w:type="dxa"/>
            <w:vAlign w:val="bottom"/>
            <w:tcBorders>
              <w:bottom w:val="single" w:sz="8" w:color="9A9A9A"/>
            </w:tcBorders>
          </w:tcPr>
          <w:p>
            <w:pPr>
              <w:spacing w:after="0"/>
              <w:rPr>
                <w:sz w:val="18"/>
                <w:szCs w:val="18"/>
                <w:color w:val="auto"/>
              </w:rPr>
            </w:pPr>
          </w:p>
        </w:tc>
        <w:tc>
          <w:tcPr>
            <w:tcW w:w="1380" w:type="dxa"/>
            <w:vAlign w:val="bottom"/>
            <w:tcBorders>
              <w:bottom w:val="single" w:sz="8" w:color="9A9A9A"/>
            </w:tcBorders>
          </w:tcPr>
          <w:p>
            <w:pPr>
              <w:spacing w:after="0"/>
              <w:rPr>
                <w:sz w:val="18"/>
                <w:szCs w:val="18"/>
                <w:color w:val="auto"/>
              </w:rPr>
            </w:pPr>
          </w:p>
        </w:tc>
      </w:tr>
      <w:tr>
        <w:trPr>
          <w:trHeight w:val="270"/>
        </w:trPr>
        <w:tc>
          <w:tcPr>
            <w:tcW w:w="980" w:type="dxa"/>
            <w:vAlign w:val="bottom"/>
            <w:gridSpan w:val="2"/>
          </w:tcPr>
          <w:p>
            <w:pPr>
              <w:spacing w:after="0"/>
              <w:rPr>
                <w:sz w:val="20"/>
                <w:szCs w:val="20"/>
                <w:color w:val="auto"/>
              </w:rPr>
            </w:pPr>
            <w:r>
              <w:rPr>
                <w:rFonts w:ascii="Arial" w:cs="Arial" w:eastAsia="Arial" w:hAnsi="Arial"/>
                <w:sz w:val="14"/>
                <w:szCs w:val="14"/>
                <w:color w:val="auto"/>
              </w:rPr>
              <w:t>(Street)</w:t>
            </w:r>
          </w:p>
        </w:tc>
        <w:tc>
          <w:tcPr>
            <w:tcW w:w="900" w:type="dxa"/>
            <w:vAlign w:val="bottom"/>
          </w:tcPr>
          <w:p>
            <w:pPr>
              <w:spacing w:after="0"/>
              <w:rPr>
                <w:sz w:val="23"/>
                <w:szCs w:val="23"/>
                <w:color w:val="auto"/>
              </w:rPr>
            </w:pPr>
          </w:p>
        </w:tc>
        <w:tc>
          <w:tcPr>
            <w:tcW w:w="138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960" w:type="dxa"/>
            <w:vAlign w:val="bottom"/>
          </w:tcPr>
          <w:p>
            <w:pPr>
              <w:ind w:left="20"/>
              <w:spacing w:after="0"/>
              <w:rPr>
                <w:sz w:val="20"/>
                <w:szCs w:val="20"/>
                <w:color w:val="auto"/>
              </w:rPr>
            </w:pPr>
            <w:r>
              <w:rPr>
                <w:rFonts w:ascii="Arial" w:cs="Arial" w:eastAsia="Arial" w:hAnsi="Arial"/>
                <w:sz w:val="18"/>
                <w:szCs w:val="18"/>
                <w:color w:val="0000FF"/>
              </w:rPr>
              <w:t>PHOENIX</w:t>
            </w:r>
          </w:p>
        </w:tc>
        <w:tc>
          <w:tcPr>
            <w:tcW w:w="900" w:type="dxa"/>
            <w:vAlign w:val="bottom"/>
          </w:tcPr>
          <w:p>
            <w:pPr>
              <w:ind w:left="160"/>
              <w:spacing w:after="0"/>
              <w:rPr>
                <w:sz w:val="20"/>
                <w:szCs w:val="20"/>
                <w:color w:val="auto"/>
              </w:rPr>
            </w:pPr>
            <w:r>
              <w:rPr>
                <w:rFonts w:ascii="Arial" w:cs="Arial" w:eastAsia="Arial" w:hAnsi="Arial"/>
                <w:sz w:val="18"/>
                <w:szCs w:val="18"/>
                <w:color w:val="0000FF"/>
              </w:rPr>
              <w:t>AZ</w:t>
            </w:r>
          </w:p>
        </w:tc>
        <w:tc>
          <w:tcPr>
            <w:tcW w:w="1380" w:type="dxa"/>
            <w:vAlign w:val="bottom"/>
          </w:tcPr>
          <w:p>
            <w:pPr>
              <w:ind w:left="340"/>
              <w:spacing w:after="0"/>
              <w:rPr>
                <w:sz w:val="20"/>
                <w:szCs w:val="20"/>
                <w:color w:val="auto"/>
              </w:rPr>
            </w:pPr>
            <w:r>
              <w:rPr>
                <w:rFonts w:ascii="Arial" w:cs="Arial" w:eastAsia="Arial" w:hAnsi="Arial"/>
                <w:sz w:val="18"/>
                <w:szCs w:val="18"/>
                <w:color w:val="0000FF"/>
              </w:rPr>
              <w:t>85017</w:t>
            </w:r>
          </w:p>
        </w:tc>
      </w:tr>
      <w:tr>
        <w:trPr>
          <w:trHeight w:val="158"/>
        </w:trPr>
        <w:tc>
          <w:tcPr>
            <w:tcW w:w="20" w:type="dxa"/>
            <w:vAlign w:val="bottom"/>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(City)</w:t>
            </w:r>
          </w:p>
        </w:tc>
        <w:tc>
          <w:tcPr>
            <w:tcW w:w="900" w:type="dxa"/>
            <w:vAlign w:val="bottom"/>
          </w:tcPr>
          <w:p>
            <w:pPr>
              <w:ind w:left="160"/>
              <w:spacing w:after="0"/>
              <w:rPr>
                <w:sz w:val="20"/>
                <w:szCs w:val="20"/>
                <w:color w:val="auto"/>
              </w:rPr>
            </w:pPr>
            <w:r>
              <w:rPr>
                <w:rFonts w:ascii="Arial" w:cs="Arial" w:eastAsia="Arial" w:hAnsi="Arial"/>
                <w:sz w:val="14"/>
                <w:szCs w:val="14"/>
                <w:color w:val="auto"/>
              </w:rPr>
              <w:t>(State)</w:t>
            </w:r>
          </w:p>
        </w:tc>
        <w:tc>
          <w:tcPr>
            <w:tcW w:w="1380" w:type="dxa"/>
            <w:vAlign w:val="bottom"/>
          </w:tcPr>
          <w:p>
            <w:pPr>
              <w:ind w:left="34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6"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160" w:type="dxa"/>
            <w:vAlign w:val="bottom"/>
          </w:tcPr>
          <w:p>
            <w:pPr>
              <w:ind w:left="3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160" w:type="dxa"/>
            <w:vAlign w:val="bottom"/>
          </w:tcPr>
          <w:p>
            <w:pPr>
              <w:ind w:left="32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986"/>
        <w:spacing w:after="0"/>
        <w:rPr>
          <w:sz w:val="20"/>
          <w:szCs w:val="20"/>
          <w:color w:val="auto"/>
        </w:rPr>
      </w:pPr>
      <w:r>
        <w:rPr>
          <w:rFonts w:ascii="Arial" w:cs="Arial" w:eastAsia="Arial" w:hAnsi="Arial"/>
          <w:sz w:val="18"/>
          <w:szCs w:val="18"/>
          <w:color w:val="0000FF"/>
        </w:rPr>
        <w:t>Chief Data Officer</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43"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495"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Common Stock</w:t>
            </w:r>
          </w:p>
        </w:tc>
        <w:tc>
          <w:tcPr>
            <w:tcW w:w="7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580" w:type="dxa"/>
            <w:vAlign w:val="bottom"/>
          </w:tcPr>
          <w:p>
            <w:pPr>
              <w:jc w:val="right"/>
              <w:ind w:right="427"/>
              <w:spacing w:after="0"/>
              <w:rPr>
                <w:sz w:val="20"/>
                <w:szCs w:val="20"/>
                <w:color w:val="auto"/>
              </w:rPr>
            </w:pPr>
            <w:r>
              <w:rPr>
                <w:rFonts w:ascii="Arial" w:cs="Arial" w:eastAsia="Arial" w:hAnsi="Arial"/>
                <w:sz w:val="18"/>
                <w:szCs w:val="18"/>
                <w:color w:val="0000FF"/>
              </w:rPr>
              <w:t>31,136</w:t>
            </w:r>
          </w:p>
        </w:tc>
        <w:tc>
          <w:tcPr>
            <w:tcW w:w="1140" w:type="dxa"/>
            <w:vAlign w:val="bottom"/>
          </w:tcPr>
          <w:p>
            <w:pPr>
              <w:ind w:left="900"/>
              <w:spacing w:after="0"/>
              <w:rPr>
                <w:sz w:val="20"/>
                <w:szCs w:val="20"/>
                <w:color w:val="auto"/>
              </w:rPr>
            </w:pPr>
            <w:r>
              <w:rPr>
                <w:rFonts w:ascii="Arial" w:cs="Arial" w:eastAsia="Arial" w:hAnsi="Arial"/>
                <w:sz w:val="18"/>
                <w:szCs w:val="18"/>
                <w:color w:val="0000FF"/>
              </w:rPr>
              <w:t>D</w:t>
            </w:r>
          </w:p>
        </w:tc>
        <w:tc>
          <w:tcPr>
            <w:tcW w:w="9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4400" w:type="dxa"/>
            <w:vAlign w:val="bottom"/>
            <w:tcBorders>
              <w:bottom w:val="single" w:sz="8" w:color="2C2C2C"/>
            </w:tcBorders>
            <w:gridSpan w:val="4"/>
          </w:tcPr>
          <w:p>
            <w:pPr>
              <w:spacing w:after="0"/>
              <w:rPr>
                <w:sz w:val="8"/>
                <w:szCs w:val="8"/>
                <w:color w:val="auto"/>
              </w:rPr>
            </w:pPr>
          </w:p>
        </w:tc>
        <w:tc>
          <w:tcPr>
            <w:tcW w:w="90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146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4400" w:type="dxa"/>
            <w:vAlign w:val="bottom"/>
            <w:tcBorders>
              <w:top w:val="single" w:sz="8" w:color="2C2C2C"/>
            </w:tcBorders>
            <w:gridSpan w:val="4"/>
          </w:tcPr>
          <w:p>
            <w:pPr>
              <w:ind w:left="4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90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146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6000" w:type="dxa"/>
            <w:vAlign w:val="bottom"/>
            <w:gridSpan w:val="6"/>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70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90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180" w:type="dxa"/>
            <w:vAlign w:val="bottom"/>
          </w:tcPr>
          <w:p>
            <w:pPr>
              <w:ind w:left="60"/>
              <w:spacing w:after="0"/>
              <w:rPr>
                <w:sz w:val="20"/>
                <w:szCs w:val="20"/>
                <w:color w:val="auto"/>
              </w:rPr>
            </w:pPr>
            <w:r>
              <w:rPr>
                <w:rFonts w:ascii="Arial" w:cs="Arial" w:eastAsia="Arial" w:hAnsi="Arial"/>
                <w:sz w:val="14"/>
                <w:szCs w:val="14"/>
                <w:b w:val="1"/>
                <w:bCs w:val="1"/>
                <w:color w:val="auto"/>
                <w:w w:val="85"/>
              </w:rPr>
              <w:t>5.</w:t>
            </w:r>
          </w:p>
        </w:tc>
        <w:tc>
          <w:tcPr>
            <w:tcW w:w="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60" w:type="dxa"/>
            <w:vAlign w:val="bottom"/>
            <w:gridSpan w:val="3"/>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90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3"/>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180" w:type="dxa"/>
            <w:vAlign w:val="bottom"/>
          </w:tcPr>
          <w:p>
            <w:pPr>
              <w:spacing w:after="0"/>
              <w:rPr>
                <w:sz w:val="6"/>
                <w:szCs w:val="6"/>
                <w:color w:val="auto"/>
              </w:rPr>
            </w:pPr>
          </w:p>
        </w:tc>
        <w:tc>
          <w:tcPr>
            <w:tcW w:w="146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40" w:type="dxa"/>
            <w:vAlign w:val="bottom"/>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900" w:type="dxa"/>
            <w:vAlign w:val="bottom"/>
            <w:vMerge w:val="continue"/>
          </w:tcPr>
          <w:p>
            <w:pPr>
              <w:spacing w:after="0"/>
              <w:rPr>
                <w:sz w:val="4"/>
                <w:szCs w:val="4"/>
                <w:color w:val="auto"/>
              </w:rPr>
            </w:pPr>
          </w:p>
        </w:tc>
        <w:tc>
          <w:tcPr>
            <w:tcW w:w="860" w:type="dxa"/>
            <w:vAlign w:val="bottom"/>
            <w:gridSpan w:val="3"/>
            <w:vMerge w:val="continue"/>
          </w:tcPr>
          <w:p>
            <w:pPr>
              <w:spacing w:after="0"/>
              <w:rPr>
                <w:sz w:val="4"/>
                <w:szCs w:val="4"/>
                <w:color w:val="auto"/>
              </w:rPr>
            </w:pPr>
          </w:p>
        </w:tc>
        <w:tc>
          <w:tcPr>
            <w:tcW w:w="180" w:type="dxa"/>
            <w:vAlign w:val="bottom"/>
          </w:tcPr>
          <w:p>
            <w:pPr>
              <w:spacing w:after="0"/>
              <w:rPr>
                <w:sz w:val="4"/>
                <w:szCs w:val="4"/>
                <w:color w:val="auto"/>
              </w:rPr>
            </w:pPr>
          </w:p>
        </w:tc>
        <w:tc>
          <w:tcPr>
            <w:tcW w:w="146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90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3"/>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18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18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9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9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40" w:type="dxa"/>
            <w:vAlign w:val="bottom"/>
          </w:tcPr>
          <w:p>
            <w:pPr>
              <w:ind w:left="540"/>
              <w:spacing w:after="0"/>
              <w:rPr>
                <w:sz w:val="20"/>
                <w:szCs w:val="20"/>
                <w:color w:val="auto"/>
              </w:rPr>
            </w:pPr>
            <w:r>
              <w:rPr>
                <w:rFonts w:ascii="Arial" w:cs="Arial" w:eastAsia="Arial" w:hAnsi="Arial"/>
                <w:sz w:val="14"/>
                <w:szCs w:val="14"/>
                <w:b w:val="1"/>
                <w:bCs w:val="1"/>
                <w:color w:val="auto"/>
              </w:rPr>
              <w:t>Shares</w:t>
            </w:r>
          </w:p>
        </w:tc>
        <w:tc>
          <w:tcPr>
            <w:tcW w:w="9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20" w:type="dxa"/>
            <w:vAlign w:val="bottom"/>
            <w:tcBorders>
              <w:bottom w:val="single" w:sz="8" w:color="2C2C2C"/>
            </w:tcBorders>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7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880" w:type="dxa"/>
            <w:vAlign w:val="bottom"/>
          </w:tcPr>
          <w:p>
            <w:pPr>
              <w:ind w:left="20"/>
              <w:spacing w:after="0"/>
              <w:rPr>
                <w:sz w:val="20"/>
                <w:szCs w:val="20"/>
                <w:color w:val="auto"/>
              </w:rPr>
            </w:pPr>
            <w:r>
              <w:rPr>
                <w:rFonts w:ascii="Arial" w:cs="Arial" w:eastAsia="Arial" w:hAnsi="Arial"/>
                <w:sz w:val="18"/>
                <w:szCs w:val="18"/>
                <w:b w:val="1"/>
                <w:bCs w:val="1"/>
                <w:color w:val="auto"/>
              </w:rPr>
              <w:t>Remarks:</w:t>
            </w:r>
          </w:p>
        </w:tc>
        <w:tc>
          <w:tcPr>
            <w:tcW w:w="7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560" w:type="dxa"/>
            <w:vAlign w:val="bottom"/>
            <w:gridSpan w:val="8"/>
          </w:tcPr>
          <w:p>
            <w:pPr>
              <w:spacing w:after="0"/>
              <w:rPr>
                <w:sz w:val="20"/>
                <w:szCs w:val="20"/>
                <w:color w:val="auto"/>
              </w:rPr>
            </w:pPr>
            <w:r>
              <w:rPr>
                <w:rFonts w:ascii="Arial" w:cs="Arial" w:eastAsia="Arial" w:hAnsi="Arial"/>
                <w:sz w:val="18"/>
                <w:szCs w:val="18"/>
                <w:color w:val="0000FF"/>
              </w:rPr>
              <w:t>/s/ Lyn Bickle, Attorney-in-fact 01/11/2018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040" w:type="dxa"/>
            <w:vAlign w:val="bottom"/>
            <w:gridSpan w:val="2"/>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2"/>
          </w:tcPr>
          <w:p>
            <w:pPr>
              <w:spacing w:after="0"/>
              <w:rPr>
                <w:sz w:val="20"/>
                <w:szCs w:val="20"/>
                <w:color w:val="auto"/>
              </w:rPr>
            </w:pPr>
            <w:r>
              <w:rPr>
                <w:rFonts w:ascii="Arial" w:cs="Arial" w:eastAsia="Arial" w:hAnsi="Arial"/>
                <w:sz w:val="14"/>
                <w:szCs w:val="14"/>
                <w:color w:val="auto"/>
                <w:w w:val="99"/>
              </w:rPr>
              <w:t>** Signature of Reporting Person</w:t>
            </w:r>
          </w:p>
        </w:tc>
        <w:tc>
          <w:tcPr>
            <w:tcW w:w="180" w:type="dxa"/>
            <w:vAlign w:val="bottom"/>
          </w:tcPr>
          <w:p>
            <w:pPr>
              <w:spacing w:after="0"/>
              <w:rPr>
                <w:sz w:val="20"/>
                <w:szCs w:val="20"/>
                <w:color w:val="auto"/>
              </w:rPr>
            </w:pPr>
          </w:p>
        </w:tc>
        <w:tc>
          <w:tcPr>
            <w:tcW w:w="6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18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LIMITED POWER OF ATTORNEY</w:t>
      </w:r>
    </w:p>
    <w:p>
      <w:pPr>
        <w:spacing w:after="0" w:line="238" w:lineRule="auto"/>
        <w:rPr>
          <w:sz w:val="20"/>
          <w:szCs w:val="20"/>
          <w:color w:val="auto"/>
        </w:rPr>
      </w:pPr>
      <w:r>
        <w:rPr>
          <w:rFonts w:ascii="Courier New" w:cs="Courier New" w:eastAsia="Courier New" w:hAnsi="Courier New"/>
          <w:sz w:val="18"/>
          <w:szCs w:val="18"/>
          <w:color w:val="auto"/>
        </w:rPr>
        <w:t>FOR SECTION 16(a) REPORTING</w:t>
      </w:r>
    </w:p>
    <w:p>
      <w:pPr>
        <w:spacing w:after="0" w:line="207" w:lineRule="exact"/>
        <w:rPr>
          <w:sz w:val="20"/>
          <w:szCs w:val="20"/>
          <w:color w:val="auto"/>
        </w:rPr>
      </w:pPr>
    </w:p>
    <w:p>
      <w:pPr>
        <w:ind w:right="1779" w:firstLine="843"/>
        <w:spacing w:after="0" w:line="237" w:lineRule="auto"/>
        <w:rPr>
          <w:sz w:val="20"/>
          <w:szCs w:val="20"/>
          <w:color w:val="auto"/>
        </w:rPr>
      </w:pPr>
      <w:r>
        <w:rPr>
          <w:rFonts w:ascii="Courier New" w:cs="Courier New" w:eastAsia="Courier New" w:hAnsi="Courier New"/>
          <w:sz w:val="18"/>
          <w:szCs w:val="18"/>
          <w:color w:val="auto"/>
        </w:rPr>
        <w:t>KNOW ALL PERSONS BY THESE PRESENTS, that the undersigned hereby makes, constitutes and appoints Daniel E. Bachus, Dan Steimel and Lyn Bickle, and each of them, as the undersigned's true and lawful attorney-in-fact (the "Attorney-in Fact"), with full power of substitution and resubstitution, each with the power to act alone for the undersigned and in the undersigned's name, place and stead, in any and all capacities to:</w:t>
      </w:r>
    </w:p>
    <w:p>
      <w:pPr>
        <w:spacing w:after="0" w:line="210" w:lineRule="exact"/>
        <w:rPr>
          <w:sz w:val="20"/>
          <w:szCs w:val="20"/>
          <w:color w:val="auto"/>
        </w:rPr>
      </w:pPr>
    </w:p>
    <w:p>
      <w:pPr>
        <w:ind w:right="739" w:firstLine="851"/>
        <w:spacing w:after="0" w:line="235" w:lineRule="auto"/>
        <w:tabs>
          <w:tab w:leader="none" w:pos="1686"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and file with the Securities and Exchange Commission, any national securities exchange or securities quotation system and Grand Canyon</w:t>
      </w:r>
    </w:p>
    <w:p>
      <w:pPr>
        <w:spacing w:after="0" w:line="5" w:lineRule="exact"/>
        <w:rPr>
          <w:rFonts w:ascii="Courier New" w:cs="Courier New" w:eastAsia="Courier New" w:hAnsi="Courier New"/>
          <w:sz w:val="18"/>
          <w:szCs w:val="18"/>
          <w:color w:val="auto"/>
        </w:rPr>
      </w:pPr>
    </w:p>
    <w:p>
      <w:pPr>
        <w:ind w:right="177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Education, Inc. (the "Company") any and all reports (including any amendment thereto) of the undersigned required or considered advisable under Section 16(a) of the Securities Exchange Act of 1934, as amended (the "Exchange Act"), and the rules and regulations thereunder, with respect to the equity securities of the Company, including Forms 3, 4 and 5; and</w:t>
      </w:r>
    </w:p>
    <w:p>
      <w:pPr>
        <w:spacing w:after="0" w:line="208" w:lineRule="exact"/>
        <w:rPr>
          <w:rFonts w:ascii="Courier New" w:cs="Courier New" w:eastAsia="Courier New" w:hAnsi="Courier New"/>
          <w:sz w:val="18"/>
          <w:szCs w:val="18"/>
          <w:color w:val="auto"/>
        </w:rPr>
      </w:pPr>
    </w:p>
    <w:p>
      <w:pPr>
        <w:ind w:right="519" w:firstLine="851"/>
        <w:spacing w:after="0" w:line="235" w:lineRule="auto"/>
        <w:tabs>
          <w:tab w:leader="none" w:pos="1686"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obtain, as the undersigned's representative and on the undersigned's behalf, information regarding transactions in the Company's equity securities from any</w:t>
      </w:r>
    </w:p>
    <w:p>
      <w:pPr>
        <w:spacing w:after="0" w:line="5" w:lineRule="exact"/>
        <w:rPr>
          <w:rFonts w:ascii="Courier New" w:cs="Courier New" w:eastAsia="Courier New" w:hAnsi="Courier New"/>
          <w:sz w:val="18"/>
          <w:szCs w:val="18"/>
          <w:color w:val="auto"/>
        </w:rPr>
      </w:pPr>
    </w:p>
    <w:p>
      <w:pPr>
        <w:ind w:right="177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third party, including the Company and any brokers, dealers, employee benefit plan administrators and trustees, and the undersigned hereby authorizes any such third party to release any such information to the Attorney-in-Fact.</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The undersigned acknowledges that:</w:t>
      </w:r>
    </w:p>
    <w:p>
      <w:pPr>
        <w:spacing w:after="0" w:line="207" w:lineRule="exact"/>
        <w:rPr>
          <w:sz w:val="20"/>
          <w:szCs w:val="20"/>
          <w:color w:val="auto"/>
        </w:rPr>
      </w:pPr>
    </w:p>
    <w:p>
      <w:pPr>
        <w:ind w:right="1359" w:firstLine="851"/>
        <w:spacing w:after="0" w:line="236"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Limited Power of Attorney authorizes, but does not require, the Attorney-in-Fact to act at his or her discretion on information provided to such Attorney-in-Fact without independent verification of such information;</w:t>
      </w:r>
    </w:p>
    <w:p>
      <w:pPr>
        <w:spacing w:after="0" w:line="208" w:lineRule="exact"/>
        <w:rPr>
          <w:rFonts w:ascii="Courier New" w:cs="Courier New" w:eastAsia="Courier New" w:hAnsi="Courier New"/>
          <w:sz w:val="18"/>
          <w:szCs w:val="18"/>
          <w:color w:val="auto"/>
        </w:rPr>
      </w:pPr>
    </w:p>
    <w:p>
      <w:pPr>
        <w:ind w:right="619" w:firstLine="851"/>
        <w:spacing w:after="0" w:line="235"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documents prepared or executed by the Attorney-in-Fact on behalf of the undersigned pursuant to this Limited Power of Attorney will be in such form and</w:t>
      </w:r>
    </w:p>
    <w:p>
      <w:pPr>
        <w:spacing w:after="0" w:line="5" w:lineRule="exact"/>
        <w:rPr>
          <w:rFonts w:ascii="Courier New" w:cs="Courier New" w:eastAsia="Courier New" w:hAnsi="Courier New"/>
          <w:sz w:val="18"/>
          <w:szCs w:val="18"/>
          <w:color w:val="auto"/>
        </w:rPr>
      </w:pPr>
    </w:p>
    <w:p>
      <w:pPr>
        <w:ind w:right="1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will contain such information as the Attorney-in-Fact, in his or her discretion, deems necessary or desirable;</w:t>
      </w:r>
    </w:p>
    <w:p>
      <w:pPr>
        <w:spacing w:after="0" w:line="208" w:lineRule="exact"/>
        <w:rPr>
          <w:rFonts w:ascii="Courier New" w:cs="Courier New" w:eastAsia="Courier New" w:hAnsi="Courier New"/>
          <w:sz w:val="18"/>
          <w:szCs w:val="18"/>
          <w:color w:val="auto"/>
        </w:rPr>
      </w:pPr>
    </w:p>
    <w:p>
      <w:pPr>
        <w:ind w:right="739" w:firstLine="851"/>
        <w:spacing w:after="0" w:line="235"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neither the Company nor the Attorney-in-Fact assumes any liability for the undersigned's responsibility to comply with the requirements of Section 16 of</w:t>
      </w:r>
    </w:p>
    <w:p>
      <w:pPr>
        <w:spacing w:after="0" w:line="5" w:lineRule="exact"/>
        <w:rPr>
          <w:rFonts w:ascii="Courier New" w:cs="Courier New" w:eastAsia="Courier New" w:hAnsi="Courier New"/>
          <w:sz w:val="18"/>
          <w:szCs w:val="18"/>
          <w:color w:val="auto"/>
        </w:rPr>
      </w:pPr>
    </w:p>
    <w:p>
      <w:pPr>
        <w:ind w:right="187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the Exchange Act, any liability of the undersigned for any failure to comply with such requirements, or any liability of the undersigned for disgorgement of profits under Section 16(b) of the Exchange Act; and</w:t>
      </w:r>
    </w:p>
    <w:p>
      <w:pPr>
        <w:spacing w:after="0" w:line="208" w:lineRule="exact"/>
        <w:rPr>
          <w:rFonts w:ascii="Courier New" w:cs="Courier New" w:eastAsia="Courier New" w:hAnsi="Courier New"/>
          <w:sz w:val="18"/>
          <w:szCs w:val="18"/>
          <w:color w:val="auto"/>
        </w:rPr>
      </w:pPr>
    </w:p>
    <w:p>
      <w:pPr>
        <w:ind w:right="1359" w:firstLine="851"/>
        <w:spacing w:after="0" w:line="268" w:lineRule="auto"/>
        <w:tabs>
          <w:tab w:leader="none" w:pos="1686"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this Limited Power of Attorney does not relieve the undersigned from responsibility for compliance with the undersigned's obligations under Section</w:t>
      </w:r>
    </w:p>
    <w:p>
      <w:pPr>
        <w:ind w:right="2939"/>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16 of the Exchange Act, including, without, limitation, the reporting requirements under Section 16(a) of the Exchange Act.</w:t>
      </w:r>
    </w:p>
    <w:p>
      <w:pPr>
        <w:spacing w:after="0" w:line="208" w:lineRule="exact"/>
        <w:rPr>
          <w:sz w:val="20"/>
          <w:szCs w:val="20"/>
          <w:color w:val="auto"/>
        </w:rPr>
      </w:pPr>
    </w:p>
    <w:p>
      <w:pPr>
        <w:ind w:right="1159" w:firstLine="843"/>
        <w:spacing w:after="0" w:line="235" w:lineRule="auto"/>
        <w:rPr>
          <w:sz w:val="20"/>
          <w:szCs w:val="20"/>
          <w:color w:val="auto"/>
        </w:rPr>
      </w:pPr>
      <w:r>
        <w:rPr>
          <w:rFonts w:ascii="Courier New" w:cs="Courier New" w:eastAsia="Courier New" w:hAnsi="Courier New"/>
          <w:sz w:val="18"/>
          <w:szCs w:val="18"/>
          <w:color w:val="auto"/>
        </w:rPr>
        <w:t>The undersigned hereby grants to the Attorney-in-Fact full power and authority to do and perform each and every act and thing requisite, necessary or</w:t>
      </w:r>
    </w:p>
    <w:p>
      <w:pPr>
        <w:spacing w:after="0" w:line="6"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convenient to be done in connection with the foregoing, as fully, to all intents and purposes, as the undersigned might or could do in person, hereby ratifying and confirming all that the Attorney-in-Fact, or his or her substitute or substitutes, shall lawfully do or cause to be done by authority of this Limited Power of Attorney.</w:t>
      </w:r>
    </w:p>
    <w:p>
      <w:pPr>
        <w:spacing w:after="0" w:line="209" w:lineRule="exact"/>
        <w:rPr>
          <w:sz w:val="20"/>
          <w:szCs w:val="20"/>
          <w:color w:val="auto"/>
        </w:rPr>
      </w:pPr>
    </w:p>
    <w:p>
      <w:pPr>
        <w:ind w:right="1159" w:firstLine="843"/>
        <w:spacing w:after="0"/>
        <w:rPr>
          <w:sz w:val="20"/>
          <w:szCs w:val="20"/>
          <w:color w:val="auto"/>
        </w:rPr>
      </w:pPr>
      <w:r>
        <w:rPr>
          <w:rFonts w:ascii="Courier New" w:cs="Courier New" w:eastAsia="Courier New" w:hAnsi="Courier New"/>
          <w:sz w:val="18"/>
          <w:szCs w:val="18"/>
          <w:color w:val="auto"/>
        </w:rPr>
        <w:t>This Limited Power of Attorney shall remain in full force and effect until the undersigned is no longer required to file Forms 4 or 5 with respect to the undersigned's transactions in equity securities of the Company, unless earlier revoked by the undersigned in a signed writing delivered to the Attorney-in-Fact.</w:t>
      </w:r>
    </w:p>
    <w:p>
      <w:pPr>
        <w:spacing w:after="0" w:line="400" w:lineRule="exact"/>
        <w:rPr>
          <w:sz w:val="20"/>
          <w:szCs w:val="20"/>
          <w:color w:val="auto"/>
        </w:rPr>
      </w:pPr>
    </w:p>
    <w:p>
      <w:pPr>
        <w:ind w:right="1359" w:firstLine="843"/>
        <w:spacing w:after="0" w:line="290" w:lineRule="auto"/>
        <w:rPr>
          <w:sz w:val="20"/>
          <w:szCs w:val="20"/>
          <w:color w:val="auto"/>
        </w:rPr>
      </w:pPr>
      <w:r>
        <w:rPr>
          <w:rFonts w:ascii="Courier New" w:cs="Courier New" w:eastAsia="Courier New" w:hAnsi="Courier New"/>
          <w:sz w:val="16"/>
          <w:szCs w:val="16"/>
          <w:color w:val="auto"/>
        </w:rPr>
        <w:t>This Limited Power of Attorney shall be governed and construed in accordance the laws of the State of Arizona without regard to conflict-of-law principles.</w:t>
      </w:r>
    </w:p>
    <w:p>
      <w:pPr>
        <w:spacing w:after="0" w:line="170" w:lineRule="exact"/>
        <w:rPr>
          <w:sz w:val="20"/>
          <w:szCs w:val="20"/>
          <w:color w:val="auto"/>
        </w:rPr>
      </w:pPr>
    </w:p>
    <w:p>
      <w:pPr>
        <w:ind w:right="103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executed this Limited Power of Attorney as of July 10, 2018.</w:t>
      </w:r>
    </w:p>
    <w:p>
      <w:pPr>
        <w:spacing w:after="0" w:line="203" w:lineRule="exact"/>
        <w:rPr>
          <w:sz w:val="20"/>
          <w:szCs w:val="20"/>
          <w:color w:val="auto"/>
        </w:rPr>
      </w:pPr>
    </w:p>
    <w:p>
      <w:pPr>
        <w:ind w:left="6760"/>
        <w:spacing w:after="0"/>
        <w:rPr>
          <w:sz w:val="20"/>
          <w:szCs w:val="20"/>
          <w:color w:val="auto"/>
        </w:rPr>
      </w:pPr>
      <w:r>
        <w:rPr>
          <w:rFonts w:ascii="Courier New" w:cs="Courier New" w:eastAsia="Courier New" w:hAnsi="Courier New"/>
          <w:sz w:val="18"/>
          <w:szCs w:val="18"/>
          <w:color w:val="auto"/>
        </w:rPr>
        <w:t>Signature: /s/ Dilek Marsh</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Print Name: Dilek Marsh</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746165" TargetMode="External"/><Relationship Id="rId12"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2019-12-07T13:10:45Z</dcterms:created>
  <dcterms:modified xsi:type="dcterms:W3CDTF">2019-12-07T13:10:45Z</dcterms:modified>
</cp:coreProperties>
</file>